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264" w:rsidRPr="00A41CE6" w:rsidRDefault="005A1264">
      <w:pPr>
        <w:jc w:val="both"/>
        <w:rPr>
          <w:rFonts w:ascii="Times New Roman" w:eastAsia="方正小标宋简体" w:hAnsi="Times New Roman"/>
          <w:color w:val="000000" w:themeColor="text1"/>
          <w:sz w:val="32"/>
          <w:szCs w:val="32"/>
        </w:rPr>
      </w:pPr>
    </w:p>
    <w:p w:rsidR="005A1264" w:rsidRPr="00A41CE6" w:rsidRDefault="005A1264">
      <w:pPr>
        <w:jc w:val="both"/>
        <w:rPr>
          <w:rFonts w:ascii="Times New Roman" w:eastAsia="方正小标宋简体" w:hAnsi="Times New Roman"/>
          <w:color w:val="000000" w:themeColor="text1"/>
          <w:sz w:val="32"/>
          <w:szCs w:val="32"/>
        </w:rPr>
      </w:pPr>
    </w:p>
    <w:p w:rsidR="005A1264" w:rsidRPr="00A41CE6" w:rsidRDefault="005A1264">
      <w:pPr>
        <w:jc w:val="both"/>
        <w:rPr>
          <w:rFonts w:ascii="Times New Roman" w:eastAsia="方正小标宋简体" w:hAnsi="Times New Roman"/>
          <w:color w:val="000000" w:themeColor="text1"/>
          <w:sz w:val="32"/>
          <w:szCs w:val="32"/>
        </w:rPr>
      </w:pPr>
    </w:p>
    <w:p w:rsidR="005A1264" w:rsidRPr="00A41CE6" w:rsidRDefault="005A1264">
      <w:pPr>
        <w:jc w:val="both"/>
        <w:rPr>
          <w:rFonts w:ascii="Times New Roman" w:eastAsia="方正小标宋简体" w:hAnsi="Times New Roman"/>
          <w:color w:val="000000" w:themeColor="text1"/>
          <w:sz w:val="32"/>
          <w:szCs w:val="32"/>
        </w:rPr>
      </w:pPr>
    </w:p>
    <w:p w:rsidR="005A1264" w:rsidRPr="00A41CE6" w:rsidRDefault="005C591D">
      <w:pPr>
        <w:jc w:val="center"/>
        <w:rPr>
          <w:rFonts w:ascii="Times New Roman" w:eastAsia="方正小标宋简体" w:hAnsi="Times New Roman"/>
          <w:color w:val="000000" w:themeColor="text1"/>
          <w:sz w:val="44"/>
          <w:szCs w:val="44"/>
        </w:rPr>
      </w:pPr>
      <w:r w:rsidRPr="00A41CE6">
        <w:rPr>
          <w:rFonts w:ascii="Times New Roman" w:eastAsia="方正小标宋简体" w:hAnsi="Times New Roman" w:hint="eastAsia"/>
          <w:color w:val="000000" w:themeColor="text1"/>
          <w:sz w:val="44"/>
          <w:szCs w:val="44"/>
        </w:rPr>
        <w:t>海口市建筑节能与绿色建筑（装配式建筑）“十四五”专项规划（</w:t>
      </w:r>
      <w:r w:rsidRPr="00A41CE6">
        <w:rPr>
          <w:rFonts w:ascii="Times New Roman" w:eastAsia="方正小标宋简体" w:hAnsi="Times New Roman" w:hint="eastAsia"/>
          <w:color w:val="000000" w:themeColor="text1"/>
          <w:sz w:val="44"/>
          <w:szCs w:val="44"/>
        </w:rPr>
        <w:t>2022-2025</w:t>
      </w:r>
      <w:r w:rsidRPr="00A41CE6">
        <w:rPr>
          <w:rFonts w:ascii="Times New Roman" w:eastAsia="方正小标宋简体" w:hAnsi="Times New Roman" w:hint="eastAsia"/>
          <w:color w:val="000000" w:themeColor="text1"/>
          <w:sz w:val="44"/>
          <w:szCs w:val="44"/>
        </w:rPr>
        <w:t>）</w:t>
      </w:r>
    </w:p>
    <w:p w:rsidR="005A1264" w:rsidRPr="00A41CE6" w:rsidRDefault="005A1264">
      <w:pPr>
        <w:jc w:val="both"/>
        <w:rPr>
          <w:rFonts w:ascii="Times New Roman" w:eastAsia="方正小标宋简体" w:hAnsi="Times New Roman"/>
          <w:color w:val="000000" w:themeColor="text1"/>
          <w:sz w:val="32"/>
          <w:szCs w:val="32"/>
        </w:rPr>
      </w:pPr>
    </w:p>
    <w:p w:rsidR="005A1264" w:rsidRPr="00A41CE6" w:rsidRDefault="005A1264">
      <w:pPr>
        <w:jc w:val="both"/>
        <w:rPr>
          <w:rFonts w:ascii="Times New Roman" w:eastAsia="方正小标宋简体" w:hAnsi="Times New Roman"/>
          <w:color w:val="000000" w:themeColor="text1"/>
          <w:sz w:val="32"/>
          <w:szCs w:val="32"/>
        </w:rPr>
      </w:pPr>
    </w:p>
    <w:p w:rsidR="005A1264" w:rsidRPr="00A41CE6" w:rsidRDefault="005A1264">
      <w:pPr>
        <w:jc w:val="both"/>
        <w:rPr>
          <w:rFonts w:ascii="Times New Roman" w:eastAsia="方正小标宋简体" w:hAnsi="Times New Roman"/>
          <w:color w:val="000000" w:themeColor="text1"/>
          <w:sz w:val="32"/>
          <w:szCs w:val="32"/>
        </w:rPr>
      </w:pPr>
    </w:p>
    <w:p w:rsidR="005A1264" w:rsidRPr="00A41CE6" w:rsidRDefault="005A1264">
      <w:pPr>
        <w:jc w:val="both"/>
        <w:rPr>
          <w:rFonts w:ascii="Times New Roman" w:eastAsia="方正小标宋简体" w:hAnsi="Times New Roman"/>
          <w:color w:val="000000" w:themeColor="text1"/>
          <w:sz w:val="32"/>
          <w:szCs w:val="32"/>
        </w:rPr>
      </w:pPr>
    </w:p>
    <w:p w:rsidR="005A1264" w:rsidRPr="00A41CE6" w:rsidRDefault="005A1264">
      <w:pPr>
        <w:jc w:val="both"/>
        <w:rPr>
          <w:rFonts w:ascii="Times New Roman" w:eastAsia="方正小标宋简体" w:hAnsi="Times New Roman"/>
          <w:color w:val="000000" w:themeColor="text1"/>
          <w:sz w:val="32"/>
          <w:szCs w:val="32"/>
        </w:rPr>
      </w:pPr>
    </w:p>
    <w:p w:rsidR="005A1264" w:rsidRPr="00A41CE6" w:rsidRDefault="005A1264">
      <w:pPr>
        <w:jc w:val="both"/>
        <w:rPr>
          <w:rFonts w:ascii="Times New Roman" w:eastAsia="黑体" w:hAnsi="Times New Roman"/>
          <w:color w:val="000000" w:themeColor="text1"/>
          <w:sz w:val="32"/>
          <w:szCs w:val="28"/>
        </w:rPr>
      </w:pPr>
    </w:p>
    <w:p w:rsidR="005A1264" w:rsidRPr="00A41CE6" w:rsidRDefault="005A1264">
      <w:pPr>
        <w:jc w:val="both"/>
        <w:rPr>
          <w:rFonts w:ascii="Times New Roman" w:eastAsia="黑体" w:hAnsi="Times New Roman"/>
          <w:color w:val="000000" w:themeColor="text1"/>
          <w:sz w:val="32"/>
          <w:szCs w:val="28"/>
        </w:rPr>
      </w:pPr>
    </w:p>
    <w:p w:rsidR="005A1264" w:rsidRPr="00A41CE6" w:rsidRDefault="005A1264">
      <w:pPr>
        <w:jc w:val="center"/>
        <w:rPr>
          <w:rFonts w:ascii="Times New Roman" w:eastAsia="黑体" w:hAnsi="Times New Roman"/>
          <w:color w:val="000000" w:themeColor="text1"/>
          <w:sz w:val="32"/>
          <w:szCs w:val="28"/>
        </w:rPr>
      </w:pPr>
    </w:p>
    <w:p w:rsidR="005A1264" w:rsidRPr="00A41CE6" w:rsidRDefault="005C591D">
      <w:pPr>
        <w:jc w:val="center"/>
        <w:rPr>
          <w:rFonts w:ascii="Times New Roman" w:eastAsia="黑体" w:hAnsi="Times New Roman"/>
          <w:color w:val="000000" w:themeColor="text1"/>
          <w:sz w:val="32"/>
          <w:szCs w:val="28"/>
        </w:rPr>
        <w:sectPr w:rsidR="005A1264" w:rsidRPr="00A41CE6">
          <w:pgSz w:w="11906" w:h="16838"/>
          <w:pgMar w:top="1440" w:right="1800" w:bottom="1440" w:left="1800" w:header="851" w:footer="850" w:gutter="0"/>
          <w:pgNumType w:fmt="upperRoman" w:start="1"/>
          <w:cols w:space="720"/>
          <w:docGrid w:type="lines" w:linePitch="312"/>
        </w:sectPr>
      </w:pPr>
      <w:r w:rsidRPr="00A41CE6">
        <w:rPr>
          <w:rFonts w:ascii="Times New Roman" w:eastAsia="黑体" w:hAnsi="Times New Roman" w:hint="eastAsia"/>
          <w:color w:val="000000" w:themeColor="text1"/>
          <w:sz w:val="32"/>
          <w:szCs w:val="28"/>
        </w:rPr>
        <w:t>2023</w:t>
      </w:r>
      <w:r w:rsidRPr="00A41CE6">
        <w:rPr>
          <w:rFonts w:ascii="Times New Roman" w:eastAsia="黑体" w:hAnsi="Times New Roman" w:hint="eastAsia"/>
          <w:color w:val="000000" w:themeColor="text1"/>
          <w:sz w:val="32"/>
          <w:szCs w:val="28"/>
        </w:rPr>
        <w:t>年</w:t>
      </w:r>
      <w:r w:rsidRPr="00A41CE6">
        <w:rPr>
          <w:rFonts w:ascii="Times New Roman" w:eastAsia="黑体" w:hAnsi="Times New Roman" w:hint="eastAsia"/>
          <w:color w:val="000000" w:themeColor="text1"/>
          <w:sz w:val="32"/>
          <w:szCs w:val="28"/>
        </w:rPr>
        <w:t>02</w:t>
      </w:r>
      <w:r w:rsidRPr="00A41CE6">
        <w:rPr>
          <w:rFonts w:ascii="Times New Roman" w:eastAsia="黑体" w:hAnsi="Times New Roman" w:hint="eastAsia"/>
          <w:color w:val="000000" w:themeColor="text1"/>
          <w:sz w:val="32"/>
          <w:szCs w:val="28"/>
        </w:rPr>
        <w:t>月</w:t>
      </w:r>
    </w:p>
    <w:p w:rsidR="005A1264" w:rsidRPr="00A41CE6" w:rsidRDefault="005C591D">
      <w:pPr>
        <w:pStyle w:val="10"/>
        <w:tabs>
          <w:tab w:val="right" w:leader="dot" w:pos="8296"/>
        </w:tabs>
        <w:spacing w:after="0" w:line="300" w:lineRule="auto"/>
        <w:jc w:val="center"/>
        <w:rPr>
          <w:rFonts w:ascii="Times New Roman" w:eastAsia="黑体" w:hAnsi="Times New Roman"/>
          <w:color w:val="000000" w:themeColor="text1"/>
          <w:sz w:val="36"/>
          <w:szCs w:val="36"/>
        </w:rPr>
      </w:pPr>
      <w:bookmarkStart w:id="0" w:name="_Toc27369"/>
      <w:r w:rsidRPr="00A41CE6">
        <w:rPr>
          <w:rFonts w:ascii="Times New Roman" w:eastAsia="黑体" w:hAnsi="Times New Roman" w:hint="eastAsia"/>
          <w:color w:val="000000" w:themeColor="text1"/>
          <w:sz w:val="36"/>
          <w:szCs w:val="36"/>
        </w:rPr>
        <w:lastRenderedPageBreak/>
        <w:t>目</w:t>
      </w:r>
      <w:r w:rsidRPr="00A41CE6">
        <w:rPr>
          <w:rFonts w:ascii="Times New Roman" w:eastAsia="黑体" w:hAnsi="Times New Roman" w:hint="eastAsia"/>
          <w:color w:val="000000" w:themeColor="text1"/>
          <w:sz w:val="36"/>
          <w:szCs w:val="36"/>
        </w:rPr>
        <w:t xml:space="preserve">  </w:t>
      </w:r>
      <w:r w:rsidRPr="00A41CE6">
        <w:rPr>
          <w:rFonts w:ascii="Times New Roman" w:eastAsia="黑体" w:hAnsi="Times New Roman" w:hint="eastAsia"/>
          <w:color w:val="000000" w:themeColor="text1"/>
          <w:sz w:val="36"/>
          <w:szCs w:val="36"/>
        </w:rPr>
        <w:t>录</w:t>
      </w:r>
    </w:p>
    <w:p w:rsidR="002354F8" w:rsidRPr="00A41CE6" w:rsidRDefault="005C591D">
      <w:pPr>
        <w:pStyle w:val="10"/>
        <w:tabs>
          <w:tab w:val="right" w:leader="dot" w:pos="8296"/>
        </w:tabs>
        <w:rPr>
          <w:rFonts w:ascii="Times New Roman" w:eastAsiaTheme="minorEastAsia" w:hAnsi="Times New Roman" w:cstheme="minorBidi"/>
          <w:noProof/>
          <w:kern w:val="2"/>
          <w:sz w:val="21"/>
        </w:rPr>
      </w:pPr>
      <w:r w:rsidRPr="00A41CE6">
        <w:rPr>
          <w:rFonts w:ascii="Times New Roman" w:eastAsia="黑体" w:hAnsi="Times New Roman"/>
          <w:color w:val="000000" w:themeColor="text1"/>
          <w:sz w:val="36"/>
          <w:szCs w:val="36"/>
        </w:rPr>
        <w:fldChar w:fldCharType="begin"/>
      </w:r>
      <w:r w:rsidRPr="00A41CE6">
        <w:rPr>
          <w:rFonts w:ascii="Times New Roman" w:eastAsia="黑体" w:hAnsi="Times New Roman"/>
          <w:color w:val="000000" w:themeColor="text1"/>
          <w:sz w:val="36"/>
          <w:szCs w:val="36"/>
        </w:rPr>
        <w:instrText xml:space="preserve"> </w:instrText>
      </w:r>
      <w:r w:rsidRPr="00A41CE6">
        <w:rPr>
          <w:rFonts w:ascii="Times New Roman" w:eastAsia="黑体" w:hAnsi="Times New Roman" w:hint="eastAsia"/>
          <w:color w:val="000000" w:themeColor="text1"/>
          <w:sz w:val="36"/>
          <w:szCs w:val="36"/>
        </w:rPr>
        <w:instrText>TOC \o "1-4" \h \z \u</w:instrText>
      </w:r>
      <w:r w:rsidRPr="00A41CE6">
        <w:rPr>
          <w:rFonts w:ascii="Times New Roman" w:eastAsia="黑体" w:hAnsi="Times New Roman"/>
          <w:color w:val="000000" w:themeColor="text1"/>
          <w:sz w:val="36"/>
          <w:szCs w:val="36"/>
        </w:rPr>
        <w:instrText xml:space="preserve"> </w:instrText>
      </w:r>
      <w:r w:rsidRPr="00A41CE6">
        <w:rPr>
          <w:rFonts w:ascii="Times New Roman" w:eastAsia="黑体" w:hAnsi="Times New Roman"/>
          <w:color w:val="000000" w:themeColor="text1"/>
          <w:sz w:val="36"/>
          <w:szCs w:val="36"/>
        </w:rPr>
        <w:fldChar w:fldCharType="separate"/>
      </w:r>
      <w:hyperlink w:anchor="_Toc136877063" w:history="1">
        <w:r w:rsidR="002354F8" w:rsidRPr="00A41CE6">
          <w:rPr>
            <w:rStyle w:val="af2"/>
            <w:rFonts w:ascii="Times New Roman" w:eastAsia="黑体" w:hAnsi="Times New Roman" w:hint="eastAsia"/>
            <w:noProof/>
          </w:rPr>
          <w:t>第一章</w:t>
        </w:r>
        <w:r w:rsidR="002354F8" w:rsidRPr="00A41CE6">
          <w:rPr>
            <w:rStyle w:val="af2"/>
            <w:rFonts w:ascii="Times New Roman" w:eastAsia="黑体" w:hAnsi="Times New Roman"/>
            <w:noProof/>
          </w:rPr>
          <w:t xml:space="preserve"> </w:t>
        </w:r>
        <w:r w:rsidR="002354F8" w:rsidRPr="00A41CE6">
          <w:rPr>
            <w:rStyle w:val="af2"/>
            <w:rFonts w:ascii="Times New Roman" w:eastAsia="黑体" w:hAnsi="Times New Roman" w:hint="eastAsia"/>
            <w:noProof/>
          </w:rPr>
          <w:t>规划背景</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_Toc136877063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064" w:history="1">
        <w:r w:rsidR="002354F8" w:rsidRPr="00A41CE6">
          <w:rPr>
            <w:rStyle w:val="af2"/>
            <w:rFonts w:ascii="Times New Roman" w:eastAsia="黑体" w:hAnsi="Times New Roman" w:hint="eastAsia"/>
            <w:noProof/>
          </w:rPr>
          <w:t>（一）基本概况</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_Toc136877064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065" w:history="1">
        <w:r w:rsidR="002354F8" w:rsidRPr="00A41CE6">
          <w:rPr>
            <w:rStyle w:val="af2"/>
            <w:rFonts w:ascii="Times New Roman" w:eastAsia="黑体" w:hAnsi="Times New Roman" w:hint="eastAsia"/>
            <w:noProof/>
          </w:rPr>
          <w:t>（二）建设发展</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_Toc136877065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066" w:history="1">
        <w:r w:rsidR="002354F8" w:rsidRPr="00A41CE6">
          <w:rPr>
            <w:rStyle w:val="af2"/>
            <w:rFonts w:ascii="Times New Roman" w:eastAsia="黑体" w:hAnsi="Times New Roman" w:hint="eastAsia"/>
            <w:noProof/>
          </w:rPr>
          <w:t>（三）用能现状</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_Toc136877066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2</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067" w:history="1">
        <w:r w:rsidR="002354F8" w:rsidRPr="00A41CE6">
          <w:rPr>
            <w:rStyle w:val="af2"/>
            <w:rFonts w:ascii="Times New Roman" w:eastAsia="黑体" w:hAnsi="Times New Roman" w:hint="eastAsia"/>
            <w:noProof/>
          </w:rPr>
          <w:t>（四）工作基础</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_Toc136877067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3</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68" w:history="1">
        <w:r w:rsidR="002354F8" w:rsidRPr="00A41CE6">
          <w:rPr>
            <w:rStyle w:val="af2"/>
            <w:rFonts w:ascii="Times New Roman" w:eastAsia="黑体" w:hAnsi="Times New Roman"/>
            <w:noProof/>
          </w:rPr>
          <w:t>1.</w:t>
        </w:r>
        <w:r w:rsidR="002354F8" w:rsidRPr="00A41CE6">
          <w:rPr>
            <w:rStyle w:val="af2"/>
            <w:rFonts w:ascii="Times New Roman" w:eastAsia="黑体" w:hAnsi="Times New Roman" w:hint="eastAsia"/>
            <w:noProof/>
          </w:rPr>
          <w:t>建筑节能方面</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_Toc136877068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3</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69" w:history="1">
        <w:r w:rsidR="002354F8" w:rsidRPr="00A41CE6">
          <w:rPr>
            <w:rStyle w:val="af2"/>
            <w:rFonts w:ascii="Times New Roman" w:eastAsia="黑体" w:hAnsi="Times New Roman"/>
            <w:noProof/>
          </w:rPr>
          <w:t>2.</w:t>
        </w:r>
        <w:r w:rsidR="002354F8" w:rsidRPr="00A41CE6">
          <w:rPr>
            <w:rStyle w:val="af2"/>
            <w:rFonts w:ascii="Times New Roman" w:eastAsia="黑体" w:hAnsi="Times New Roman" w:hint="eastAsia"/>
            <w:noProof/>
          </w:rPr>
          <w:t>绿色建筑方面</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_Toc136877069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4</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70" w:history="1">
        <w:r w:rsidR="002354F8" w:rsidRPr="00A41CE6">
          <w:rPr>
            <w:rStyle w:val="af2"/>
            <w:rFonts w:ascii="Times New Roman" w:eastAsia="黑体" w:hAnsi="Times New Roman"/>
            <w:noProof/>
          </w:rPr>
          <w:t>3.</w:t>
        </w:r>
        <w:r w:rsidR="002354F8" w:rsidRPr="00A41CE6">
          <w:rPr>
            <w:rStyle w:val="af2"/>
            <w:rFonts w:ascii="Times New Roman" w:eastAsia="黑体" w:hAnsi="Times New Roman" w:hint="eastAsia"/>
            <w:noProof/>
          </w:rPr>
          <w:t>装配式建筑方面</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_Toc136877070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4</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071" w:history="1">
        <w:r w:rsidR="002354F8" w:rsidRPr="00A41CE6">
          <w:rPr>
            <w:rStyle w:val="af2"/>
            <w:rFonts w:ascii="Times New Roman" w:eastAsia="黑体" w:hAnsi="Times New Roman" w:hint="eastAsia"/>
            <w:noProof/>
          </w:rPr>
          <w:t>（五）存在问题</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_Toc136877071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5</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72" w:history="1">
        <w:r w:rsidR="002354F8" w:rsidRPr="00A41CE6">
          <w:rPr>
            <w:rStyle w:val="af2"/>
            <w:rFonts w:ascii="Times New Roman" w:eastAsia="黑体" w:hAnsi="Times New Roman"/>
            <w:noProof/>
          </w:rPr>
          <w:t>1.</w:t>
        </w:r>
        <w:r w:rsidR="002354F8" w:rsidRPr="00A41CE6">
          <w:rPr>
            <w:rStyle w:val="af2"/>
            <w:rFonts w:ascii="Times New Roman" w:eastAsia="黑体" w:hAnsi="Times New Roman" w:hint="eastAsia"/>
            <w:noProof/>
          </w:rPr>
          <w:t>部分区域项目发展路径不清晰</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_Toc136877072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5</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73" w:history="1">
        <w:r w:rsidR="002354F8" w:rsidRPr="00A41CE6">
          <w:rPr>
            <w:rStyle w:val="af2"/>
            <w:rFonts w:ascii="Times New Roman" w:eastAsia="黑体" w:hAnsi="Times New Roman"/>
            <w:noProof/>
          </w:rPr>
          <w:t>2.</w:t>
        </w:r>
        <w:r w:rsidR="002354F8" w:rsidRPr="00A41CE6">
          <w:rPr>
            <w:rStyle w:val="af2"/>
            <w:rFonts w:ascii="Times New Roman" w:eastAsia="黑体" w:hAnsi="Times New Roman" w:hint="eastAsia"/>
            <w:noProof/>
          </w:rPr>
          <w:t>绿色建筑发展质量待提升</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_Toc136877073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5</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74" w:history="1">
        <w:r w:rsidR="002354F8" w:rsidRPr="00A41CE6">
          <w:rPr>
            <w:rStyle w:val="af2"/>
            <w:rFonts w:ascii="Times New Roman" w:eastAsia="黑体" w:hAnsi="Times New Roman"/>
            <w:noProof/>
          </w:rPr>
          <w:t>3.</w:t>
        </w:r>
        <w:r w:rsidR="002354F8" w:rsidRPr="00A41CE6">
          <w:rPr>
            <w:rStyle w:val="af2"/>
            <w:rFonts w:ascii="Times New Roman" w:eastAsia="黑体" w:hAnsi="Times New Roman" w:hint="eastAsia"/>
            <w:noProof/>
          </w:rPr>
          <w:t>政府层面政策引导待加强</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_Toc136877074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5</w:t>
        </w:r>
        <w:r w:rsidR="002354F8" w:rsidRPr="00A41CE6">
          <w:rPr>
            <w:rFonts w:ascii="Times New Roman" w:hAnsi="Times New Roman"/>
            <w:noProof/>
            <w:webHidden/>
          </w:rPr>
          <w:fldChar w:fldCharType="end"/>
        </w:r>
      </w:hyperlink>
    </w:p>
    <w:p w:rsidR="002354F8" w:rsidRPr="00A41CE6" w:rsidRDefault="00C5655C">
      <w:pPr>
        <w:pStyle w:val="10"/>
        <w:tabs>
          <w:tab w:val="right" w:leader="dot" w:pos="8296"/>
        </w:tabs>
        <w:rPr>
          <w:rFonts w:ascii="Times New Roman" w:eastAsiaTheme="minorEastAsia" w:hAnsi="Times New Roman" w:cstheme="minorBidi"/>
          <w:noProof/>
          <w:kern w:val="2"/>
          <w:sz w:val="21"/>
        </w:rPr>
      </w:pPr>
      <w:hyperlink w:anchor="_Toc136877075" w:history="1">
        <w:r w:rsidR="002354F8" w:rsidRPr="00A41CE6">
          <w:rPr>
            <w:rStyle w:val="af2"/>
            <w:rFonts w:ascii="Times New Roman" w:eastAsia="黑体" w:hAnsi="Times New Roman" w:hint="eastAsia"/>
            <w:noProof/>
          </w:rPr>
          <w:t>第二章</w:t>
        </w:r>
        <w:r w:rsidR="002354F8" w:rsidRPr="00A41CE6">
          <w:rPr>
            <w:rStyle w:val="af2"/>
            <w:rFonts w:ascii="Times New Roman" w:eastAsia="黑体" w:hAnsi="Times New Roman"/>
            <w:noProof/>
          </w:rPr>
          <w:t xml:space="preserve"> </w:t>
        </w:r>
        <w:r w:rsidR="002354F8" w:rsidRPr="00A41CE6">
          <w:rPr>
            <w:rStyle w:val="af2"/>
            <w:rFonts w:ascii="Times New Roman" w:eastAsia="黑体" w:hAnsi="Times New Roman" w:hint="eastAsia"/>
            <w:noProof/>
          </w:rPr>
          <w:t>总体要求</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_Toc136877075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6</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076" w:history="1">
        <w:r w:rsidR="002354F8" w:rsidRPr="00A41CE6">
          <w:rPr>
            <w:rStyle w:val="af2"/>
            <w:rFonts w:ascii="Times New Roman" w:eastAsia="黑体" w:hAnsi="Times New Roman" w:hint="eastAsia"/>
            <w:noProof/>
          </w:rPr>
          <w:t>（一）指导思想</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_Toc136877076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6</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077" w:history="1">
        <w:r w:rsidR="002354F8" w:rsidRPr="00A41CE6">
          <w:rPr>
            <w:rStyle w:val="af2"/>
            <w:rFonts w:ascii="Times New Roman" w:eastAsia="黑体" w:hAnsi="Times New Roman" w:hint="eastAsia"/>
            <w:noProof/>
          </w:rPr>
          <w:t>（二）基本原则</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_Toc136877077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6</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78" w:history="1">
        <w:r w:rsidR="002354F8" w:rsidRPr="00A41CE6">
          <w:rPr>
            <w:rStyle w:val="af2"/>
            <w:rFonts w:ascii="Times New Roman" w:eastAsia="黑体" w:hAnsi="Times New Roman"/>
            <w:noProof/>
          </w:rPr>
          <w:t xml:space="preserve">1. </w:t>
        </w:r>
        <w:r w:rsidR="002354F8" w:rsidRPr="00A41CE6">
          <w:rPr>
            <w:rStyle w:val="af2"/>
            <w:rFonts w:ascii="Times New Roman" w:eastAsia="黑体" w:hAnsi="Times New Roman" w:hint="eastAsia"/>
            <w:noProof/>
          </w:rPr>
          <w:t>科学谋划、系统推进</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_Toc136877078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6</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79" w:history="1">
        <w:r w:rsidR="002354F8" w:rsidRPr="00A41CE6">
          <w:rPr>
            <w:rStyle w:val="af2"/>
            <w:rFonts w:ascii="Times New Roman" w:eastAsia="黑体" w:hAnsi="Times New Roman"/>
            <w:noProof/>
          </w:rPr>
          <w:t xml:space="preserve">2. </w:t>
        </w:r>
        <w:r w:rsidR="002354F8" w:rsidRPr="00A41CE6">
          <w:rPr>
            <w:rStyle w:val="af2"/>
            <w:rFonts w:ascii="Times New Roman" w:eastAsia="黑体" w:hAnsi="Times New Roman" w:hint="eastAsia"/>
            <w:noProof/>
          </w:rPr>
          <w:t>政府引导、市场运作</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_Toc136877079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6</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80" w:history="1">
        <w:r w:rsidR="002354F8" w:rsidRPr="00A41CE6">
          <w:rPr>
            <w:rStyle w:val="af2"/>
            <w:rFonts w:ascii="Times New Roman" w:eastAsia="黑体" w:hAnsi="Times New Roman"/>
            <w:noProof/>
          </w:rPr>
          <w:t xml:space="preserve">3. </w:t>
        </w:r>
        <w:r w:rsidR="002354F8" w:rsidRPr="00A41CE6">
          <w:rPr>
            <w:rStyle w:val="af2"/>
            <w:rFonts w:ascii="Times New Roman" w:eastAsia="黑体" w:hAnsi="Times New Roman" w:hint="eastAsia"/>
            <w:noProof/>
          </w:rPr>
          <w:t>立足当前、着眼长远</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_Toc136877080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7</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081" w:history="1">
        <w:r w:rsidR="002354F8" w:rsidRPr="00A41CE6">
          <w:rPr>
            <w:rStyle w:val="af2"/>
            <w:rFonts w:ascii="Times New Roman" w:eastAsia="黑体" w:hAnsi="Times New Roman" w:hint="eastAsia"/>
            <w:noProof/>
          </w:rPr>
          <w:t>（三）发展目标</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_Toc136877081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7</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082" w:history="1">
        <w:r w:rsidR="002354F8" w:rsidRPr="00A41CE6">
          <w:rPr>
            <w:rStyle w:val="af2"/>
            <w:rFonts w:ascii="Times New Roman" w:eastAsia="黑体" w:hAnsi="Times New Roman" w:hint="eastAsia"/>
            <w:noProof/>
          </w:rPr>
          <w:t>（四）未来展望</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_Toc136877082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8</w:t>
        </w:r>
        <w:r w:rsidR="002354F8" w:rsidRPr="00A41CE6">
          <w:rPr>
            <w:rFonts w:ascii="Times New Roman" w:hAnsi="Times New Roman"/>
            <w:noProof/>
            <w:webHidden/>
          </w:rPr>
          <w:fldChar w:fldCharType="end"/>
        </w:r>
      </w:hyperlink>
    </w:p>
    <w:p w:rsidR="002354F8" w:rsidRPr="00A41CE6" w:rsidRDefault="00C5655C">
      <w:pPr>
        <w:pStyle w:val="10"/>
        <w:tabs>
          <w:tab w:val="right" w:leader="dot" w:pos="8296"/>
        </w:tabs>
        <w:rPr>
          <w:rFonts w:ascii="Times New Roman" w:eastAsiaTheme="minorEastAsia" w:hAnsi="Times New Roman" w:cstheme="minorBidi"/>
          <w:noProof/>
          <w:kern w:val="2"/>
          <w:sz w:val="21"/>
        </w:rPr>
      </w:pPr>
      <w:hyperlink w:anchor="_Toc136877083" w:history="1">
        <w:r w:rsidR="002354F8" w:rsidRPr="00A41CE6">
          <w:rPr>
            <w:rStyle w:val="af2"/>
            <w:rFonts w:ascii="Times New Roman" w:eastAsia="黑体" w:hAnsi="Times New Roman" w:hint="eastAsia"/>
            <w:noProof/>
          </w:rPr>
          <w:t>第三章</w:t>
        </w:r>
        <w:r w:rsidR="002354F8" w:rsidRPr="00A41CE6">
          <w:rPr>
            <w:rStyle w:val="af2"/>
            <w:rFonts w:ascii="Times New Roman" w:eastAsia="黑体" w:hAnsi="Times New Roman"/>
            <w:noProof/>
          </w:rPr>
          <w:t xml:space="preserve"> </w:t>
        </w:r>
        <w:r w:rsidR="002354F8" w:rsidRPr="00A41CE6">
          <w:rPr>
            <w:rStyle w:val="af2"/>
            <w:rFonts w:ascii="Times New Roman" w:eastAsia="黑体" w:hAnsi="Times New Roman" w:hint="eastAsia"/>
            <w:noProof/>
          </w:rPr>
          <w:t>重点任务</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_Toc136877083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9</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084" w:history="1">
        <w:r w:rsidR="002354F8" w:rsidRPr="00A41CE6">
          <w:rPr>
            <w:rStyle w:val="af2"/>
            <w:rFonts w:ascii="Times New Roman" w:eastAsia="黑体" w:hAnsi="Times New Roman" w:hint="eastAsia"/>
            <w:noProof/>
          </w:rPr>
          <w:t>（一）有序提升建筑能效水平</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_Toc136877084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9</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85" w:history="1">
        <w:r w:rsidR="002354F8" w:rsidRPr="00A41CE6">
          <w:rPr>
            <w:rStyle w:val="af2"/>
            <w:rFonts w:ascii="Times New Roman" w:eastAsia="黑体" w:hAnsi="Times New Roman"/>
            <w:noProof/>
          </w:rPr>
          <w:t xml:space="preserve">1. </w:t>
        </w:r>
        <w:r w:rsidR="002354F8" w:rsidRPr="00A41CE6">
          <w:rPr>
            <w:rStyle w:val="af2"/>
            <w:rFonts w:ascii="Times New Roman" w:eastAsia="黑体" w:hAnsi="Times New Roman" w:hint="eastAsia"/>
            <w:noProof/>
          </w:rPr>
          <w:t>推动建筑用能清洁化</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_Toc136877085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9</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086"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1</w:t>
        </w:r>
        <w:r w:rsidR="002354F8" w:rsidRPr="00A41CE6">
          <w:rPr>
            <w:rStyle w:val="af2"/>
            <w:rFonts w:ascii="Times New Roman" w:eastAsia="仿宋" w:hAnsi="Times New Roman" w:hint="eastAsia"/>
            <w:noProof/>
          </w:rPr>
          <w:t>）积极发展新能源</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_Toc136877086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9</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087"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2</w:t>
        </w:r>
        <w:r w:rsidR="002354F8" w:rsidRPr="00A41CE6">
          <w:rPr>
            <w:rStyle w:val="af2"/>
            <w:rFonts w:ascii="Times New Roman" w:eastAsia="仿宋" w:hAnsi="Times New Roman" w:hint="eastAsia"/>
            <w:noProof/>
          </w:rPr>
          <w:t>）扩大可再生能源建筑应用规模</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_Toc136877087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9</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088"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3</w:t>
        </w:r>
        <w:r w:rsidR="002354F8" w:rsidRPr="00A41CE6">
          <w:rPr>
            <w:rStyle w:val="af2"/>
            <w:rFonts w:ascii="Times New Roman" w:eastAsia="仿宋" w:hAnsi="Times New Roman" w:hint="eastAsia"/>
            <w:noProof/>
          </w:rPr>
          <w:t>）提升可再生能源建筑应用质量</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_Toc136877088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10</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089"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4</w:t>
        </w:r>
        <w:r w:rsidR="002354F8" w:rsidRPr="00A41CE6">
          <w:rPr>
            <w:rStyle w:val="af2"/>
            <w:rFonts w:ascii="Times New Roman" w:eastAsia="仿宋" w:hAnsi="Times New Roman" w:hint="eastAsia"/>
            <w:noProof/>
          </w:rPr>
          <w:t>）加强应用能力建设</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_Toc136877089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10</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90" w:history="1">
        <w:r w:rsidR="002354F8" w:rsidRPr="00A41CE6">
          <w:rPr>
            <w:rStyle w:val="af2"/>
            <w:rFonts w:ascii="Times New Roman" w:eastAsia="黑体" w:hAnsi="Times New Roman"/>
            <w:noProof/>
          </w:rPr>
          <w:t xml:space="preserve">2. </w:t>
        </w:r>
        <w:r w:rsidR="002354F8" w:rsidRPr="00A41CE6">
          <w:rPr>
            <w:rStyle w:val="af2"/>
            <w:rFonts w:ascii="Times New Roman" w:eastAsia="黑体" w:hAnsi="Times New Roman" w:hint="eastAsia"/>
            <w:noProof/>
          </w:rPr>
          <w:t>提高建筑低碳化水平</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_Toc136877090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10</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091"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1</w:t>
        </w:r>
        <w:r w:rsidR="002354F8" w:rsidRPr="00A41CE6">
          <w:rPr>
            <w:rStyle w:val="af2"/>
            <w:rFonts w:ascii="Times New Roman" w:eastAsia="仿宋" w:hAnsi="Times New Roman" w:hint="eastAsia"/>
            <w:noProof/>
          </w:rPr>
          <w:t>）强化城镇新建建筑节能</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_Toc136877091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10</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092"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2</w:t>
        </w:r>
        <w:r w:rsidR="002354F8" w:rsidRPr="00A41CE6">
          <w:rPr>
            <w:rStyle w:val="af2"/>
            <w:rFonts w:ascii="Times New Roman" w:eastAsia="仿宋" w:hAnsi="Times New Roman" w:hint="eastAsia"/>
            <w:noProof/>
          </w:rPr>
          <w:t>）加快推进超低能耗建筑发展</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_Toc136877092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11</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93" w:history="1">
        <w:r w:rsidR="002354F8" w:rsidRPr="00A41CE6">
          <w:rPr>
            <w:rStyle w:val="af2"/>
            <w:rFonts w:ascii="Times New Roman" w:eastAsia="黑体" w:hAnsi="Times New Roman"/>
            <w:noProof/>
          </w:rPr>
          <w:t xml:space="preserve">3. </w:t>
        </w:r>
        <w:r w:rsidR="002354F8" w:rsidRPr="00A41CE6">
          <w:rPr>
            <w:rStyle w:val="af2"/>
            <w:rFonts w:ascii="Times New Roman" w:eastAsia="黑体" w:hAnsi="Times New Roman" w:hint="eastAsia"/>
            <w:noProof/>
          </w:rPr>
          <w:t>强化既有建筑改造与功能提升</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_Toc136877093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11</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094"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1</w:t>
        </w:r>
        <w:r w:rsidR="002354F8" w:rsidRPr="00A41CE6">
          <w:rPr>
            <w:rStyle w:val="af2"/>
            <w:rFonts w:ascii="Times New Roman" w:eastAsia="仿宋" w:hAnsi="Times New Roman" w:hint="eastAsia"/>
            <w:noProof/>
          </w:rPr>
          <w:t>）推进既有建筑改造</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_Toc136877094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11</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095"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2</w:t>
        </w:r>
        <w:r w:rsidR="002354F8" w:rsidRPr="00A41CE6">
          <w:rPr>
            <w:rStyle w:val="af2"/>
            <w:rFonts w:ascii="Times New Roman" w:eastAsia="仿宋" w:hAnsi="Times New Roman" w:hint="eastAsia"/>
            <w:noProof/>
          </w:rPr>
          <w:t>）扩大公共建筑节能绿色改造示范</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_Toc136877095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12</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96" w:history="1">
        <w:r w:rsidR="002354F8" w:rsidRPr="00A41CE6">
          <w:rPr>
            <w:rStyle w:val="af2"/>
            <w:rFonts w:ascii="Times New Roman" w:eastAsia="黑体" w:hAnsi="Times New Roman"/>
            <w:noProof/>
          </w:rPr>
          <w:t xml:space="preserve">4. </w:t>
        </w:r>
        <w:r w:rsidR="002354F8" w:rsidRPr="00A41CE6">
          <w:rPr>
            <w:rStyle w:val="af2"/>
            <w:rFonts w:ascii="Times New Roman" w:eastAsia="黑体" w:hAnsi="Times New Roman" w:hint="eastAsia"/>
            <w:noProof/>
          </w:rPr>
          <w:t>加强公共建筑用能监管</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_Toc136877096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12</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097"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1</w:t>
        </w:r>
        <w:r w:rsidR="002354F8" w:rsidRPr="00A41CE6">
          <w:rPr>
            <w:rStyle w:val="af2"/>
            <w:rFonts w:ascii="Times New Roman" w:eastAsia="仿宋" w:hAnsi="Times New Roman" w:hint="eastAsia"/>
            <w:noProof/>
          </w:rPr>
          <w:t>）继续开展民用建筑能耗统计</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_Toc136877097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12</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098"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2</w:t>
        </w:r>
        <w:r w:rsidR="002354F8" w:rsidRPr="00A41CE6">
          <w:rPr>
            <w:rStyle w:val="af2"/>
            <w:rFonts w:ascii="Times New Roman" w:eastAsia="仿宋" w:hAnsi="Times New Roman" w:hint="eastAsia"/>
            <w:noProof/>
          </w:rPr>
          <w:t>）持续加强数字化能源监控</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_Toc136877098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12</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099" w:history="1">
        <w:r w:rsidR="002354F8" w:rsidRPr="00A41CE6">
          <w:rPr>
            <w:rStyle w:val="af2"/>
            <w:rFonts w:ascii="Times New Roman" w:eastAsia="黑体" w:hAnsi="Times New Roman"/>
            <w:noProof/>
          </w:rPr>
          <w:t xml:space="preserve">5. </w:t>
        </w:r>
        <w:r w:rsidR="002354F8" w:rsidRPr="00A41CE6">
          <w:rPr>
            <w:rStyle w:val="af2"/>
            <w:rFonts w:ascii="Times New Roman" w:eastAsia="黑体" w:hAnsi="Times New Roman" w:hint="eastAsia"/>
            <w:noProof/>
          </w:rPr>
          <w:t>开展碳达峰碳中和研究及工程示范</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_Toc136877099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12</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100" w:history="1">
        <w:r w:rsidR="002354F8" w:rsidRPr="00A41CE6">
          <w:rPr>
            <w:rStyle w:val="af2"/>
            <w:rFonts w:ascii="Times New Roman" w:eastAsia="黑体" w:hAnsi="Times New Roman" w:hint="eastAsia"/>
            <w:noProof/>
          </w:rPr>
          <w:t>（二）开展绿色建筑量质齐升行动</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_Toc136877100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14</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101" w:history="1">
        <w:r w:rsidR="002354F8" w:rsidRPr="00A41CE6">
          <w:rPr>
            <w:rStyle w:val="af2"/>
            <w:rFonts w:ascii="Times New Roman" w:eastAsia="黑体" w:hAnsi="Times New Roman"/>
            <w:noProof/>
          </w:rPr>
          <w:t xml:space="preserve">1. </w:t>
        </w:r>
        <w:r w:rsidR="002354F8" w:rsidRPr="00A41CE6">
          <w:rPr>
            <w:rStyle w:val="af2"/>
            <w:rFonts w:ascii="Times New Roman" w:eastAsia="黑体" w:hAnsi="Times New Roman" w:hint="eastAsia"/>
            <w:noProof/>
          </w:rPr>
          <w:t>推进绿色建筑高质量发展</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_Toc136877101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14</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02"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1</w:t>
        </w:r>
        <w:r w:rsidR="002354F8" w:rsidRPr="00A41CE6">
          <w:rPr>
            <w:rStyle w:val="af2"/>
            <w:rFonts w:ascii="Times New Roman" w:eastAsia="仿宋" w:hAnsi="Times New Roman" w:hint="eastAsia"/>
            <w:noProof/>
          </w:rPr>
          <w:t>）全面实施绿色建筑标准</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_Toc136877102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14</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03"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2</w:t>
        </w:r>
        <w:r w:rsidR="002354F8" w:rsidRPr="00A41CE6">
          <w:rPr>
            <w:rStyle w:val="af2"/>
            <w:rFonts w:ascii="Times New Roman" w:eastAsia="仿宋" w:hAnsi="Times New Roman" w:hint="eastAsia"/>
            <w:noProof/>
          </w:rPr>
          <w:t>）强化绿色建筑的质量监管</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_Toc136877103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14</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04"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3</w:t>
        </w:r>
        <w:r w:rsidR="002354F8" w:rsidRPr="00A41CE6">
          <w:rPr>
            <w:rStyle w:val="af2"/>
            <w:rFonts w:ascii="Times New Roman" w:eastAsia="仿宋" w:hAnsi="Times New Roman" w:hint="eastAsia"/>
            <w:noProof/>
          </w:rPr>
          <w:t>）规范开展星级标识认定</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_Toc136877104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15</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05"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4</w:t>
        </w:r>
        <w:r w:rsidR="002354F8" w:rsidRPr="00A41CE6">
          <w:rPr>
            <w:rStyle w:val="af2"/>
            <w:rFonts w:ascii="Times New Roman" w:eastAsia="仿宋" w:hAnsi="Times New Roman" w:hint="eastAsia"/>
            <w:noProof/>
          </w:rPr>
          <w:t>）推进绿色建筑技术研究运用</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_Toc136877105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15</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06"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5</w:t>
        </w:r>
        <w:r w:rsidR="002354F8" w:rsidRPr="00A41CE6">
          <w:rPr>
            <w:rStyle w:val="af2"/>
            <w:rFonts w:ascii="Times New Roman" w:eastAsia="仿宋" w:hAnsi="Times New Roman" w:hint="eastAsia"/>
            <w:noProof/>
          </w:rPr>
          <w:t>）大力推行绿色建造</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_Toc136877106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16</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07"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6</w:t>
        </w:r>
        <w:r w:rsidR="002354F8" w:rsidRPr="00A41CE6">
          <w:rPr>
            <w:rStyle w:val="af2"/>
            <w:rFonts w:ascii="Times New Roman" w:eastAsia="仿宋" w:hAnsi="Times New Roman" w:hint="eastAsia"/>
            <w:noProof/>
          </w:rPr>
          <w:t>）落实绿色住宅使用者监督机制</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_Toc136877107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16</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108" w:history="1">
        <w:r w:rsidR="002354F8" w:rsidRPr="00A41CE6">
          <w:rPr>
            <w:rStyle w:val="af2"/>
            <w:rFonts w:ascii="Times New Roman" w:eastAsia="黑体" w:hAnsi="Times New Roman"/>
            <w:noProof/>
          </w:rPr>
          <w:t xml:space="preserve">2. </w:t>
        </w:r>
        <w:r w:rsidR="002354F8" w:rsidRPr="00A41CE6">
          <w:rPr>
            <w:rStyle w:val="af2"/>
            <w:rFonts w:ascii="Times New Roman" w:eastAsia="黑体" w:hAnsi="Times New Roman" w:hint="eastAsia"/>
            <w:noProof/>
          </w:rPr>
          <w:t>推动绿色建筑区域化建设</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_Toc136877108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16</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109" w:history="1">
        <w:r w:rsidR="002354F8" w:rsidRPr="00A41CE6">
          <w:rPr>
            <w:rStyle w:val="af2"/>
            <w:rFonts w:ascii="Times New Roman" w:eastAsia="黑体" w:hAnsi="Times New Roman"/>
            <w:noProof/>
          </w:rPr>
          <w:t xml:space="preserve">3. </w:t>
        </w:r>
        <w:r w:rsidR="002354F8" w:rsidRPr="00A41CE6">
          <w:rPr>
            <w:rStyle w:val="af2"/>
            <w:rFonts w:ascii="Times New Roman" w:eastAsia="黑体" w:hAnsi="Times New Roman" w:hint="eastAsia"/>
            <w:noProof/>
          </w:rPr>
          <w:t>促进建材的绿色化发展</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_Toc136877109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17</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10"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1</w:t>
        </w:r>
        <w:r w:rsidR="002354F8" w:rsidRPr="00A41CE6">
          <w:rPr>
            <w:rStyle w:val="af2"/>
            <w:rFonts w:ascii="Times New Roman" w:eastAsia="仿宋" w:hAnsi="Times New Roman" w:hint="eastAsia"/>
            <w:noProof/>
          </w:rPr>
          <w:t>）推动绿色建材的发展应用</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_Toc136877110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17</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11"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2</w:t>
        </w:r>
        <w:r w:rsidR="002354F8" w:rsidRPr="00A41CE6">
          <w:rPr>
            <w:rStyle w:val="af2"/>
            <w:rFonts w:ascii="Times New Roman" w:eastAsia="仿宋" w:hAnsi="Times New Roman" w:hint="eastAsia"/>
            <w:noProof/>
          </w:rPr>
          <w:t>）加强垃圾资源化利用</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_Toc136877111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17</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112" w:history="1">
        <w:r w:rsidR="002354F8" w:rsidRPr="00A41CE6">
          <w:rPr>
            <w:rStyle w:val="af2"/>
            <w:rFonts w:ascii="Times New Roman" w:eastAsia="黑体" w:hAnsi="Times New Roman" w:hint="eastAsia"/>
            <w:noProof/>
          </w:rPr>
          <w:t>（三）全面推广装配式建筑</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_Toc136877112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18</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113" w:history="1">
        <w:r w:rsidR="002354F8" w:rsidRPr="00A41CE6">
          <w:rPr>
            <w:rStyle w:val="af2"/>
            <w:rFonts w:ascii="Times New Roman" w:eastAsia="黑体" w:hAnsi="Times New Roman"/>
            <w:noProof/>
          </w:rPr>
          <w:t>1.</w:t>
        </w:r>
        <w:r w:rsidR="002354F8" w:rsidRPr="00A41CE6">
          <w:rPr>
            <w:rStyle w:val="af2"/>
            <w:rFonts w:ascii="Times New Roman" w:eastAsia="黑体" w:hAnsi="Times New Roman" w:hint="eastAsia"/>
            <w:noProof/>
          </w:rPr>
          <w:t>推动装配式建筑深入发展</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_Toc136877113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18</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14"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1</w:t>
        </w:r>
        <w:r w:rsidR="002354F8" w:rsidRPr="00A41CE6">
          <w:rPr>
            <w:rStyle w:val="af2"/>
            <w:rFonts w:ascii="Times New Roman" w:eastAsia="仿宋" w:hAnsi="Times New Roman" w:hint="eastAsia"/>
            <w:noProof/>
          </w:rPr>
          <w:t>）推进高质量发展进程</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_Toc136877114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18</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15"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2</w:t>
        </w:r>
        <w:r w:rsidR="002354F8" w:rsidRPr="00A41CE6">
          <w:rPr>
            <w:rStyle w:val="af2"/>
            <w:rFonts w:ascii="Times New Roman" w:eastAsia="仿宋" w:hAnsi="Times New Roman" w:hint="eastAsia"/>
            <w:noProof/>
          </w:rPr>
          <w:t>）加强建筑工业化与信息化融合发展</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_Toc136877115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18</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16"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3</w:t>
        </w:r>
        <w:r w:rsidR="002354F8" w:rsidRPr="00A41CE6">
          <w:rPr>
            <w:rStyle w:val="af2"/>
            <w:rFonts w:ascii="Times New Roman" w:eastAsia="仿宋" w:hAnsi="Times New Roman" w:hint="eastAsia"/>
            <w:noProof/>
          </w:rPr>
          <w:t>）提高标准化应用水平</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_Toc136877116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19</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117" w:history="1">
        <w:r w:rsidR="002354F8" w:rsidRPr="00A41CE6">
          <w:rPr>
            <w:rStyle w:val="af2"/>
            <w:rFonts w:ascii="Times New Roman" w:eastAsia="黑体" w:hAnsi="Times New Roman"/>
            <w:noProof/>
          </w:rPr>
          <w:t>2.</w:t>
        </w:r>
        <w:r w:rsidR="002354F8" w:rsidRPr="00A41CE6">
          <w:rPr>
            <w:rStyle w:val="af2"/>
            <w:rFonts w:ascii="Times New Roman" w:eastAsia="黑体" w:hAnsi="Times New Roman" w:hint="eastAsia"/>
            <w:noProof/>
          </w:rPr>
          <w:t>强化建设管理能力</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_Toc136877117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19</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18"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1</w:t>
        </w:r>
        <w:r w:rsidR="002354F8" w:rsidRPr="00A41CE6">
          <w:rPr>
            <w:rStyle w:val="af2"/>
            <w:rFonts w:ascii="Times New Roman" w:eastAsia="仿宋" w:hAnsi="Times New Roman" w:hint="eastAsia"/>
            <w:noProof/>
          </w:rPr>
          <w:t>）健全装配式建筑质量安全监管机制</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_Toc136877118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19</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19"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2</w:t>
        </w:r>
        <w:r w:rsidR="002354F8" w:rsidRPr="00A41CE6">
          <w:rPr>
            <w:rStyle w:val="af2"/>
            <w:rFonts w:ascii="Times New Roman" w:eastAsia="仿宋" w:hAnsi="Times New Roman" w:hint="eastAsia"/>
            <w:noProof/>
          </w:rPr>
          <w:t>）推行工程总承包及全过程咨询</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_Toc136877119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19</w:t>
        </w:r>
        <w:r w:rsidR="002354F8" w:rsidRPr="00A41CE6">
          <w:rPr>
            <w:rFonts w:ascii="Times New Roman" w:hAnsi="Times New Roman"/>
            <w:noProof/>
            <w:webHidden/>
          </w:rPr>
          <w:fldChar w:fldCharType="end"/>
        </w:r>
      </w:hyperlink>
    </w:p>
    <w:p w:rsidR="002354F8" w:rsidRPr="00A41CE6" w:rsidRDefault="00C5655C" w:rsidP="002354F8">
      <w:pPr>
        <w:pStyle w:val="30"/>
        <w:tabs>
          <w:tab w:val="right" w:leader="dot" w:pos="8296"/>
        </w:tabs>
        <w:ind w:left="880"/>
        <w:rPr>
          <w:rFonts w:ascii="Times New Roman" w:eastAsiaTheme="minorEastAsia" w:hAnsi="Times New Roman" w:cstheme="minorBidi"/>
          <w:noProof/>
          <w:kern w:val="2"/>
          <w:sz w:val="21"/>
        </w:rPr>
      </w:pPr>
      <w:hyperlink w:anchor="_Toc136877120" w:history="1">
        <w:r w:rsidR="002354F8" w:rsidRPr="00A41CE6">
          <w:rPr>
            <w:rStyle w:val="af2"/>
            <w:rFonts w:ascii="Times New Roman" w:eastAsia="黑体" w:hAnsi="Times New Roman"/>
            <w:noProof/>
          </w:rPr>
          <w:t>3.</w:t>
        </w:r>
        <w:r w:rsidR="002354F8" w:rsidRPr="00A41CE6">
          <w:rPr>
            <w:rStyle w:val="af2"/>
            <w:rFonts w:ascii="Times New Roman" w:eastAsia="黑体" w:hAnsi="Times New Roman" w:hint="eastAsia"/>
            <w:noProof/>
          </w:rPr>
          <w:t>提升产业发展水平</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_Toc136877120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20</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21"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1</w:t>
        </w:r>
        <w:r w:rsidR="002354F8" w:rsidRPr="00A41CE6">
          <w:rPr>
            <w:rStyle w:val="af2"/>
            <w:rFonts w:ascii="Times New Roman" w:eastAsia="仿宋" w:hAnsi="Times New Roman" w:hint="eastAsia"/>
            <w:noProof/>
          </w:rPr>
          <w:t>）增强预制构件生产管理能力</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_Toc136877121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20</w:t>
        </w:r>
        <w:r w:rsidR="002354F8" w:rsidRPr="00A41CE6">
          <w:rPr>
            <w:rFonts w:ascii="Times New Roman" w:hAnsi="Times New Roman"/>
            <w:noProof/>
            <w:webHidden/>
          </w:rPr>
          <w:fldChar w:fldCharType="end"/>
        </w:r>
      </w:hyperlink>
    </w:p>
    <w:p w:rsidR="002354F8" w:rsidRPr="00A41CE6" w:rsidRDefault="00C5655C" w:rsidP="002354F8">
      <w:pPr>
        <w:pStyle w:val="40"/>
        <w:tabs>
          <w:tab w:val="right" w:leader="dot" w:pos="8296"/>
        </w:tabs>
        <w:ind w:left="1320"/>
        <w:rPr>
          <w:rFonts w:ascii="Times New Roman" w:eastAsiaTheme="minorEastAsia" w:hAnsi="Times New Roman" w:cstheme="minorBidi"/>
          <w:noProof/>
          <w:kern w:val="2"/>
          <w:sz w:val="21"/>
        </w:rPr>
      </w:pPr>
      <w:hyperlink w:anchor="_Toc136877122" w:history="1">
        <w:r w:rsidR="002354F8" w:rsidRPr="00A41CE6">
          <w:rPr>
            <w:rStyle w:val="af2"/>
            <w:rFonts w:ascii="Times New Roman" w:eastAsia="仿宋" w:hAnsi="Times New Roman" w:hint="eastAsia"/>
            <w:noProof/>
          </w:rPr>
          <w:t>（</w:t>
        </w:r>
        <w:r w:rsidR="002354F8" w:rsidRPr="00A41CE6">
          <w:rPr>
            <w:rStyle w:val="af2"/>
            <w:rFonts w:ascii="Times New Roman" w:eastAsia="仿宋" w:hAnsi="Times New Roman"/>
            <w:noProof/>
          </w:rPr>
          <w:t>2</w:t>
        </w:r>
        <w:r w:rsidR="002354F8" w:rsidRPr="00A41CE6">
          <w:rPr>
            <w:rStyle w:val="af2"/>
            <w:rFonts w:ascii="Times New Roman" w:eastAsia="仿宋" w:hAnsi="Times New Roman" w:hint="eastAsia"/>
            <w:noProof/>
          </w:rPr>
          <w:t>）创建综合性产业基地</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_Toc136877122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21</w:t>
        </w:r>
        <w:r w:rsidR="002354F8" w:rsidRPr="00A41CE6">
          <w:rPr>
            <w:rFonts w:ascii="Times New Roman" w:hAnsi="Times New Roman"/>
            <w:noProof/>
            <w:webHidden/>
          </w:rPr>
          <w:fldChar w:fldCharType="end"/>
        </w:r>
      </w:hyperlink>
    </w:p>
    <w:p w:rsidR="002354F8" w:rsidRPr="00A41CE6" w:rsidRDefault="00C5655C">
      <w:pPr>
        <w:pStyle w:val="10"/>
        <w:tabs>
          <w:tab w:val="right" w:leader="dot" w:pos="8296"/>
        </w:tabs>
        <w:rPr>
          <w:rFonts w:ascii="Times New Roman" w:eastAsiaTheme="minorEastAsia" w:hAnsi="Times New Roman" w:cstheme="minorBidi"/>
          <w:noProof/>
          <w:kern w:val="2"/>
          <w:sz w:val="21"/>
        </w:rPr>
      </w:pPr>
      <w:hyperlink w:anchor="_Toc136877123" w:history="1">
        <w:r w:rsidR="002354F8" w:rsidRPr="00A41CE6">
          <w:rPr>
            <w:rStyle w:val="af2"/>
            <w:rFonts w:ascii="Times New Roman" w:eastAsia="黑体" w:hAnsi="Times New Roman" w:hint="eastAsia"/>
            <w:noProof/>
          </w:rPr>
          <w:t>第四章</w:t>
        </w:r>
        <w:r w:rsidR="002354F8" w:rsidRPr="00A41CE6">
          <w:rPr>
            <w:rStyle w:val="af2"/>
            <w:rFonts w:ascii="Times New Roman" w:eastAsia="黑体" w:hAnsi="Times New Roman"/>
            <w:noProof/>
          </w:rPr>
          <w:t xml:space="preserve"> </w:t>
        </w:r>
        <w:r w:rsidR="002354F8" w:rsidRPr="00A41CE6">
          <w:rPr>
            <w:rStyle w:val="af2"/>
            <w:rFonts w:ascii="Times New Roman" w:eastAsia="黑体" w:hAnsi="Times New Roman" w:hint="eastAsia"/>
            <w:noProof/>
          </w:rPr>
          <w:t>保障措施</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_Toc136877123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22</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124" w:history="1">
        <w:r w:rsidR="002354F8" w:rsidRPr="00A41CE6">
          <w:rPr>
            <w:rStyle w:val="af2"/>
            <w:rFonts w:ascii="Times New Roman" w:eastAsia="黑体" w:hAnsi="Times New Roman" w:hint="eastAsia"/>
            <w:noProof/>
          </w:rPr>
          <w:t>（一）完善政策制度</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_Toc136877124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22</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125" w:history="1">
        <w:r w:rsidR="002354F8" w:rsidRPr="00A41CE6">
          <w:rPr>
            <w:rStyle w:val="af2"/>
            <w:rFonts w:ascii="Times New Roman" w:eastAsia="黑体" w:hAnsi="Times New Roman" w:hint="eastAsia"/>
            <w:noProof/>
          </w:rPr>
          <w:t>（二）加强组织协调</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_Toc136877125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22</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126" w:history="1">
        <w:r w:rsidR="002354F8" w:rsidRPr="00A41CE6">
          <w:rPr>
            <w:rStyle w:val="af2"/>
            <w:rFonts w:ascii="Times New Roman" w:eastAsia="黑体" w:hAnsi="Times New Roman" w:hint="eastAsia"/>
            <w:noProof/>
          </w:rPr>
          <w:t>（三）制定激励政策</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_Toc136877126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22</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127" w:history="1">
        <w:r w:rsidR="002354F8" w:rsidRPr="00A41CE6">
          <w:rPr>
            <w:rStyle w:val="af2"/>
            <w:rFonts w:ascii="Times New Roman" w:eastAsia="黑体" w:hAnsi="Times New Roman" w:hint="eastAsia"/>
            <w:noProof/>
          </w:rPr>
          <w:t>（四）推动市场发展</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_Toc136877127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23</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128" w:history="1">
        <w:r w:rsidR="002354F8" w:rsidRPr="00A41CE6">
          <w:rPr>
            <w:rStyle w:val="af2"/>
            <w:rFonts w:ascii="Times New Roman" w:eastAsia="黑体" w:hAnsi="Times New Roman" w:hint="eastAsia"/>
            <w:noProof/>
          </w:rPr>
          <w:t>（五）强化人才培养</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_Toc136877128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23</w:t>
        </w:r>
        <w:r w:rsidR="002354F8" w:rsidRPr="00A41CE6">
          <w:rPr>
            <w:rFonts w:ascii="Times New Roman" w:hAnsi="Times New Roman"/>
            <w:noProof/>
            <w:webHidden/>
          </w:rPr>
          <w:fldChar w:fldCharType="end"/>
        </w:r>
      </w:hyperlink>
    </w:p>
    <w:p w:rsidR="002354F8" w:rsidRPr="00A41CE6" w:rsidRDefault="00C5655C" w:rsidP="002354F8">
      <w:pPr>
        <w:pStyle w:val="20"/>
        <w:tabs>
          <w:tab w:val="right" w:leader="dot" w:pos="8296"/>
        </w:tabs>
        <w:ind w:left="440"/>
        <w:rPr>
          <w:rFonts w:ascii="Times New Roman" w:eastAsiaTheme="minorEastAsia" w:hAnsi="Times New Roman" w:cstheme="minorBidi"/>
          <w:noProof/>
          <w:kern w:val="2"/>
          <w:sz w:val="21"/>
        </w:rPr>
      </w:pPr>
      <w:hyperlink w:anchor="_Toc136877129" w:history="1">
        <w:r w:rsidR="002354F8" w:rsidRPr="00A41CE6">
          <w:rPr>
            <w:rStyle w:val="af2"/>
            <w:rFonts w:ascii="Times New Roman" w:eastAsia="黑体" w:hAnsi="Times New Roman" w:hint="eastAsia"/>
            <w:noProof/>
          </w:rPr>
          <w:t>（六）做好宣传教育</w:t>
        </w:r>
        <w:r w:rsidR="002354F8" w:rsidRPr="00A41CE6">
          <w:rPr>
            <w:rFonts w:ascii="Times New Roman" w:hAnsi="Times New Roman"/>
            <w:noProof/>
            <w:webHidden/>
          </w:rPr>
          <w:tab/>
        </w:r>
        <w:r w:rsidR="002354F8" w:rsidRPr="00A41CE6">
          <w:rPr>
            <w:rFonts w:ascii="Times New Roman" w:hAnsi="Times New Roman"/>
            <w:noProof/>
            <w:webHidden/>
          </w:rPr>
          <w:fldChar w:fldCharType="begin"/>
        </w:r>
        <w:r w:rsidR="002354F8" w:rsidRPr="00A41CE6">
          <w:rPr>
            <w:rFonts w:ascii="Times New Roman" w:hAnsi="Times New Roman"/>
            <w:noProof/>
            <w:webHidden/>
          </w:rPr>
          <w:instrText xml:space="preserve"> PAGEREF _Toc136877129 \h </w:instrText>
        </w:r>
        <w:r w:rsidR="002354F8" w:rsidRPr="00A41CE6">
          <w:rPr>
            <w:rFonts w:ascii="Times New Roman" w:hAnsi="Times New Roman"/>
            <w:noProof/>
            <w:webHidden/>
          </w:rPr>
        </w:r>
        <w:r w:rsidR="002354F8" w:rsidRPr="00A41CE6">
          <w:rPr>
            <w:rFonts w:ascii="Times New Roman" w:hAnsi="Times New Roman"/>
            <w:noProof/>
            <w:webHidden/>
          </w:rPr>
          <w:fldChar w:fldCharType="separate"/>
        </w:r>
        <w:r w:rsidR="00C90E66" w:rsidRPr="00A41CE6">
          <w:rPr>
            <w:rFonts w:ascii="Times New Roman" w:hAnsi="Times New Roman"/>
            <w:noProof/>
            <w:webHidden/>
          </w:rPr>
          <w:t>24</w:t>
        </w:r>
        <w:r w:rsidR="002354F8" w:rsidRPr="00A41CE6">
          <w:rPr>
            <w:rFonts w:ascii="Times New Roman" w:hAnsi="Times New Roman"/>
            <w:noProof/>
            <w:webHidden/>
          </w:rPr>
          <w:fldChar w:fldCharType="end"/>
        </w:r>
      </w:hyperlink>
    </w:p>
    <w:p w:rsidR="005A1264" w:rsidRPr="00A41CE6" w:rsidRDefault="005C591D">
      <w:pPr>
        <w:spacing w:after="0" w:line="240" w:lineRule="auto"/>
        <w:rPr>
          <w:rFonts w:ascii="Times New Roman" w:eastAsia="黑体" w:hAnsi="Times New Roman"/>
          <w:color w:val="000000" w:themeColor="text1"/>
          <w:sz w:val="36"/>
          <w:szCs w:val="36"/>
        </w:rPr>
      </w:pPr>
      <w:r w:rsidRPr="00A41CE6">
        <w:rPr>
          <w:rFonts w:ascii="Times New Roman" w:eastAsia="黑体" w:hAnsi="Times New Roman"/>
          <w:color w:val="000000" w:themeColor="text1"/>
          <w:sz w:val="36"/>
          <w:szCs w:val="36"/>
        </w:rPr>
        <w:fldChar w:fldCharType="end"/>
      </w:r>
    </w:p>
    <w:p w:rsidR="005A1264" w:rsidRPr="00A41CE6" w:rsidRDefault="005A1264">
      <w:pPr>
        <w:spacing w:after="0" w:line="240" w:lineRule="auto"/>
        <w:rPr>
          <w:rFonts w:ascii="Times New Roman" w:eastAsia="黑体" w:hAnsi="Times New Roman"/>
          <w:color w:val="000000" w:themeColor="text1"/>
          <w:sz w:val="36"/>
          <w:szCs w:val="36"/>
        </w:rPr>
        <w:sectPr w:rsidR="005A1264" w:rsidRPr="00A41CE6">
          <w:footerReference w:type="default" r:id="rId9"/>
          <w:pgSz w:w="11906" w:h="16838"/>
          <w:pgMar w:top="1440" w:right="1800" w:bottom="1440" w:left="1800" w:header="851" w:footer="567" w:gutter="0"/>
          <w:pgNumType w:fmt="upperRoman" w:start="1"/>
          <w:cols w:space="720"/>
          <w:docGrid w:type="lines" w:linePitch="312"/>
        </w:sectPr>
      </w:pPr>
    </w:p>
    <w:p w:rsidR="005A1264" w:rsidRPr="00A41CE6" w:rsidRDefault="005C591D">
      <w:pPr>
        <w:adjustRightInd w:val="0"/>
        <w:snapToGrid w:val="0"/>
        <w:spacing w:line="360" w:lineRule="auto"/>
        <w:jc w:val="center"/>
        <w:outlineLvl w:val="0"/>
        <w:rPr>
          <w:rFonts w:ascii="Times New Roman" w:eastAsia="黑体" w:hAnsi="Times New Roman"/>
          <w:color w:val="000000" w:themeColor="text1"/>
          <w:sz w:val="36"/>
          <w:szCs w:val="36"/>
        </w:rPr>
      </w:pPr>
      <w:bookmarkStart w:id="1" w:name="_Toc136877063"/>
      <w:r w:rsidRPr="00A41CE6">
        <w:rPr>
          <w:rFonts w:ascii="Times New Roman" w:eastAsia="黑体" w:hAnsi="Times New Roman" w:hint="eastAsia"/>
          <w:color w:val="000000" w:themeColor="text1"/>
          <w:sz w:val="36"/>
          <w:szCs w:val="36"/>
        </w:rPr>
        <w:lastRenderedPageBreak/>
        <w:t>第一章</w:t>
      </w:r>
      <w:r w:rsidRPr="00A41CE6">
        <w:rPr>
          <w:rFonts w:ascii="Times New Roman" w:eastAsia="黑体" w:hAnsi="Times New Roman" w:hint="eastAsia"/>
          <w:color w:val="000000" w:themeColor="text1"/>
          <w:sz w:val="36"/>
          <w:szCs w:val="36"/>
        </w:rPr>
        <w:t xml:space="preserve"> </w:t>
      </w:r>
      <w:r w:rsidRPr="00A41CE6">
        <w:rPr>
          <w:rFonts w:ascii="Times New Roman" w:eastAsia="黑体" w:hAnsi="Times New Roman" w:hint="eastAsia"/>
          <w:color w:val="000000" w:themeColor="text1"/>
          <w:sz w:val="36"/>
          <w:szCs w:val="36"/>
        </w:rPr>
        <w:t>规划背景</w:t>
      </w:r>
      <w:bookmarkEnd w:id="1"/>
    </w:p>
    <w:p w:rsidR="005A1264" w:rsidRPr="00A41CE6" w:rsidRDefault="005C591D">
      <w:pPr>
        <w:adjustRightInd w:val="0"/>
        <w:snapToGrid w:val="0"/>
        <w:spacing w:line="360" w:lineRule="auto"/>
        <w:ind w:firstLineChars="200" w:firstLine="640"/>
        <w:jc w:val="both"/>
        <w:outlineLvl w:val="1"/>
        <w:rPr>
          <w:rFonts w:ascii="Times New Roman" w:eastAsia="黑体" w:hAnsi="Times New Roman"/>
          <w:color w:val="000000" w:themeColor="text1"/>
          <w:sz w:val="32"/>
          <w:szCs w:val="32"/>
        </w:rPr>
      </w:pPr>
      <w:bookmarkStart w:id="2" w:name="_Toc136877064"/>
      <w:r w:rsidRPr="00A41CE6">
        <w:rPr>
          <w:rFonts w:ascii="Times New Roman" w:eastAsia="黑体" w:hAnsi="Times New Roman" w:hint="eastAsia"/>
          <w:color w:val="000000" w:themeColor="text1"/>
          <w:sz w:val="32"/>
          <w:szCs w:val="32"/>
        </w:rPr>
        <w:t>（一）基本概况</w:t>
      </w:r>
      <w:bookmarkEnd w:id="2"/>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海口市地处海南岛北部，东临文昌市，南接定安县，西连澄迈县，北临琼州海峡与广东省隔海相望。总面积</w:t>
      </w:r>
      <w:r w:rsidR="0034290E" w:rsidRPr="00A41CE6">
        <w:rPr>
          <w:rFonts w:ascii="Times New Roman" w:eastAsia="仿宋" w:hAnsi="Times New Roman" w:hint="eastAsia"/>
          <w:color w:val="000000" w:themeColor="text1"/>
          <w:sz w:val="28"/>
          <w:szCs w:val="28"/>
        </w:rPr>
        <w:t>3087.82</w:t>
      </w:r>
      <w:r w:rsidRPr="00A41CE6">
        <w:rPr>
          <w:rFonts w:ascii="Times New Roman" w:eastAsia="仿宋" w:hAnsi="Times New Roman" w:hint="eastAsia"/>
          <w:color w:val="000000" w:themeColor="text1"/>
          <w:sz w:val="28"/>
          <w:szCs w:val="28"/>
        </w:rPr>
        <w:t>平方千米，其中陆地面积</w:t>
      </w:r>
      <w:r w:rsidRPr="00A41CE6">
        <w:rPr>
          <w:rFonts w:ascii="Times New Roman" w:eastAsia="仿宋" w:hAnsi="Times New Roman" w:hint="eastAsia"/>
          <w:color w:val="000000" w:themeColor="text1"/>
          <w:sz w:val="28"/>
          <w:szCs w:val="28"/>
        </w:rPr>
        <w:t>2296.</w:t>
      </w:r>
      <w:r w:rsidR="00E30492" w:rsidRPr="00A41CE6">
        <w:rPr>
          <w:rFonts w:ascii="Times New Roman" w:eastAsia="仿宋" w:hAnsi="Times New Roman" w:hint="eastAsia"/>
          <w:color w:val="000000" w:themeColor="text1"/>
          <w:sz w:val="28"/>
          <w:szCs w:val="28"/>
        </w:rPr>
        <w:t>82</w:t>
      </w:r>
      <w:r w:rsidRPr="00A41CE6">
        <w:rPr>
          <w:rFonts w:ascii="Times New Roman" w:eastAsia="仿宋" w:hAnsi="Times New Roman" w:hint="eastAsia"/>
          <w:color w:val="000000" w:themeColor="text1"/>
          <w:sz w:val="28"/>
          <w:szCs w:val="28"/>
        </w:rPr>
        <w:t>平方千米，占</w:t>
      </w:r>
      <w:r w:rsidR="0034290E" w:rsidRPr="00A41CE6">
        <w:rPr>
          <w:rFonts w:ascii="Times New Roman" w:eastAsia="仿宋" w:hAnsi="Times New Roman" w:hint="eastAsia"/>
          <w:color w:val="000000" w:themeColor="text1"/>
          <w:sz w:val="28"/>
          <w:szCs w:val="28"/>
        </w:rPr>
        <w:t>74.38</w:t>
      </w:r>
      <w:r w:rsidRPr="00A41CE6">
        <w:rPr>
          <w:rFonts w:ascii="Times New Roman" w:eastAsia="仿宋" w:hAnsi="Times New Roman" w:hint="eastAsia"/>
          <w:color w:val="000000" w:themeColor="text1"/>
          <w:sz w:val="28"/>
          <w:szCs w:val="28"/>
        </w:rPr>
        <w:t>%</w:t>
      </w:r>
      <w:r w:rsidRPr="00A41CE6">
        <w:rPr>
          <w:rFonts w:ascii="Times New Roman" w:eastAsia="仿宋" w:hAnsi="Times New Roman" w:hint="eastAsia"/>
          <w:color w:val="000000" w:themeColor="text1"/>
          <w:sz w:val="28"/>
          <w:szCs w:val="28"/>
        </w:rPr>
        <w:t>；海域面积</w:t>
      </w:r>
      <w:r w:rsidR="00E30492" w:rsidRPr="00A41CE6">
        <w:rPr>
          <w:rFonts w:ascii="Times New Roman" w:eastAsia="仿宋" w:hAnsi="Times New Roman" w:hint="eastAsia"/>
          <w:color w:val="000000" w:themeColor="text1"/>
          <w:sz w:val="28"/>
          <w:szCs w:val="28"/>
        </w:rPr>
        <w:t>791</w:t>
      </w:r>
      <w:r w:rsidRPr="00A41CE6">
        <w:rPr>
          <w:rFonts w:ascii="Times New Roman" w:eastAsia="仿宋" w:hAnsi="Times New Roman" w:hint="eastAsia"/>
          <w:color w:val="000000" w:themeColor="text1"/>
          <w:sz w:val="28"/>
          <w:szCs w:val="28"/>
        </w:rPr>
        <w:t>平方千米，占</w:t>
      </w:r>
      <w:r w:rsidR="0034290E" w:rsidRPr="00A41CE6">
        <w:rPr>
          <w:rFonts w:ascii="Times New Roman" w:eastAsia="仿宋" w:hAnsi="Times New Roman" w:hint="eastAsia"/>
          <w:color w:val="000000" w:themeColor="text1"/>
          <w:sz w:val="28"/>
          <w:szCs w:val="28"/>
        </w:rPr>
        <w:t>25.62</w:t>
      </w:r>
      <w:r w:rsidRPr="00A41CE6">
        <w:rPr>
          <w:rFonts w:ascii="Times New Roman" w:eastAsia="仿宋" w:hAnsi="Times New Roman" w:hint="eastAsia"/>
          <w:color w:val="000000" w:themeColor="text1"/>
          <w:sz w:val="28"/>
          <w:szCs w:val="28"/>
        </w:rPr>
        <w:t>%</w:t>
      </w:r>
      <w:r w:rsidRPr="00A41CE6">
        <w:rPr>
          <w:rFonts w:ascii="Times New Roman" w:eastAsia="仿宋" w:hAnsi="Times New Roman" w:hint="eastAsia"/>
          <w:color w:val="000000" w:themeColor="text1"/>
          <w:sz w:val="28"/>
          <w:szCs w:val="28"/>
        </w:rPr>
        <w:t>。</w:t>
      </w:r>
      <w:r w:rsidRPr="00A41CE6">
        <w:rPr>
          <w:rFonts w:ascii="Times New Roman" w:eastAsia="仿宋" w:hAnsi="Times New Roman"/>
          <w:color w:val="000000" w:themeColor="text1"/>
        </w:rPr>
        <w:footnoteReference w:id="1"/>
      </w:r>
      <w:r w:rsidRPr="00A41CE6">
        <w:rPr>
          <w:rFonts w:ascii="Times New Roman" w:eastAsia="仿宋" w:hAnsi="Times New Roman" w:hint="eastAsia"/>
          <w:color w:val="000000" w:themeColor="text1"/>
          <w:sz w:val="28"/>
          <w:szCs w:val="28"/>
        </w:rPr>
        <w:t>根据第七次人口普查数据显示：全市</w:t>
      </w:r>
      <w:r w:rsidRPr="00A41CE6">
        <w:rPr>
          <w:rFonts w:ascii="Times New Roman" w:eastAsia="仿宋" w:hAnsi="Times New Roman" w:hint="eastAsia"/>
          <w:color w:val="000000" w:themeColor="text1"/>
          <w:sz w:val="28"/>
          <w:szCs w:val="28"/>
        </w:rPr>
        <w:t>4</w:t>
      </w:r>
      <w:r w:rsidRPr="00A41CE6">
        <w:rPr>
          <w:rFonts w:ascii="Times New Roman" w:eastAsia="仿宋" w:hAnsi="Times New Roman" w:hint="eastAsia"/>
          <w:color w:val="000000" w:themeColor="text1"/>
          <w:sz w:val="28"/>
          <w:szCs w:val="28"/>
        </w:rPr>
        <w:t>个区的总人口为</w:t>
      </w:r>
      <w:r w:rsidRPr="00A41CE6">
        <w:rPr>
          <w:rFonts w:ascii="Times New Roman" w:eastAsia="仿宋" w:hAnsi="Times New Roman" w:hint="eastAsia"/>
          <w:color w:val="000000" w:themeColor="text1"/>
          <w:sz w:val="28"/>
          <w:szCs w:val="28"/>
        </w:rPr>
        <w:t>2873358</w:t>
      </w:r>
      <w:r w:rsidRPr="00A41CE6">
        <w:rPr>
          <w:rFonts w:ascii="Times New Roman" w:eastAsia="仿宋" w:hAnsi="Times New Roman" w:hint="eastAsia"/>
          <w:color w:val="000000" w:themeColor="text1"/>
          <w:sz w:val="28"/>
          <w:szCs w:val="28"/>
        </w:rPr>
        <w:t>人。其中，秀英区</w:t>
      </w:r>
      <w:r w:rsidRPr="00A41CE6">
        <w:rPr>
          <w:rFonts w:ascii="Times New Roman" w:eastAsia="仿宋" w:hAnsi="Times New Roman" w:hint="eastAsia"/>
          <w:color w:val="000000" w:themeColor="text1"/>
          <w:sz w:val="28"/>
          <w:szCs w:val="28"/>
        </w:rPr>
        <w:t>567108</w:t>
      </w:r>
      <w:r w:rsidRPr="00A41CE6">
        <w:rPr>
          <w:rFonts w:ascii="Times New Roman" w:eastAsia="仿宋" w:hAnsi="Times New Roman" w:hint="eastAsia"/>
          <w:color w:val="000000" w:themeColor="text1"/>
          <w:sz w:val="28"/>
          <w:szCs w:val="28"/>
        </w:rPr>
        <w:t>人，龙华区</w:t>
      </w:r>
      <w:r w:rsidRPr="00A41CE6">
        <w:rPr>
          <w:rFonts w:ascii="Times New Roman" w:eastAsia="仿宋" w:hAnsi="Times New Roman" w:hint="eastAsia"/>
          <w:color w:val="000000" w:themeColor="text1"/>
          <w:sz w:val="28"/>
          <w:szCs w:val="28"/>
        </w:rPr>
        <w:t>797684</w:t>
      </w:r>
      <w:r w:rsidRPr="00A41CE6">
        <w:rPr>
          <w:rFonts w:ascii="Times New Roman" w:eastAsia="仿宋" w:hAnsi="Times New Roman" w:hint="eastAsia"/>
          <w:color w:val="000000" w:themeColor="text1"/>
          <w:sz w:val="28"/>
          <w:szCs w:val="28"/>
        </w:rPr>
        <w:t>人，琼山区</w:t>
      </w:r>
      <w:r w:rsidRPr="00A41CE6">
        <w:rPr>
          <w:rFonts w:ascii="Times New Roman" w:eastAsia="仿宋" w:hAnsi="Times New Roman" w:hint="eastAsia"/>
          <w:color w:val="000000" w:themeColor="text1"/>
          <w:sz w:val="28"/>
          <w:szCs w:val="28"/>
        </w:rPr>
        <w:t>655553</w:t>
      </w:r>
      <w:r w:rsidRPr="00A41CE6">
        <w:rPr>
          <w:rFonts w:ascii="Times New Roman" w:eastAsia="仿宋" w:hAnsi="Times New Roman" w:hint="eastAsia"/>
          <w:color w:val="000000" w:themeColor="text1"/>
          <w:sz w:val="28"/>
          <w:szCs w:val="28"/>
        </w:rPr>
        <w:t>人，美兰区</w:t>
      </w:r>
      <w:r w:rsidRPr="00A41CE6">
        <w:rPr>
          <w:rFonts w:ascii="Times New Roman" w:eastAsia="仿宋" w:hAnsi="Times New Roman" w:hint="eastAsia"/>
          <w:color w:val="000000" w:themeColor="text1"/>
          <w:sz w:val="28"/>
          <w:szCs w:val="28"/>
        </w:rPr>
        <w:t>853013</w:t>
      </w:r>
      <w:r w:rsidRPr="00A41CE6">
        <w:rPr>
          <w:rFonts w:ascii="Times New Roman" w:eastAsia="仿宋" w:hAnsi="Times New Roman" w:hint="eastAsia"/>
          <w:color w:val="000000" w:themeColor="text1"/>
          <w:sz w:val="28"/>
          <w:szCs w:val="28"/>
        </w:rPr>
        <w:t>人。</w:t>
      </w:r>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海口市地处</w:t>
      </w:r>
      <w:r w:rsidRPr="00A41CE6">
        <w:rPr>
          <w:rFonts w:ascii="Times New Roman" w:eastAsia="仿宋" w:hAnsi="Times New Roman"/>
          <w:color w:val="000000" w:themeColor="text1"/>
          <w:sz w:val="28"/>
          <w:szCs w:val="28"/>
        </w:rPr>
        <w:t>东经</w:t>
      </w:r>
      <w:r w:rsidRPr="00A41CE6">
        <w:rPr>
          <w:rFonts w:ascii="Times New Roman" w:eastAsia="仿宋" w:hAnsi="Times New Roman" w:hint="eastAsia"/>
          <w:color w:val="000000" w:themeColor="text1"/>
          <w:sz w:val="28"/>
          <w:szCs w:val="28"/>
        </w:rPr>
        <w:t>110</w:t>
      </w:r>
      <w:r w:rsidRPr="00A41CE6">
        <w:rPr>
          <w:rFonts w:ascii="Times New Roman" w:eastAsia="仿宋" w:hAnsi="Times New Roman"/>
          <w:color w:val="000000" w:themeColor="text1"/>
          <w:sz w:val="28"/>
          <w:szCs w:val="28"/>
        </w:rPr>
        <w:t>°</w:t>
      </w:r>
      <w:r w:rsidRPr="00A41CE6">
        <w:rPr>
          <w:rFonts w:ascii="Times New Roman" w:eastAsia="仿宋" w:hAnsi="Times New Roman" w:hint="eastAsia"/>
          <w:color w:val="000000" w:themeColor="text1"/>
          <w:sz w:val="28"/>
          <w:szCs w:val="28"/>
        </w:rPr>
        <w:t>07</w:t>
      </w:r>
      <w:r w:rsidRPr="00A41CE6">
        <w:rPr>
          <w:rFonts w:ascii="Times New Roman" w:eastAsia="仿宋" w:hAnsi="Times New Roman"/>
          <w:color w:val="000000" w:themeColor="text1"/>
          <w:sz w:val="28"/>
          <w:szCs w:val="28"/>
        </w:rPr>
        <w:t>′</w:t>
      </w:r>
      <w:r w:rsidRPr="00A41CE6">
        <w:rPr>
          <w:rFonts w:ascii="Times New Roman" w:eastAsia="仿宋" w:hAnsi="Times New Roman" w:hint="eastAsia"/>
          <w:color w:val="000000" w:themeColor="text1"/>
          <w:sz w:val="28"/>
          <w:szCs w:val="28"/>
        </w:rPr>
        <w:t>22</w:t>
      </w:r>
      <w:r w:rsidRPr="00A41CE6">
        <w:rPr>
          <w:rFonts w:ascii="Times New Roman" w:eastAsia="仿宋" w:hAnsi="Times New Roman" w:hint="eastAsia"/>
          <w:color w:val="000000" w:themeColor="text1"/>
          <w:sz w:val="28"/>
          <w:szCs w:val="28"/>
        </w:rPr>
        <w:t>″</w:t>
      </w:r>
      <w:r w:rsidRPr="00A41CE6">
        <w:rPr>
          <w:rFonts w:ascii="Times New Roman" w:eastAsia="仿宋" w:hAnsi="Times New Roman"/>
          <w:color w:val="000000" w:themeColor="text1"/>
          <w:sz w:val="28"/>
          <w:szCs w:val="28"/>
        </w:rPr>
        <w:t>～</w:t>
      </w:r>
      <w:r w:rsidRPr="00A41CE6">
        <w:rPr>
          <w:rFonts w:ascii="Times New Roman" w:eastAsia="仿宋" w:hAnsi="Times New Roman"/>
          <w:color w:val="000000" w:themeColor="text1"/>
          <w:sz w:val="28"/>
          <w:szCs w:val="28"/>
        </w:rPr>
        <w:t>1</w:t>
      </w:r>
      <w:r w:rsidRPr="00A41CE6">
        <w:rPr>
          <w:rFonts w:ascii="Times New Roman" w:eastAsia="仿宋" w:hAnsi="Times New Roman" w:hint="eastAsia"/>
          <w:color w:val="000000" w:themeColor="text1"/>
          <w:sz w:val="28"/>
          <w:szCs w:val="28"/>
        </w:rPr>
        <w:t>10</w:t>
      </w:r>
      <w:r w:rsidRPr="00A41CE6">
        <w:rPr>
          <w:rFonts w:ascii="Times New Roman" w:eastAsia="仿宋" w:hAnsi="Times New Roman"/>
          <w:color w:val="000000" w:themeColor="text1"/>
          <w:sz w:val="28"/>
          <w:szCs w:val="28"/>
        </w:rPr>
        <w:t>°4</w:t>
      </w:r>
      <w:r w:rsidRPr="00A41CE6">
        <w:rPr>
          <w:rFonts w:ascii="Times New Roman" w:eastAsia="仿宋" w:hAnsi="Times New Roman" w:hint="eastAsia"/>
          <w:color w:val="000000" w:themeColor="text1"/>
          <w:sz w:val="28"/>
          <w:szCs w:val="28"/>
        </w:rPr>
        <w:t>2</w:t>
      </w:r>
      <w:r w:rsidRPr="00A41CE6">
        <w:rPr>
          <w:rFonts w:ascii="Times New Roman" w:eastAsia="仿宋" w:hAnsi="Times New Roman"/>
          <w:color w:val="000000" w:themeColor="text1"/>
          <w:sz w:val="28"/>
          <w:szCs w:val="28"/>
        </w:rPr>
        <w:t>′</w:t>
      </w:r>
      <w:r w:rsidRPr="00A41CE6">
        <w:rPr>
          <w:rFonts w:ascii="Times New Roman" w:eastAsia="仿宋" w:hAnsi="Times New Roman" w:hint="eastAsia"/>
          <w:color w:val="000000" w:themeColor="text1"/>
          <w:sz w:val="28"/>
          <w:szCs w:val="28"/>
        </w:rPr>
        <w:t>32</w:t>
      </w:r>
      <w:r w:rsidRPr="00A41CE6">
        <w:rPr>
          <w:rFonts w:ascii="Times New Roman" w:eastAsia="仿宋" w:hAnsi="Times New Roman" w:hint="eastAsia"/>
          <w:color w:val="000000" w:themeColor="text1"/>
          <w:sz w:val="28"/>
          <w:szCs w:val="28"/>
        </w:rPr>
        <w:t>″，</w:t>
      </w:r>
      <w:r w:rsidRPr="00A41CE6">
        <w:rPr>
          <w:rFonts w:ascii="Times New Roman" w:eastAsia="仿宋" w:hAnsi="Times New Roman"/>
          <w:color w:val="000000" w:themeColor="text1"/>
          <w:sz w:val="28"/>
          <w:szCs w:val="28"/>
        </w:rPr>
        <w:t>北纬</w:t>
      </w:r>
      <w:r w:rsidRPr="00A41CE6">
        <w:rPr>
          <w:rFonts w:ascii="Times New Roman" w:eastAsia="仿宋" w:hAnsi="Times New Roman"/>
          <w:color w:val="000000" w:themeColor="text1"/>
          <w:sz w:val="28"/>
          <w:szCs w:val="28"/>
        </w:rPr>
        <w:t>1</w:t>
      </w:r>
      <w:r w:rsidRPr="00A41CE6">
        <w:rPr>
          <w:rFonts w:ascii="Times New Roman" w:eastAsia="仿宋" w:hAnsi="Times New Roman" w:hint="eastAsia"/>
          <w:color w:val="000000" w:themeColor="text1"/>
          <w:sz w:val="28"/>
          <w:szCs w:val="28"/>
        </w:rPr>
        <w:t>9</w:t>
      </w:r>
      <w:r w:rsidRPr="00A41CE6">
        <w:rPr>
          <w:rFonts w:ascii="Times New Roman" w:eastAsia="仿宋" w:hAnsi="Times New Roman"/>
          <w:color w:val="000000" w:themeColor="text1"/>
          <w:sz w:val="28"/>
          <w:szCs w:val="28"/>
        </w:rPr>
        <w:t>°</w:t>
      </w:r>
      <w:r w:rsidRPr="00A41CE6">
        <w:rPr>
          <w:rFonts w:ascii="Times New Roman" w:eastAsia="仿宋" w:hAnsi="Times New Roman" w:hint="eastAsia"/>
          <w:color w:val="000000" w:themeColor="text1"/>
          <w:sz w:val="28"/>
          <w:szCs w:val="28"/>
        </w:rPr>
        <w:t>31</w:t>
      </w:r>
      <w:r w:rsidRPr="00A41CE6">
        <w:rPr>
          <w:rFonts w:ascii="Times New Roman" w:eastAsia="仿宋" w:hAnsi="Times New Roman"/>
          <w:color w:val="000000" w:themeColor="text1"/>
          <w:sz w:val="28"/>
          <w:szCs w:val="28"/>
        </w:rPr>
        <w:t>′</w:t>
      </w:r>
      <w:r w:rsidRPr="00A41CE6">
        <w:rPr>
          <w:rFonts w:ascii="Times New Roman" w:eastAsia="仿宋" w:hAnsi="Times New Roman" w:hint="eastAsia"/>
          <w:color w:val="000000" w:themeColor="text1"/>
          <w:sz w:val="28"/>
          <w:szCs w:val="28"/>
        </w:rPr>
        <w:t>32</w:t>
      </w:r>
      <w:r w:rsidRPr="00A41CE6">
        <w:rPr>
          <w:rFonts w:ascii="Times New Roman" w:eastAsia="仿宋" w:hAnsi="Times New Roman" w:hint="eastAsia"/>
          <w:color w:val="000000" w:themeColor="text1"/>
          <w:sz w:val="28"/>
          <w:szCs w:val="28"/>
        </w:rPr>
        <w:t>″</w:t>
      </w:r>
      <w:r w:rsidRPr="00A41CE6">
        <w:rPr>
          <w:rFonts w:ascii="Times New Roman" w:eastAsia="仿宋" w:hAnsi="Times New Roman"/>
          <w:color w:val="000000" w:themeColor="text1"/>
          <w:sz w:val="28"/>
          <w:szCs w:val="28"/>
        </w:rPr>
        <w:t>～</w:t>
      </w:r>
      <w:r w:rsidRPr="00A41CE6">
        <w:rPr>
          <w:rFonts w:ascii="Times New Roman" w:eastAsia="仿宋" w:hAnsi="Times New Roman" w:hint="eastAsia"/>
          <w:color w:val="000000" w:themeColor="text1"/>
          <w:sz w:val="28"/>
          <w:szCs w:val="28"/>
        </w:rPr>
        <w:t>20</w:t>
      </w:r>
      <w:r w:rsidRPr="00A41CE6">
        <w:rPr>
          <w:rFonts w:ascii="Times New Roman" w:eastAsia="仿宋" w:hAnsi="Times New Roman"/>
          <w:color w:val="000000" w:themeColor="text1"/>
          <w:sz w:val="28"/>
          <w:szCs w:val="28"/>
        </w:rPr>
        <w:t>°</w:t>
      </w:r>
      <w:r w:rsidRPr="00A41CE6">
        <w:rPr>
          <w:rFonts w:ascii="Times New Roman" w:eastAsia="仿宋" w:hAnsi="Times New Roman" w:hint="eastAsia"/>
          <w:color w:val="000000" w:themeColor="text1"/>
          <w:sz w:val="28"/>
          <w:szCs w:val="28"/>
        </w:rPr>
        <w:t>04</w:t>
      </w:r>
      <w:r w:rsidRPr="00A41CE6">
        <w:rPr>
          <w:rFonts w:ascii="Times New Roman" w:eastAsia="仿宋" w:hAnsi="Times New Roman"/>
          <w:color w:val="000000" w:themeColor="text1"/>
          <w:sz w:val="28"/>
          <w:szCs w:val="28"/>
        </w:rPr>
        <w:t>′</w:t>
      </w:r>
      <w:r w:rsidRPr="00A41CE6">
        <w:rPr>
          <w:rFonts w:ascii="Times New Roman" w:eastAsia="仿宋" w:hAnsi="Times New Roman" w:hint="eastAsia"/>
          <w:color w:val="000000" w:themeColor="text1"/>
          <w:sz w:val="28"/>
          <w:szCs w:val="28"/>
        </w:rPr>
        <w:t>52</w:t>
      </w:r>
      <w:r w:rsidRPr="00A41CE6">
        <w:rPr>
          <w:rFonts w:ascii="Times New Roman" w:eastAsia="仿宋" w:hAnsi="Times New Roman" w:hint="eastAsia"/>
          <w:color w:val="000000" w:themeColor="text1"/>
          <w:sz w:val="28"/>
          <w:szCs w:val="28"/>
        </w:rPr>
        <w:t>″，北濒南海，海洋性气候特征显著，具有温暖多雨、光热充足、温差较小、无霜期长等气候特征。</w:t>
      </w:r>
      <w:r w:rsidR="004A1C9A" w:rsidRPr="00A41CE6">
        <w:rPr>
          <w:rFonts w:ascii="Times New Roman" w:eastAsia="仿宋" w:hAnsi="Times New Roman" w:hint="eastAsia"/>
          <w:color w:val="000000" w:themeColor="text1"/>
          <w:sz w:val="28"/>
          <w:szCs w:val="28"/>
        </w:rPr>
        <w:t>全年多次出现雷雨大风和短时强降水等强对流天气，主要出现再</w:t>
      </w:r>
      <w:r w:rsidR="004A1C9A" w:rsidRPr="00A41CE6">
        <w:rPr>
          <w:rFonts w:ascii="Times New Roman" w:eastAsia="仿宋" w:hAnsi="Times New Roman" w:hint="eastAsia"/>
          <w:color w:val="000000" w:themeColor="text1"/>
          <w:sz w:val="28"/>
          <w:szCs w:val="28"/>
        </w:rPr>
        <w:t>4-10</w:t>
      </w:r>
      <w:r w:rsidR="004A1C9A" w:rsidRPr="00A41CE6">
        <w:rPr>
          <w:rFonts w:ascii="Times New Roman" w:eastAsia="仿宋" w:hAnsi="Times New Roman" w:hint="eastAsia"/>
          <w:color w:val="000000" w:themeColor="text1"/>
          <w:sz w:val="28"/>
          <w:szCs w:val="28"/>
        </w:rPr>
        <w:t>月；全年高温天气集中再</w:t>
      </w:r>
      <w:r w:rsidR="004A1C9A" w:rsidRPr="00A41CE6">
        <w:rPr>
          <w:rFonts w:ascii="Times New Roman" w:eastAsia="仿宋" w:hAnsi="Times New Roman" w:hint="eastAsia"/>
          <w:color w:val="000000" w:themeColor="text1"/>
          <w:sz w:val="28"/>
          <w:szCs w:val="28"/>
        </w:rPr>
        <w:t>5-8</w:t>
      </w:r>
      <w:r w:rsidR="004A1C9A" w:rsidRPr="00A41CE6">
        <w:rPr>
          <w:rFonts w:ascii="Times New Roman" w:eastAsia="仿宋" w:hAnsi="Times New Roman" w:hint="eastAsia"/>
          <w:color w:val="000000" w:themeColor="text1"/>
          <w:sz w:val="28"/>
          <w:szCs w:val="28"/>
        </w:rPr>
        <w:t>月，</w:t>
      </w:r>
      <w:r w:rsidR="004A1C9A" w:rsidRPr="00A41CE6">
        <w:rPr>
          <w:rFonts w:ascii="Times New Roman" w:eastAsia="仿宋" w:hAnsi="Times New Roman" w:hint="eastAsia"/>
          <w:color w:val="000000" w:themeColor="text1"/>
          <w:sz w:val="28"/>
          <w:szCs w:val="28"/>
        </w:rPr>
        <w:t>35.0</w:t>
      </w:r>
      <w:r w:rsidR="004A1C9A" w:rsidRPr="00A41CE6">
        <w:rPr>
          <w:rFonts w:ascii="Times New Roman" w:eastAsia="仿宋" w:hAnsi="Times New Roman" w:hint="eastAsia"/>
          <w:color w:val="000000" w:themeColor="text1"/>
          <w:sz w:val="28"/>
          <w:szCs w:val="28"/>
        </w:rPr>
        <w:t>℃以上高温日数</w:t>
      </w:r>
      <w:r w:rsidR="004A1C9A" w:rsidRPr="00A41CE6">
        <w:rPr>
          <w:rFonts w:ascii="Times New Roman" w:eastAsia="仿宋" w:hAnsi="Times New Roman" w:hint="eastAsia"/>
          <w:color w:val="000000" w:themeColor="text1"/>
          <w:sz w:val="28"/>
          <w:szCs w:val="28"/>
        </w:rPr>
        <w:t>52</w:t>
      </w:r>
      <w:r w:rsidR="004A1C9A" w:rsidRPr="00A41CE6">
        <w:rPr>
          <w:rFonts w:ascii="Times New Roman" w:eastAsia="仿宋" w:hAnsi="Times New Roman" w:hint="eastAsia"/>
          <w:color w:val="000000" w:themeColor="text1"/>
          <w:sz w:val="28"/>
          <w:szCs w:val="28"/>
        </w:rPr>
        <w:t>天。</w:t>
      </w:r>
      <w:r w:rsidRPr="00A41CE6">
        <w:rPr>
          <w:rFonts w:ascii="Times New Roman" w:eastAsia="仿宋" w:hAnsi="Times New Roman"/>
          <w:color w:val="000000" w:themeColor="text1"/>
        </w:rPr>
        <w:footnoteReference w:id="2"/>
      </w:r>
    </w:p>
    <w:p w:rsidR="005A1264" w:rsidRPr="00A41CE6" w:rsidRDefault="005C591D">
      <w:pPr>
        <w:adjustRightInd w:val="0"/>
        <w:snapToGrid w:val="0"/>
        <w:spacing w:line="360" w:lineRule="auto"/>
        <w:ind w:firstLineChars="200" w:firstLine="640"/>
        <w:jc w:val="both"/>
        <w:outlineLvl w:val="1"/>
        <w:rPr>
          <w:rFonts w:ascii="Times New Roman" w:eastAsia="黑体" w:hAnsi="Times New Roman"/>
          <w:color w:val="000000" w:themeColor="text1"/>
          <w:sz w:val="32"/>
          <w:szCs w:val="32"/>
        </w:rPr>
      </w:pPr>
      <w:bookmarkStart w:id="3" w:name="_Toc136877065"/>
      <w:r w:rsidRPr="00A41CE6">
        <w:rPr>
          <w:rFonts w:ascii="Times New Roman" w:eastAsia="黑体" w:hAnsi="Times New Roman" w:hint="eastAsia"/>
          <w:color w:val="000000" w:themeColor="text1"/>
          <w:sz w:val="32"/>
          <w:szCs w:val="32"/>
        </w:rPr>
        <w:t>（二）建设发展</w:t>
      </w:r>
      <w:bookmarkEnd w:id="3"/>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 xml:space="preserve"> 2016~</w:t>
      </w:r>
      <w:r w:rsidR="00A81B33" w:rsidRPr="00A41CE6">
        <w:rPr>
          <w:rFonts w:ascii="Times New Roman" w:eastAsia="仿宋" w:hAnsi="Times New Roman" w:hint="eastAsia"/>
          <w:color w:val="000000" w:themeColor="text1"/>
          <w:sz w:val="28"/>
          <w:szCs w:val="28"/>
        </w:rPr>
        <w:t>2021</w:t>
      </w:r>
      <w:r w:rsidRPr="00A41CE6">
        <w:rPr>
          <w:rFonts w:ascii="Times New Roman" w:eastAsia="仿宋" w:hAnsi="Times New Roman" w:hint="eastAsia"/>
          <w:color w:val="000000" w:themeColor="text1"/>
          <w:sz w:val="28"/>
          <w:szCs w:val="28"/>
        </w:rPr>
        <w:t>年期间海口市</w:t>
      </w:r>
      <w:r w:rsidR="0004548B" w:rsidRPr="00A41CE6">
        <w:rPr>
          <w:rFonts w:ascii="Times New Roman" w:eastAsia="仿宋" w:hAnsi="Times New Roman" w:hint="eastAsia"/>
          <w:color w:val="000000" w:themeColor="text1"/>
          <w:sz w:val="28"/>
          <w:szCs w:val="28"/>
        </w:rPr>
        <w:t>城镇新建建筑面积</w:t>
      </w:r>
      <w:r w:rsidR="00DD4F59" w:rsidRPr="00A41CE6">
        <w:rPr>
          <w:rFonts w:ascii="Times New Roman" w:eastAsia="仿宋" w:hAnsi="Times New Roman" w:hint="eastAsia"/>
          <w:color w:val="000000" w:themeColor="text1"/>
          <w:sz w:val="28"/>
          <w:szCs w:val="28"/>
        </w:rPr>
        <w:t>4806.14</w:t>
      </w:r>
      <w:r w:rsidR="0004548B" w:rsidRPr="00A41CE6">
        <w:rPr>
          <w:rFonts w:ascii="Times New Roman" w:eastAsia="仿宋" w:hAnsi="Times New Roman" w:hint="eastAsia"/>
          <w:color w:val="000000" w:themeColor="text1"/>
          <w:sz w:val="28"/>
          <w:szCs w:val="28"/>
        </w:rPr>
        <w:t>万平方米，</w:t>
      </w:r>
      <w:r w:rsidR="00952A27" w:rsidRPr="00A41CE6">
        <w:rPr>
          <w:rFonts w:ascii="Times New Roman" w:eastAsia="仿宋" w:hAnsi="Times New Roman" w:hint="eastAsia"/>
          <w:color w:val="000000" w:themeColor="text1"/>
          <w:sz w:val="28"/>
          <w:szCs w:val="28"/>
        </w:rPr>
        <w:t>其中</w:t>
      </w:r>
      <w:r w:rsidR="006F3618" w:rsidRPr="00A41CE6">
        <w:rPr>
          <w:rFonts w:ascii="Times New Roman" w:eastAsia="仿宋" w:hAnsi="Times New Roman" w:hint="eastAsia"/>
          <w:color w:val="000000" w:themeColor="text1"/>
          <w:sz w:val="28"/>
          <w:szCs w:val="28"/>
        </w:rPr>
        <w:t>2016~2019</w:t>
      </w:r>
      <w:r w:rsidR="006F3618" w:rsidRPr="00A41CE6">
        <w:rPr>
          <w:rFonts w:ascii="Times New Roman" w:eastAsia="仿宋" w:hAnsi="Times New Roman" w:hint="eastAsia"/>
          <w:color w:val="000000" w:themeColor="text1"/>
          <w:sz w:val="28"/>
          <w:szCs w:val="28"/>
        </w:rPr>
        <w:t>年</w:t>
      </w:r>
      <w:r w:rsidR="00AA3488" w:rsidRPr="00A41CE6">
        <w:rPr>
          <w:rFonts w:ascii="Times New Roman" w:eastAsia="仿宋" w:hAnsi="Times New Roman" w:hint="eastAsia"/>
          <w:color w:val="000000" w:themeColor="text1"/>
          <w:sz w:val="28"/>
          <w:szCs w:val="28"/>
        </w:rPr>
        <w:t>平均增长率达到</w:t>
      </w:r>
      <w:r w:rsidR="00AA3488" w:rsidRPr="00A41CE6">
        <w:rPr>
          <w:rFonts w:ascii="Times New Roman" w:eastAsia="仿宋" w:hAnsi="Times New Roman" w:hint="eastAsia"/>
          <w:color w:val="000000" w:themeColor="text1"/>
          <w:sz w:val="28"/>
          <w:szCs w:val="28"/>
        </w:rPr>
        <w:t>103%</w:t>
      </w:r>
      <w:r w:rsidR="00A40FF9" w:rsidRPr="00A41CE6">
        <w:rPr>
          <w:rFonts w:ascii="Times New Roman" w:eastAsia="仿宋" w:hAnsi="Times New Roman" w:hint="eastAsia"/>
          <w:color w:val="000000" w:themeColor="text1"/>
          <w:sz w:val="28"/>
          <w:szCs w:val="28"/>
        </w:rPr>
        <w:t>。</w:t>
      </w:r>
      <w:r w:rsidR="00A40FF9" w:rsidRPr="00A41CE6">
        <w:rPr>
          <w:rFonts w:ascii="Times New Roman" w:eastAsia="仿宋" w:hAnsi="Times New Roman" w:cs="仿宋_GB2312" w:hint="eastAsia"/>
          <w:color w:val="000000" w:themeColor="text1"/>
          <w:sz w:val="28"/>
          <w:szCs w:val="28"/>
        </w:rPr>
        <w:t>由于产业结构调整，受房地产市场的调控政策影响，海口市</w:t>
      </w:r>
      <w:r w:rsidR="00A40FF9" w:rsidRPr="00A41CE6">
        <w:rPr>
          <w:rFonts w:ascii="Times New Roman" w:eastAsia="仿宋" w:hAnsi="Times New Roman" w:cs="仿宋_GB2312" w:hint="eastAsia"/>
          <w:color w:val="000000" w:themeColor="text1"/>
          <w:sz w:val="28"/>
          <w:szCs w:val="28"/>
        </w:rPr>
        <w:t>2020</w:t>
      </w:r>
      <w:r w:rsidR="00A40FF9" w:rsidRPr="00A41CE6">
        <w:rPr>
          <w:rFonts w:ascii="Times New Roman" w:eastAsia="仿宋" w:hAnsi="Times New Roman" w:cs="仿宋_GB2312" w:hint="eastAsia"/>
          <w:color w:val="000000" w:themeColor="text1"/>
          <w:sz w:val="28"/>
          <w:szCs w:val="28"/>
        </w:rPr>
        <w:t>年到</w:t>
      </w:r>
      <w:r w:rsidR="00A81B33" w:rsidRPr="00A41CE6">
        <w:rPr>
          <w:rFonts w:ascii="Times New Roman" w:eastAsia="仿宋" w:hAnsi="Times New Roman" w:cs="仿宋_GB2312" w:hint="eastAsia"/>
          <w:color w:val="000000" w:themeColor="text1"/>
          <w:sz w:val="28"/>
          <w:szCs w:val="28"/>
        </w:rPr>
        <w:t>2021</w:t>
      </w:r>
      <w:r w:rsidR="00A40FF9" w:rsidRPr="00A41CE6">
        <w:rPr>
          <w:rFonts w:ascii="Times New Roman" w:eastAsia="仿宋" w:hAnsi="Times New Roman" w:cs="仿宋_GB2312" w:hint="eastAsia"/>
          <w:color w:val="000000" w:themeColor="text1"/>
          <w:sz w:val="28"/>
          <w:szCs w:val="28"/>
        </w:rPr>
        <w:t>年期间城镇新建建筑面积有所下降，</w:t>
      </w:r>
      <w:r w:rsidR="003D3378" w:rsidRPr="00A41CE6">
        <w:rPr>
          <w:rFonts w:ascii="Times New Roman" w:eastAsia="仿宋" w:hAnsi="Times New Roman" w:cs="仿宋_GB2312" w:hint="eastAsia"/>
          <w:color w:val="000000" w:themeColor="text1"/>
          <w:sz w:val="28"/>
          <w:szCs w:val="28"/>
        </w:rPr>
        <w:t>逐年下降</w:t>
      </w:r>
      <w:r w:rsidR="00A40FF9" w:rsidRPr="00A41CE6">
        <w:rPr>
          <w:rFonts w:ascii="Times New Roman" w:eastAsia="仿宋" w:hAnsi="Times New Roman" w:cs="仿宋_GB2312" w:hint="eastAsia"/>
          <w:color w:val="000000" w:themeColor="text1"/>
          <w:sz w:val="28"/>
          <w:szCs w:val="28"/>
        </w:rPr>
        <w:t>平均达到</w:t>
      </w:r>
      <w:r w:rsidR="00DD4F59" w:rsidRPr="00A41CE6">
        <w:rPr>
          <w:rFonts w:ascii="Times New Roman" w:eastAsia="仿宋" w:hAnsi="Times New Roman" w:cs="仿宋_GB2312" w:hint="eastAsia"/>
          <w:color w:val="000000" w:themeColor="text1"/>
          <w:sz w:val="28"/>
          <w:szCs w:val="28"/>
        </w:rPr>
        <w:t>22.96</w:t>
      </w:r>
      <w:r w:rsidR="00A40FF9" w:rsidRPr="00A41CE6">
        <w:rPr>
          <w:rFonts w:ascii="Times New Roman" w:eastAsia="仿宋" w:hAnsi="Times New Roman" w:cs="仿宋_GB2312" w:hint="eastAsia"/>
          <w:color w:val="000000" w:themeColor="text1"/>
          <w:sz w:val="28"/>
          <w:szCs w:val="28"/>
        </w:rPr>
        <w:t>%</w:t>
      </w:r>
      <w:r w:rsidR="00A40FF9" w:rsidRPr="00A41CE6">
        <w:rPr>
          <w:rFonts w:ascii="Times New Roman" w:eastAsia="仿宋" w:hAnsi="Times New Roman" w:cs="仿宋_GB2312" w:hint="eastAsia"/>
          <w:color w:val="000000" w:themeColor="text1"/>
          <w:sz w:val="28"/>
          <w:szCs w:val="28"/>
        </w:rPr>
        <w:t>。</w:t>
      </w:r>
    </w:p>
    <w:p w:rsidR="00A757AD" w:rsidRPr="00A41CE6" w:rsidRDefault="00A757AD" w:rsidP="00902EDF">
      <w:pPr>
        <w:adjustRightInd w:val="0"/>
        <w:snapToGrid w:val="0"/>
        <w:spacing w:line="360" w:lineRule="auto"/>
        <w:ind w:firstLineChars="200" w:firstLine="560"/>
        <w:rPr>
          <w:rFonts w:ascii="Times New Roman" w:eastAsia="仿宋" w:hAnsi="Times New Roman"/>
          <w:color w:val="000000" w:themeColor="text1"/>
          <w:sz w:val="28"/>
          <w:szCs w:val="28"/>
        </w:rPr>
      </w:pPr>
    </w:p>
    <w:p w:rsidR="00DD4F59" w:rsidRPr="00A41CE6" w:rsidRDefault="00DD4F59" w:rsidP="00DD4F59">
      <w:pPr>
        <w:adjustRightInd w:val="0"/>
        <w:snapToGrid w:val="0"/>
        <w:spacing w:line="360" w:lineRule="auto"/>
        <w:ind w:firstLineChars="200" w:firstLine="440"/>
        <w:rPr>
          <w:rFonts w:ascii="Times New Roman" w:eastAsia="仿宋" w:hAnsi="Times New Roman"/>
          <w:color w:val="000000" w:themeColor="text1"/>
          <w:sz w:val="28"/>
          <w:szCs w:val="28"/>
        </w:rPr>
      </w:pPr>
      <w:r w:rsidRPr="00A41CE6">
        <w:rPr>
          <w:rFonts w:ascii="Times New Roman" w:hAnsi="Times New Roman"/>
          <w:noProof/>
        </w:rPr>
        <w:lastRenderedPageBreak/>
        <w:drawing>
          <wp:inline distT="0" distB="0" distL="0" distR="0" wp14:anchorId="19F655A6" wp14:editId="1A4073A9">
            <wp:extent cx="4572000" cy="2743200"/>
            <wp:effectExtent l="0" t="0" r="19050"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1264" w:rsidRPr="00A41CE6" w:rsidRDefault="005C591D">
      <w:pPr>
        <w:spacing w:line="360" w:lineRule="auto"/>
        <w:jc w:val="center"/>
        <w:rPr>
          <w:rFonts w:ascii="Times New Roman" w:eastAsia="仿宋" w:hAnsi="Times New Roman" w:cs="Times New Roman"/>
          <w:b/>
          <w:color w:val="000000" w:themeColor="text1"/>
          <w:sz w:val="24"/>
          <w:szCs w:val="24"/>
        </w:rPr>
      </w:pPr>
      <w:r w:rsidRPr="00A41CE6">
        <w:rPr>
          <w:rFonts w:ascii="Times New Roman" w:eastAsia="仿宋" w:hAnsi="Times New Roman" w:cs="Times New Roman"/>
          <w:b/>
          <w:color w:val="000000" w:themeColor="text1"/>
          <w:sz w:val="24"/>
          <w:szCs w:val="24"/>
        </w:rPr>
        <w:t>图</w:t>
      </w:r>
      <w:r w:rsidRPr="00A41CE6">
        <w:rPr>
          <w:rFonts w:ascii="Times New Roman" w:eastAsia="仿宋" w:hAnsi="Times New Roman" w:cs="Times New Roman"/>
          <w:b/>
          <w:color w:val="000000" w:themeColor="text1"/>
          <w:sz w:val="24"/>
          <w:szCs w:val="24"/>
        </w:rPr>
        <w:t>2-2</w:t>
      </w:r>
      <w:r w:rsidRPr="00A41CE6">
        <w:rPr>
          <w:rFonts w:ascii="Times New Roman" w:eastAsia="仿宋" w:hAnsi="Times New Roman" w:cs="Times New Roman" w:hint="eastAsia"/>
          <w:b/>
          <w:color w:val="000000" w:themeColor="text1"/>
          <w:sz w:val="24"/>
          <w:szCs w:val="24"/>
        </w:rPr>
        <w:t>海口市</w:t>
      </w:r>
      <w:r w:rsidRPr="00A41CE6">
        <w:rPr>
          <w:rFonts w:ascii="Times New Roman" w:eastAsia="仿宋" w:hAnsi="Times New Roman" w:cs="Times New Roman" w:hint="eastAsia"/>
          <w:b/>
          <w:color w:val="000000" w:themeColor="text1"/>
          <w:sz w:val="24"/>
          <w:szCs w:val="24"/>
        </w:rPr>
        <w:t>2016</w:t>
      </w:r>
      <w:r w:rsidRPr="00A41CE6">
        <w:rPr>
          <w:rFonts w:ascii="Times New Roman" w:eastAsia="仿宋" w:hAnsi="Times New Roman" w:cs="Times New Roman"/>
          <w:b/>
          <w:color w:val="000000" w:themeColor="text1"/>
          <w:sz w:val="24"/>
          <w:szCs w:val="24"/>
        </w:rPr>
        <w:t>-</w:t>
      </w:r>
      <w:r w:rsidR="00C24769" w:rsidRPr="00A41CE6">
        <w:rPr>
          <w:rFonts w:ascii="Times New Roman" w:eastAsia="仿宋" w:hAnsi="Times New Roman" w:cs="Times New Roman"/>
          <w:b/>
          <w:color w:val="000000" w:themeColor="text1"/>
          <w:sz w:val="24"/>
          <w:szCs w:val="24"/>
        </w:rPr>
        <w:t>20</w:t>
      </w:r>
      <w:r w:rsidR="00C24769" w:rsidRPr="00A41CE6">
        <w:rPr>
          <w:rFonts w:ascii="Times New Roman" w:eastAsia="仿宋" w:hAnsi="Times New Roman" w:cs="Times New Roman" w:hint="eastAsia"/>
          <w:b/>
          <w:color w:val="000000" w:themeColor="text1"/>
          <w:sz w:val="24"/>
          <w:szCs w:val="24"/>
        </w:rPr>
        <w:t>21</w:t>
      </w:r>
      <w:r w:rsidRPr="00A41CE6">
        <w:rPr>
          <w:rFonts w:ascii="Times New Roman" w:eastAsia="仿宋" w:hAnsi="Times New Roman" w:cs="Times New Roman"/>
          <w:b/>
          <w:color w:val="000000" w:themeColor="text1"/>
          <w:sz w:val="24"/>
          <w:szCs w:val="24"/>
        </w:rPr>
        <w:t>年</w:t>
      </w:r>
      <w:r w:rsidR="00805D66" w:rsidRPr="00A41CE6">
        <w:rPr>
          <w:rFonts w:ascii="Times New Roman" w:eastAsia="仿宋" w:hAnsi="Times New Roman" w:cs="Times New Roman" w:hint="eastAsia"/>
          <w:b/>
          <w:color w:val="000000" w:themeColor="text1"/>
          <w:sz w:val="24"/>
          <w:szCs w:val="24"/>
        </w:rPr>
        <w:t>城镇新建建筑面积</w:t>
      </w:r>
      <w:r w:rsidRPr="00A41CE6">
        <w:rPr>
          <w:rFonts w:ascii="Times New Roman" w:eastAsia="仿宋" w:hAnsi="Times New Roman" w:cs="Times New Roman"/>
          <w:b/>
          <w:color w:val="000000" w:themeColor="text1"/>
          <w:sz w:val="24"/>
          <w:szCs w:val="24"/>
        </w:rPr>
        <w:t>（万</w:t>
      </w:r>
      <w:r w:rsidRPr="00A41CE6">
        <w:rPr>
          <w:rFonts w:ascii="Times New Roman" w:eastAsia="仿宋" w:hAnsi="Times New Roman" w:cs="Times New Roman" w:hint="eastAsia"/>
          <w:b/>
          <w:color w:val="000000" w:themeColor="text1"/>
          <w:sz w:val="24"/>
          <w:szCs w:val="24"/>
        </w:rPr>
        <w:t>平方米</w:t>
      </w:r>
      <w:r w:rsidRPr="00A41CE6">
        <w:rPr>
          <w:rFonts w:ascii="Times New Roman" w:eastAsia="仿宋" w:hAnsi="Times New Roman" w:cs="Times New Roman"/>
          <w:b/>
          <w:color w:val="000000" w:themeColor="text1"/>
          <w:sz w:val="24"/>
          <w:szCs w:val="24"/>
        </w:rPr>
        <w:t>）</w:t>
      </w:r>
      <w:r w:rsidR="00440CCE" w:rsidRPr="00A41CE6">
        <w:rPr>
          <w:rStyle w:val="af4"/>
          <w:rFonts w:ascii="Times New Roman" w:eastAsia="仿宋" w:hAnsi="Times New Roman" w:cs="Times New Roman"/>
          <w:b/>
          <w:color w:val="000000" w:themeColor="text1"/>
          <w:sz w:val="24"/>
          <w:szCs w:val="24"/>
        </w:rPr>
        <w:footnoteReference w:id="3"/>
      </w:r>
    </w:p>
    <w:p w:rsidR="005A1264" w:rsidRPr="00A41CE6" w:rsidRDefault="005C591D">
      <w:pPr>
        <w:adjustRightInd w:val="0"/>
        <w:snapToGrid w:val="0"/>
        <w:spacing w:line="360" w:lineRule="auto"/>
        <w:ind w:firstLineChars="200" w:firstLine="640"/>
        <w:jc w:val="both"/>
        <w:outlineLvl w:val="1"/>
        <w:rPr>
          <w:rFonts w:ascii="Times New Roman" w:eastAsia="黑体" w:hAnsi="Times New Roman"/>
          <w:color w:val="000000" w:themeColor="text1"/>
          <w:sz w:val="32"/>
          <w:szCs w:val="32"/>
        </w:rPr>
      </w:pPr>
      <w:bookmarkStart w:id="4" w:name="_Toc136877066"/>
      <w:r w:rsidRPr="00A41CE6">
        <w:rPr>
          <w:rFonts w:ascii="Times New Roman" w:eastAsia="黑体" w:hAnsi="Times New Roman" w:hint="eastAsia"/>
          <w:color w:val="000000" w:themeColor="text1"/>
          <w:sz w:val="32"/>
          <w:szCs w:val="32"/>
        </w:rPr>
        <w:t>（三）用能现状</w:t>
      </w:r>
      <w:bookmarkEnd w:id="4"/>
    </w:p>
    <w:p w:rsidR="005A1264" w:rsidRPr="00A41CE6" w:rsidRDefault="00DA45B1" w:rsidP="00D46EB8">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 xml:space="preserve"> </w:t>
      </w:r>
      <w:r w:rsidR="00D91246" w:rsidRPr="00A41CE6">
        <w:rPr>
          <w:rFonts w:ascii="Times New Roman" w:eastAsia="仿宋" w:hAnsi="Times New Roman" w:hint="eastAsia"/>
          <w:color w:val="000000" w:themeColor="text1"/>
          <w:sz w:val="28"/>
          <w:szCs w:val="28"/>
        </w:rPr>
        <w:t>“十三五”期间，海口市对于建筑业相关能耗统计工作</w:t>
      </w:r>
      <w:r w:rsidR="00D46EB8" w:rsidRPr="00A41CE6">
        <w:rPr>
          <w:rFonts w:ascii="Times New Roman" w:eastAsia="仿宋" w:hAnsi="Times New Roman" w:hint="eastAsia"/>
          <w:color w:val="000000" w:themeColor="text1"/>
          <w:sz w:val="28"/>
          <w:szCs w:val="28"/>
        </w:rPr>
        <w:t>仍需进行完善。</w:t>
      </w:r>
      <w:r w:rsidR="005C591D" w:rsidRPr="00A41CE6">
        <w:rPr>
          <w:rFonts w:ascii="Times New Roman" w:eastAsia="仿宋" w:hAnsi="Times New Roman"/>
          <w:color w:val="000000" w:themeColor="text1"/>
          <w:sz w:val="28"/>
          <w:szCs w:val="28"/>
        </w:rPr>
        <w:t>据统计，</w:t>
      </w:r>
      <w:r w:rsidR="005C591D" w:rsidRPr="00A41CE6">
        <w:rPr>
          <w:rFonts w:ascii="Times New Roman" w:eastAsia="仿宋" w:hAnsi="Times New Roman" w:hint="eastAsia"/>
          <w:color w:val="000000" w:themeColor="text1"/>
          <w:sz w:val="28"/>
          <w:szCs w:val="28"/>
        </w:rPr>
        <w:t>2016~2021</w:t>
      </w:r>
      <w:r w:rsidR="005C591D" w:rsidRPr="00A41CE6">
        <w:rPr>
          <w:rFonts w:ascii="Times New Roman" w:eastAsia="仿宋" w:hAnsi="Times New Roman" w:hint="eastAsia"/>
          <w:color w:val="000000" w:themeColor="text1"/>
          <w:sz w:val="28"/>
          <w:szCs w:val="28"/>
        </w:rPr>
        <w:t>年</w:t>
      </w:r>
      <w:r w:rsidR="005C591D" w:rsidRPr="00A41CE6">
        <w:rPr>
          <w:rFonts w:ascii="Times New Roman" w:eastAsia="仿宋" w:hAnsi="Times New Roman"/>
          <w:color w:val="000000" w:themeColor="text1"/>
          <w:sz w:val="28"/>
          <w:szCs w:val="28"/>
        </w:rPr>
        <w:t>期间，</w:t>
      </w:r>
      <w:r w:rsidR="005C591D" w:rsidRPr="00A41CE6">
        <w:rPr>
          <w:rFonts w:ascii="Times New Roman" w:eastAsia="仿宋" w:hAnsi="Times New Roman" w:hint="eastAsia"/>
          <w:color w:val="000000" w:themeColor="text1"/>
          <w:sz w:val="28"/>
          <w:szCs w:val="28"/>
        </w:rPr>
        <w:t>海口市全社会能耗由于社会发展处于逐步提升趋势，其中</w:t>
      </w:r>
      <w:r w:rsidR="005C591D" w:rsidRPr="00A41CE6">
        <w:rPr>
          <w:rFonts w:ascii="Times New Roman" w:eastAsia="仿宋" w:hAnsi="Times New Roman" w:hint="eastAsia"/>
          <w:color w:val="000000" w:themeColor="text1"/>
          <w:sz w:val="28"/>
          <w:szCs w:val="28"/>
        </w:rPr>
        <w:t>2016</w:t>
      </w:r>
      <w:r w:rsidR="005C591D" w:rsidRPr="00A41CE6">
        <w:rPr>
          <w:rFonts w:ascii="Times New Roman" w:eastAsia="仿宋" w:hAnsi="Times New Roman" w:hint="eastAsia"/>
          <w:color w:val="000000" w:themeColor="text1"/>
          <w:sz w:val="28"/>
          <w:szCs w:val="28"/>
        </w:rPr>
        <w:t>年全社会能耗约为</w:t>
      </w:r>
      <w:r w:rsidR="005C591D" w:rsidRPr="00A41CE6">
        <w:rPr>
          <w:rFonts w:ascii="Times New Roman" w:eastAsia="仿宋" w:hAnsi="Times New Roman" w:hint="eastAsia"/>
          <w:color w:val="000000" w:themeColor="text1"/>
          <w:sz w:val="28"/>
          <w:szCs w:val="28"/>
        </w:rPr>
        <w:t>466.53</w:t>
      </w:r>
      <w:r w:rsidR="005C591D" w:rsidRPr="00A41CE6">
        <w:rPr>
          <w:rFonts w:ascii="Times New Roman" w:eastAsia="仿宋" w:hAnsi="Times New Roman" w:hint="eastAsia"/>
          <w:color w:val="000000" w:themeColor="text1"/>
          <w:sz w:val="28"/>
          <w:szCs w:val="28"/>
        </w:rPr>
        <w:t>万吨标准煤，</w:t>
      </w:r>
      <w:r w:rsidR="005C591D" w:rsidRPr="00A41CE6">
        <w:rPr>
          <w:rFonts w:ascii="Times New Roman" w:eastAsia="仿宋" w:hAnsi="Times New Roman" w:hint="eastAsia"/>
          <w:color w:val="000000" w:themeColor="text1"/>
          <w:sz w:val="28"/>
          <w:szCs w:val="28"/>
        </w:rPr>
        <w:t>2021</w:t>
      </w:r>
      <w:r w:rsidR="005C591D" w:rsidRPr="00A41CE6">
        <w:rPr>
          <w:rFonts w:ascii="Times New Roman" w:eastAsia="仿宋" w:hAnsi="Times New Roman" w:hint="eastAsia"/>
          <w:color w:val="000000" w:themeColor="text1"/>
          <w:sz w:val="28"/>
          <w:szCs w:val="28"/>
        </w:rPr>
        <w:t>年全社会能耗约为</w:t>
      </w:r>
      <w:r w:rsidR="005C591D" w:rsidRPr="00A41CE6">
        <w:rPr>
          <w:rFonts w:ascii="Times New Roman" w:eastAsia="仿宋" w:hAnsi="Times New Roman" w:hint="eastAsia"/>
          <w:color w:val="000000" w:themeColor="text1"/>
          <w:sz w:val="28"/>
          <w:szCs w:val="28"/>
        </w:rPr>
        <w:t>544.48</w:t>
      </w:r>
      <w:r w:rsidR="005C591D" w:rsidRPr="00A41CE6">
        <w:rPr>
          <w:rFonts w:ascii="Times New Roman" w:eastAsia="仿宋" w:hAnsi="Times New Roman" w:hint="eastAsia"/>
          <w:color w:val="000000" w:themeColor="text1"/>
          <w:sz w:val="28"/>
          <w:szCs w:val="28"/>
        </w:rPr>
        <w:t>万吨标准煤，年平均增长率约</w:t>
      </w:r>
      <w:r w:rsidR="005C591D" w:rsidRPr="00A41CE6">
        <w:rPr>
          <w:rFonts w:ascii="Times New Roman" w:eastAsia="仿宋" w:hAnsi="Times New Roman" w:hint="eastAsia"/>
          <w:color w:val="000000" w:themeColor="text1"/>
          <w:sz w:val="28"/>
          <w:szCs w:val="28"/>
        </w:rPr>
        <w:t>3.34%</w:t>
      </w:r>
      <w:r w:rsidR="005C591D" w:rsidRPr="00A41CE6">
        <w:rPr>
          <w:rFonts w:ascii="Times New Roman" w:eastAsia="仿宋" w:hAnsi="Times New Roman" w:hint="eastAsia"/>
          <w:color w:val="000000" w:themeColor="text1"/>
          <w:sz w:val="28"/>
          <w:szCs w:val="28"/>
        </w:rPr>
        <w:t>，</w:t>
      </w:r>
      <w:r w:rsidR="00671E02" w:rsidRPr="00A41CE6">
        <w:rPr>
          <w:rFonts w:ascii="Times New Roman" w:eastAsia="仿宋" w:hAnsi="Times New Roman" w:hint="eastAsia"/>
          <w:color w:val="000000" w:themeColor="text1"/>
          <w:sz w:val="28"/>
          <w:szCs w:val="28"/>
        </w:rPr>
        <w:t>2016~2020</w:t>
      </w:r>
      <w:r w:rsidR="00671E02" w:rsidRPr="00A41CE6">
        <w:rPr>
          <w:rFonts w:ascii="Times New Roman" w:eastAsia="仿宋" w:hAnsi="Times New Roman" w:hint="eastAsia"/>
          <w:color w:val="000000" w:themeColor="text1"/>
          <w:sz w:val="28"/>
          <w:szCs w:val="28"/>
        </w:rPr>
        <w:t>年逐年增长，</w:t>
      </w:r>
      <w:r w:rsidR="00671E02" w:rsidRPr="00A41CE6">
        <w:rPr>
          <w:rFonts w:ascii="Times New Roman" w:eastAsia="仿宋" w:hAnsi="Times New Roman" w:hint="eastAsia"/>
          <w:color w:val="000000" w:themeColor="text1"/>
          <w:sz w:val="28"/>
          <w:szCs w:val="28"/>
        </w:rPr>
        <w:t>2021</w:t>
      </w:r>
      <w:r w:rsidR="00671E02" w:rsidRPr="00A41CE6">
        <w:rPr>
          <w:rFonts w:ascii="Times New Roman" w:eastAsia="仿宋" w:hAnsi="Times New Roman" w:hint="eastAsia"/>
          <w:color w:val="000000" w:themeColor="text1"/>
          <w:sz w:val="28"/>
          <w:szCs w:val="28"/>
        </w:rPr>
        <w:t>年全社会能耗有所下降</w:t>
      </w:r>
      <w:r w:rsidR="005C591D" w:rsidRPr="00A41CE6">
        <w:rPr>
          <w:rFonts w:ascii="Times New Roman" w:eastAsia="仿宋" w:hAnsi="Times New Roman" w:hint="eastAsia"/>
          <w:color w:val="000000" w:themeColor="text1"/>
          <w:sz w:val="28"/>
          <w:szCs w:val="28"/>
        </w:rPr>
        <w:t>；其中建筑业能耗</w:t>
      </w:r>
      <w:r w:rsidR="005C591D" w:rsidRPr="00A41CE6">
        <w:rPr>
          <w:rFonts w:ascii="Times New Roman" w:eastAsia="仿宋" w:hAnsi="Times New Roman" w:hint="eastAsia"/>
          <w:color w:val="000000" w:themeColor="text1"/>
          <w:sz w:val="28"/>
          <w:szCs w:val="28"/>
        </w:rPr>
        <w:t>2021</w:t>
      </w:r>
      <w:r w:rsidR="005C591D" w:rsidRPr="00A41CE6">
        <w:rPr>
          <w:rFonts w:ascii="Times New Roman" w:eastAsia="仿宋" w:hAnsi="Times New Roman" w:hint="eastAsia"/>
          <w:color w:val="000000" w:themeColor="text1"/>
          <w:sz w:val="28"/>
          <w:szCs w:val="28"/>
        </w:rPr>
        <w:t>年为</w:t>
      </w:r>
      <w:r w:rsidR="005C591D" w:rsidRPr="00A41CE6">
        <w:rPr>
          <w:rFonts w:ascii="Times New Roman" w:eastAsia="仿宋" w:hAnsi="Times New Roman" w:hint="eastAsia"/>
          <w:color w:val="000000" w:themeColor="text1"/>
          <w:sz w:val="28"/>
          <w:szCs w:val="28"/>
        </w:rPr>
        <w:t>1539</w:t>
      </w:r>
      <w:r w:rsidR="005C591D" w:rsidRPr="00A41CE6">
        <w:rPr>
          <w:rFonts w:ascii="Times New Roman" w:eastAsia="仿宋" w:hAnsi="Times New Roman" w:hint="eastAsia"/>
          <w:color w:val="000000" w:themeColor="text1"/>
          <w:sz w:val="28"/>
          <w:szCs w:val="28"/>
        </w:rPr>
        <w:t>万吨，</w:t>
      </w:r>
      <w:r w:rsidR="00D46EB8" w:rsidRPr="00A41CE6">
        <w:rPr>
          <w:rFonts w:ascii="Times New Roman" w:eastAsia="仿宋" w:hAnsi="Times New Roman" w:hint="eastAsia"/>
          <w:color w:val="000000" w:themeColor="text1"/>
          <w:sz w:val="28"/>
          <w:szCs w:val="28"/>
        </w:rPr>
        <w:t>折算单位建筑面积</w:t>
      </w:r>
      <w:r w:rsidR="002B1570" w:rsidRPr="00A41CE6">
        <w:rPr>
          <w:rFonts w:ascii="Times New Roman" w:eastAsia="仿宋" w:hAnsi="Times New Roman" w:hint="eastAsia"/>
          <w:color w:val="000000" w:themeColor="text1"/>
          <w:sz w:val="28"/>
          <w:szCs w:val="28"/>
        </w:rPr>
        <w:t xml:space="preserve">19kgce </w:t>
      </w:r>
      <w:r w:rsidR="00D46EB8" w:rsidRPr="00A41CE6">
        <w:rPr>
          <w:rFonts w:ascii="Times New Roman" w:eastAsia="仿宋" w:hAnsi="Times New Roman" w:hint="eastAsia"/>
          <w:color w:val="000000" w:themeColor="text1"/>
          <w:sz w:val="28"/>
          <w:szCs w:val="28"/>
        </w:rPr>
        <w:t>/m</w:t>
      </w:r>
      <w:r w:rsidR="00D46EB8" w:rsidRPr="00A41CE6">
        <w:rPr>
          <w:rFonts w:ascii="Times New Roman" w:eastAsia="仿宋" w:hAnsi="Times New Roman"/>
          <w:color w:val="000000" w:themeColor="text1"/>
          <w:sz w:val="28"/>
          <w:szCs w:val="28"/>
          <w:vertAlign w:val="superscript"/>
        </w:rPr>
        <w:t>2</w:t>
      </w:r>
      <w:r w:rsidR="00D46EB8" w:rsidRPr="00A41CE6">
        <w:rPr>
          <w:rFonts w:ascii="Times New Roman" w:eastAsia="仿宋" w:hAnsi="Times New Roman" w:hint="eastAsia"/>
          <w:color w:val="000000" w:themeColor="text1"/>
          <w:sz w:val="28"/>
          <w:szCs w:val="28"/>
        </w:rPr>
        <w:t>；</w:t>
      </w:r>
      <w:r w:rsidR="00950037" w:rsidRPr="00A41CE6">
        <w:rPr>
          <w:rFonts w:ascii="Times New Roman" w:eastAsia="仿宋" w:hAnsi="Times New Roman" w:hint="eastAsia"/>
          <w:color w:val="000000" w:themeColor="text1"/>
          <w:sz w:val="28"/>
          <w:szCs w:val="28"/>
        </w:rPr>
        <w:t>根据</w:t>
      </w:r>
      <w:r w:rsidR="00950037" w:rsidRPr="00A41CE6">
        <w:rPr>
          <w:rFonts w:ascii="Times New Roman" w:eastAsia="仿宋" w:hAnsi="Times New Roman" w:hint="eastAsia"/>
          <w:color w:val="000000" w:themeColor="text1"/>
          <w:sz w:val="28"/>
          <w:szCs w:val="28"/>
        </w:rPr>
        <w:t>2021</w:t>
      </w:r>
      <w:r w:rsidR="00950037" w:rsidRPr="00A41CE6">
        <w:rPr>
          <w:rFonts w:ascii="Times New Roman" w:eastAsia="仿宋" w:hAnsi="Times New Roman" w:hint="eastAsia"/>
          <w:color w:val="000000" w:themeColor="text1"/>
          <w:sz w:val="28"/>
          <w:szCs w:val="28"/>
        </w:rPr>
        <w:t>年度全国民用建筑能源资源消耗统计调查数据，海口市</w:t>
      </w:r>
      <w:r w:rsidR="00950037" w:rsidRPr="00A41CE6">
        <w:rPr>
          <w:rFonts w:ascii="Times New Roman" w:eastAsia="仿宋" w:hAnsi="Times New Roman" w:hint="eastAsia"/>
          <w:color w:val="000000" w:themeColor="text1"/>
          <w:sz w:val="28"/>
          <w:szCs w:val="28"/>
        </w:rPr>
        <w:t>2021</w:t>
      </w:r>
      <w:r w:rsidR="00950037" w:rsidRPr="00A41CE6">
        <w:rPr>
          <w:rFonts w:ascii="Times New Roman" w:eastAsia="仿宋" w:hAnsi="Times New Roman" w:hint="eastAsia"/>
          <w:color w:val="000000" w:themeColor="text1"/>
          <w:sz w:val="28"/>
          <w:szCs w:val="28"/>
        </w:rPr>
        <w:t>年建筑运行能耗达到</w:t>
      </w:r>
      <w:r w:rsidR="002B1570" w:rsidRPr="00A41CE6">
        <w:rPr>
          <w:rFonts w:ascii="Times New Roman" w:eastAsia="仿宋" w:hAnsi="Times New Roman" w:hint="eastAsia"/>
          <w:color w:val="000000" w:themeColor="text1"/>
          <w:sz w:val="28"/>
          <w:szCs w:val="28"/>
        </w:rPr>
        <w:t>8kgce/m</w:t>
      </w:r>
      <w:r w:rsidR="002B1570" w:rsidRPr="00A41CE6">
        <w:rPr>
          <w:rFonts w:ascii="Times New Roman" w:eastAsia="仿宋" w:hAnsi="Times New Roman"/>
          <w:color w:val="000000" w:themeColor="text1"/>
          <w:sz w:val="28"/>
          <w:szCs w:val="28"/>
          <w:vertAlign w:val="superscript"/>
        </w:rPr>
        <w:t>2</w:t>
      </w:r>
      <w:r w:rsidR="002B1570" w:rsidRPr="00A41CE6">
        <w:rPr>
          <w:rFonts w:ascii="Times New Roman" w:eastAsia="仿宋" w:hAnsi="Times New Roman" w:hint="eastAsia"/>
          <w:color w:val="000000" w:themeColor="text1"/>
          <w:sz w:val="28"/>
          <w:szCs w:val="28"/>
        </w:rPr>
        <w:t>，</w:t>
      </w:r>
      <w:r w:rsidR="002D125A" w:rsidRPr="00A41CE6">
        <w:rPr>
          <w:rFonts w:ascii="Times New Roman" w:eastAsia="仿宋" w:hAnsi="Times New Roman" w:hint="eastAsia"/>
          <w:color w:val="000000" w:themeColor="text1"/>
          <w:sz w:val="28"/>
          <w:szCs w:val="28"/>
        </w:rPr>
        <w:t>按建筑运行年限</w:t>
      </w:r>
      <w:r w:rsidR="002D125A" w:rsidRPr="00A41CE6">
        <w:rPr>
          <w:rFonts w:ascii="Times New Roman" w:eastAsia="仿宋" w:hAnsi="Times New Roman" w:hint="eastAsia"/>
          <w:color w:val="000000" w:themeColor="text1"/>
          <w:sz w:val="28"/>
          <w:szCs w:val="28"/>
        </w:rPr>
        <w:t>50</w:t>
      </w:r>
      <w:r w:rsidR="002D125A" w:rsidRPr="00A41CE6">
        <w:rPr>
          <w:rFonts w:ascii="Times New Roman" w:eastAsia="仿宋" w:hAnsi="Times New Roman" w:hint="eastAsia"/>
          <w:color w:val="000000" w:themeColor="text1"/>
          <w:sz w:val="28"/>
          <w:szCs w:val="28"/>
        </w:rPr>
        <w:t>年计算，建筑全寿命周期内运营能耗可达到</w:t>
      </w:r>
      <w:r w:rsidR="002D125A" w:rsidRPr="00A41CE6">
        <w:rPr>
          <w:rFonts w:ascii="Times New Roman" w:eastAsia="仿宋" w:hAnsi="Times New Roman" w:hint="eastAsia"/>
          <w:color w:val="000000" w:themeColor="text1"/>
          <w:sz w:val="28"/>
          <w:szCs w:val="28"/>
        </w:rPr>
        <w:t>400kgce/m</w:t>
      </w:r>
      <w:r w:rsidR="002D125A" w:rsidRPr="00A41CE6">
        <w:rPr>
          <w:rFonts w:ascii="Times New Roman" w:eastAsia="仿宋" w:hAnsi="Times New Roman"/>
          <w:color w:val="000000" w:themeColor="text1"/>
          <w:sz w:val="28"/>
          <w:szCs w:val="28"/>
          <w:vertAlign w:val="superscript"/>
        </w:rPr>
        <w:t>2</w:t>
      </w:r>
      <w:r w:rsidR="002D125A" w:rsidRPr="00A41CE6">
        <w:rPr>
          <w:rFonts w:ascii="Times New Roman" w:eastAsia="仿宋" w:hAnsi="Times New Roman" w:hint="eastAsia"/>
          <w:color w:val="000000" w:themeColor="text1"/>
          <w:sz w:val="28"/>
          <w:szCs w:val="28"/>
        </w:rPr>
        <w:t>，</w:t>
      </w:r>
      <w:r w:rsidR="005C591D" w:rsidRPr="00A41CE6">
        <w:rPr>
          <w:rFonts w:ascii="Times New Roman" w:eastAsia="仿宋" w:hAnsi="Times New Roman" w:hint="eastAsia"/>
          <w:color w:val="000000" w:themeColor="text1"/>
          <w:sz w:val="28"/>
          <w:szCs w:val="28"/>
        </w:rPr>
        <w:t>对于建筑业来说，控制运营阶段的能耗更重要。</w:t>
      </w:r>
    </w:p>
    <w:p w:rsidR="005A1264" w:rsidRPr="00A41CE6" w:rsidRDefault="005C591D">
      <w:pPr>
        <w:adjustRightInd w:val="0"/>
        <w:snapToGrid w:val="0"/>
        <w:spacing w:line="360" w:lineRule="auto"/>
        <w:ind w:firstLineChars="200" w:firstLine="440"/>
        <w:rPr>
          <w:rFonts w:ascii="Times New Roman" w:eastAsia="仿宋" w:hAnsi="Times New Roman"/>
          <w:color w:val="000000" w:themeColor="text1"/>
          <w:sz w:val="28"/>
          <w:szCs w:val="28"/>
        </w:rPr>
      </w:pPr>
      <w:r w:rsidRPr="00A41CE6">
        <w:rPr>
          <w:rFonts w:ascii="Times New Roman" w:hAnsi="Times New Roman"/>
          <w:noProof/>
        </w:rPr>
        <w:lastRenderedPageBreak/>
        <w:drawing>
          <wp:inline distT="0" distB="0" distL="0" distR="0" wp14:anchorId="35A1D045" wp14:editId="1BBFB18C">
            <wp:extent cx="5274310" cy="3538220"/>
            <wp:effectExtent l="0" t="0" r="21590" b="2413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6804" w:rsidRPr="00A41CE6" w:rsidRDefault="00A66804" w:rsidP="00A66804">
      <w:pPr>
        <w:spacing w:line="360" w:lineRule="auto"/>
        <w:jc w:val="center"/>
        <w:rPr>
          <w:rFonts w:ascii="Times New Roman" w:eastAsia="仿宋" w:hAnsi="Times New Roman" w:cs="Times New Roman"/>
          <w:b/>
          <w:color w:val="000000" w:themeColor="text1"/>
          <w:sz w:val="24"/>
          <w:szCs w:val="24"/>
        </w:rPr>
      </w:pPr>
      <w:r w:rsidRPr="00A41CE6">
        <w:rPr>
          <w:rFonts w:ascii="Times New Roman" w:eastAsia="仿宋" w:hAnsi="Times New Roman" w:cs="Times New Roman"/>
          <w:b/>
          <w:color w:val="000000" w:themeColor="text1"/>
          <w:sz w:val="24"/>
          <w:szCs w:val="24"/>
        </w:rPr>
        <w:t>图</w:t>
      </w:r>
      <w:r w:rsidRPr="00A41CE6">
        <w:rPr>
          <w:rFonts w:ascii="Times New Roman" w:eastAsia="仿宋" w:hAnsi="Times New Roman" w:cs="Times New Roman"/>
          <w:b/>
          <w:color w:val="000000" w:themeColor="text1"/>
          <w:sz w:val="24"/>
          <w:szCs w:val="24"/>
        </w:rPr>
        <w:t>2-</w:t>
      </w:r>
      <w:r w:rsidRPr="00A41CE6">
        <w:rPr>
          <w:rFonts w:ascii="Times New Roman" w:eastAsia="仿宋" w:hAnsi="Times New Roman" w:cs="Times New Roman" w:hint="eastAsia"/>
          <w:b/>
          <w:color w:val="000000" w:themeColor="text1"/>
          <w:sz w:val="24"/>
          <w:szCs w:val="24"/>
        </w:rPr>
        <w:t>3</w:t>
      </w:r>
      <w:r w:rsidRPr="00A41CE6">
        <w:rPr>
          <w:rFonts w:ascii="Times New Roman" w:eastAsia="仿宋" w:hAnsi="Times New Roman" w:cs="Times New Roman" w:hint="eastAsia"/>
          <w:b/>
          <w:color w:val="000000" w:themeColor="text1"/>
          <w:sz w:val="24"/>
          <w:szCs w:val="24"/>
        </w:rPr>
        <w:t>海口市</w:t>
      </w:r>
      <w:r w:rsidRPr="00A41CE6">
        <w:rPr>
          <w:rFonts w:ascii="Times New Roman" w:eastAsia="仿宋" w:hAnsi="Times New Roman" w:cs="Times New Roman" w:hint="eastAsia"/>
          <w:b/>
          <w:color w:val="000000" w:themeColor="text1"/>
          <w:sz w:val="24"/>
          <w:szCs w:val="24"/>
        </w:rPr>
        <w:t>2016</w:t>
      </w:r>
      <w:r w:rsidRPr="00A41CE6">
        <w:rPr>
          <w:rFonts w:ascii="Times New Roman" w:eastAsia="仿宋" w:hAnsi="Times New Roman" w:cs="Times New Roman"/>
          <w:b/>
          <w:color w:val="000000" w:themeColor="text1"/>
          <w:sz w:val="24"/>
          <w:szCs w:val="24"/>
        </w:rPr>
        <w:t>-20</w:t>
      </w:r>
      <w:r w:rsidRPr="00A41CE6">
        <w:rPr>
          <w:rFonts w:ascii="Times New Roman" w:eastAsia="仿宋" w:hAnsi="Times New Roman" w:cs="Times New Roman" w:hint="eastAsia"/>
          <w:b/>
          <w:color w:val="000000" w:themeColor="text1"/>
          <w:sz w:val="24"/>
          <w:szCs w:val="24"/>
        </w:rPr>
        <w:t>21</w:t>
      </w:r>
      <w:r w:rsidRPr="00A41CE6">
        <w:rPr>
          <w:rFonts w:ascii="Times New Roman" w:eastAsia="仿宋" w:hAnsi="Times New Roman" w:cs="Times New Roman"/>
          <w:b/>
          <w:color w:val="000000" w:themeColor="text1"/>
          <w:sz w:val="24"/>
          <w:szCs w:val="24"/>
        </w:rPr>
        <w:t>年</w:t>
      </w:r>
      <w:r w:rsidRPr="00A41CE6">
        <w:rPr>
          <w:rFonts w:ascii="Times New Roman" w:eastAsia="仿宋" w:hAnsi="Times New Roman" w:cs="Times New Roman" w:hint="eastAsia"/>
          <w:b/>
          <w:color w:val="000000" w:themeColor="text1"/>
          <w:sz w:val="24"/>
          <w:szCs w:val="24"/>
        </w:rPr>
        <w:t>全社会能耗及建筑业能耗（吨标准煤）</w:t>
      </w:r>
      <w:r w:rsidR="002370D3" w:rsidRPr="00A41CE6">
        <w:rPr>
          <w:rStyle w:val="af4"/>
          <w:rFonts w:ascii="Times New Roman" w:eastAsia="仿宋" w:hAnsi="Times New Roman" w:cs="Times New Roman"/>
          <w:b/>
          <w:color w:val="000000" w:themeColor="text1"/>
          <w:sz w:val="24"/>
          <w:szCs w:val="24"/>
        </w:rPr>
        <w:footnoteReference w:id="4"/>
      </w:r>
    </w:p>
    <w:p w:rsidR="005A1264" w:rsidRPr="00A41CE6" w:rsidRDefault="005C591D">
      <w:pPr>
        <w:adjustRightInd w:val="0"/>
        <w:snapToGrid w:val="0"/>
        <w:spacing w:line="360" w:lineRule="auto"/>
        <w:ind w:firstLineChars="200" w:firstLine="640"/>
        <w:jc w:val="both"/>
        <w:outlineLvl w:val="1"/>
        <w:rPr>
          <w:rFonts w:ascii="Times New Roman" w:eastAsia="黑体" w:hAnsi="Times New Roman"/>
          <w:color w:val="000000" w:themeColor="text1"/>
          <w:sz w:val="32"/>
          <w:szCs w:val="32"/>
        </w:rPr>
      </w:pPr>
      <w:bookmarkStart w:id="5" w:name="_Toc136877067"/>
      <w:r w:rsidRPr="00A41CE6">
        <w:rPr>
          <w:rFonts w:ascii="Times New Roman" w:eastAsia="黑体" w:hAnsi="Times New Roman" w:hint="eastAsia"/>
          <w:color w:val="000000" w:themeColor="text1"/>
          <w:sz w:val="32"/>
          <w:szCs w:val="32"/>
        </w:rPr>
        <w:t>（四）工作基础</w:t>
      </w:r>
      <w:bookmarkEnd w:id="5"/>
    </w:p>
    <w:p w:rsidR="005A1264" w:rsidRPr="00A41CE6" w:rsidRDefault="005C591D">
      <w:pPr>
        <w:pStyle w:val="3"/>
        <w:spacing w:before="0" w:after="200" w:line="360" w:lineRule="auto"/>
        <w:ind w:firstLineChars="200" w:firstLine="600"/>
        <w:rPr>
          <w:rFonts w:ascii="Times New Roman" w:eastAsia="黑体" w:hAnsi="Times New Roman"/>
          <w:b w:val="0"/>
          <w:color w:val="000000" w:themeColor="text1"/>
          <w:sz w:val="30"/>
          <w:szCs w:val="30"/>
        </w:rPr>
      </w:pPr>
      <w:bookmarkStart w:id="6" w:name="_Toc136877068"/>
      <w:r w:rsidRPr="00A41CE6">
        <w:rPr>
          <w:rFonts w:ascii="Times New Roman" w:eastAsia="黑体" w:hAnsi="Times New Roman" w:hint="eastAsia"/>
          <w:b w:val="0"/>
          <w:color w:val="000000" w:themeColor="text1"/>
          <w:sz w:val="30"/>
          <w:szCs w:val="30"/>
        </w:rPr>
        <w:t>1.</w:t>
      </w:r>
      <w:r w:rsidRPr="00A41CE6">
        <w:rPr>
          <w:rFonts w:ascii="Times New Roman" w:eastAsia="黑体" w:hAnsi="Times New Roman" w:hint="eastAsia"/>
          <w:b w:val="0"/>
          <w:color w:val="000000" w:themeColor="text1"/>
          <w:sz w:val="30"/>
          <w:szCs w:val="30"/>
        </w:rPr>
        <w:t>建筑节能方面</w:t>
      </w:r>
      <w:bookmarkEnd w:id="6"/>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“十三五”期间，海口市城镇新建建筑设计和施工阶段节能强制性标准执行率继续实现</w:t>
      </w:r>
      <w:r w:rsidRPr="00A41CE6">
        <w:rPr>
          <w:rFonts w:ascii="Times New Roman" w:eastAsia="仿宋" w:hAnsi="Times New Roman" w:hint="eastAsia"/>
          <w:color w:val="000000" w:themeColor="text1"/>
          <w:sz w:val="28"/>
          <w:szCs w:val="28"/>
        </w:rPr>
        <w:t>100%</w:t>
      </w:r>
      <w:r w:rsidRPr="00A41CE6">
        <w:rPr>
          <w:rFonts w:ascii="Times New Roman" w:eastAsia="仿宋" w:hAnsi="Times New Roman" w:hint="eastAsia"/>
          <w:color w:val="000000" w:themeColor="text1"/>
          <w:sz w:val="28"/>
          <w:szCs w:val="28"/>
        </w:rPr>
        <w:t>。海口市住建局编制完成《海口市建筑节能与绿色建筑“十三五”专项规划》，指导海口市建筑节能、绿色建筑装配式建筑的发展；</w:t>
      </w:r>
      <w:r w:rsidRPr="00A41CE6">
        <w:rPr>
          <w:rFonts w:ascii="Times New Roman" w:eastAsia="仿宋" w:hAnsi="Times New Roman" w:hint="eastAsia"/>
          <w:color w:val="000000" w:themeColor="text1"/>
          <w:sz w:val="28"/>
          <w:szCs w:val="28"/>
        </w:rPr>
        <w:t>2016~2017</w:t>
      </w:r>
      <w:r w:rsidRPr="00A41CE6">
        <w:rPr>
          <w:rFonts w:ascii="Times New Roman" w:eastAsia="仿宋" w:hAnsi="Times New Roman" w:hint="eastAsia"/>
          <w:color w:val="000000" w:themeColor="text1"/>
          <w:sz w:val="28"/>
          <w:szCs w:val="28"/>
        </w:rPr>
        <w:t>年，建筑节能项目实行审查制，共计完成</w:t>
      </w:r>
      <w:r w:rsidRPr="00A41CE6">
        <w:rPr>
          <w:rFonts w:ascii="Times New Roman" w:eastAsia="仿宋" w:hAnsi="Times New Roman" w:hint="eastAsia"/>
          <w:color w:val="000000" w:themeColor="text1"/>
          <w:sz w:val="28"/>
          <w:szCs w:val="28"/>
        </w:rPr>
        <w:t>326</w:t>
      </w:r>
      <w:r w:rsidRPr="00A41CE6">
        <w:rPr>
          <w:rFonts w:ascii="Times New Roman" w:eastAsia="仿宋" w:hAnsi="Times New Roman" w:hint="eastAsia"/>
          <w:color w:val="000000" w:themeColor="text1"/>
          <w:sz w:val="28"/>
          <w:szCs w:val="28"/>
        </w:rPr>
        <w:t>个项目的节能审查，</w:t>
      </w:r>
      <w:r w:rsidRPr="00A41CE6">
        <w:rPr>
          <w:rFonts w:ascii="Times New Roman" w:eastAsia="仿宋" w:hAnsi="Times New Roman" w:hint="eastAsia"/>
          <w:color w:val="000000" w:themeColor="text1"/>
          <w:sz w:val="28"/>
          <w:szCs w:val="28"/>
        </w:rPr>
        <w:t>2018</w:t>
      </w:r>
      <w:r w:rsidRPr="00A41CE6">
        <w:rPr>
          <w:rFonts w:ascii="Times New Roman" w:eastAsia="仿宋" w:hAnsi="Times New Roman" w:hint="eastAsia"/>
          <w:color w:val="000000" w:themeColor="text1"/>
          <w:sz w:val="28"/>
          <w:szCs w:val="28"/>
        </w:rPr>
        <w:t>年，海口市民用建筑节能由审查制改为备案制，海口市新建民用建筑全面根据有关政策要求采取节能措施；每年定期开展综合性节能抽查，对不符合建筑节能</w:t>
      </w:r>
      <w:r w:rsidR="00A618A2" w:rsidRPr="00A41CE6">
        <w:rPr>
          <w:rFonts w:ascii="Times New Roman" w:eastAsia="仿宋" w:hAnsi="Times New Roman" w:hint="eastAsia"/>
          <w:color w:val="000000" w:themeColor="text1"/>
          <w:sz w:val="28"/>
          <w:szCs w:val="28"/>
        </w:rPr>
        <w:t>强制性标准</w:t>
      </w:r>
      <w:r w:rsidRPr="00A41CE6">
        <w:rPr>
          <w:rFonts w:ascii="Times New Roman" w:eastAsia="仿宋" w:hAnsi="Times New Roman" w:hint="eastAsia"/>
          <w:color w:val="000000" w:themeColor="text1"/>
          <w:sz w:val="28"/>
          <w:szCs w:val="28"/>
        </w:rPr>
        <w:t>要求的项目及时下发建筑节能整改通知书，要求参建各方按时限完成整改；</w:t>
      </w:r>
      <w:r w:rsidRPr="00A41CE6">
        <w:rPr>
          <w:rFonts w:ascii="Times New Roman" w:eastAsia="仿宋" w:hAnsi="Times New Roman" w:hint="eastAsia"/>
          <w:color w:val="000000" w:themeColor="text1"/>
          <w:sz w:val="28"/>
          <w:szCs w:val="28"/>
        </w:rPr>
        <w:t>2016</w:t>
      </w:r>
      <w:r w:rsidRPr="00A41CE6">
        <w:rPr>
          <w:rFonts w:ascii="Times New Roman" w:eastAsia="仿宋" w:hAnsi="Times New Roman" w:hint="eastAsia"/>
          <w:color w:val="000000" w:themeColor="text1"/>
          <w:sz w:val="28"/>
          <w:szCs w:val="28"/>
        </w:rPr>
        <w:t>年，海口市对目前全市已经采用太阳能热水的项目</w:t>
      </w:r>
      <w:r w:rsidRPr="00A41CE6">
        <w:rPr>
          <w:rFonts w:ascii="Times New Roman" w:eastAsia="仿宋" w:hAnsi="Times New Roman" w:hint="eastAsia"/>
          <w:color w:val="000000" w:themeColor="text1"/>
          <w:sz w:val="28"/>
          <w:szCs w:val="28"/>
        </w:rPr>
        <w:lastRenderedPageBreak/>
        <w:t>情况进行调研后对太阳能热水设计由强制改为鼓励。推进</w:t>
      </w:r>
      <w:r w:rsidR="00190D5B" w:rsidRPr="00A41CE6">
        <w:rPr>
          <w:rFonts w:ascii="Times New Roman" w:eastAsia="仿宋" w:hAnsi="Times New Roman" w:hint="eastAsia"/>
          <w:color w:val="000000" w:themeColor="text1"/>
          <w:sz w:val="28"/>
          <w:szCs w:val="28"/>
        </w:rPr>
        <w:t>建筑</w:t>
      </w:r>
      <w:r w:rsidRPr="00A41CE6">
        <w:rPr>
          <w:rFonts w:ascii="Times New Roman" w:eastAsia="仿宋" w:hAnsi="Times New Roman" w:hint="eastAsia"/>
          <w:color w:val="000000" w:themeColor="text1"/>
          <w:sz w:val="28"/>
          <w:szCs w:val="28"/>
        </w:rPr>
        <w:t>可再生能源多元化，</w:t>
      </w:r>
      <w:r w:rsidRPr="00A41CE6">
        <w:rPr>
          <w:rFonts w:ascii="Times New Roman" w:eastAsia="仿宋" w:hAnsi="Times New Roman" w:hint="eastAsia"/>
          <w:color w:val="000000" w:themeColor="text1"/>
          <w:sz w:val="28"/>
          <w:szCs w:val="28"/>
        </w:rPr>
        <w:t>2017~2020</w:t>
      </w:r>
      <w:r w:rsidRPr="00A41CE6">
        <w:rPr>
          <w:rFonts w:ascii="Times New Roman" w:eastAsia="仿宋" w:hAnsi="Times New Roman" w:hint="eastAsia"/>
          <w:color w:val="000000" w:themeColor="text1"/>
          <w:sz w:val="28"/>
          <w:szCs w:val="28"/>
        </w:rPr>
        <w:t>年，竣工太阳能热水系统建筑应用面积</w:t>
      </w:r>
      <w:r w:rsidRPr="00A41CE6">
        <w:rPr>
          <w:rFonts w:ascii="Times New Roman" w:eastAsia="仿宋" w:hAnsi="Times New Roman" w:hint="eastAsia"/>
          <w:color w:val="000000" w:themeColor="text1"/>
          <w:sz w:val="28"/>
          <w:szCs w:val="28"/>
        </w:rPr>
        <w:t>355</w:t>
      </w:r>
      <w:r w:rsidRPr="00A41CE6">
        <w:rPr>
          <w:rFonts w:ascii="Times New Roman" w:eastAsia="仿宋" w:hAnsi="Times New Roman" w:hint="eastAsia"/>
          <w:color w:val="000000" w:themeColor="text1"/>
          <w:sz w:val="28"/>
          <w:szCs w:val="28"/>
        </w:rPr>
        <w:t>万平方米</w:t>
      </w:r>
      <w:r w:rsidR="00E763D5" w:rsidRPr="00A41CE6">
        <w:rPr>
          <w:rFonts w:ascii="Times New Roman" w:eastAsia="仿宋" w:hAnsi="Times New Roman" w:hint="eastAsia"/>
          <w:color w:val="000000" w:themeColor="text1"/>
          <w:sz w:val="28"/>
          <w:szCs w:val="28"/>
        </w:rPr>
        <w:t>，</w:t>
      </w:r>
      <w:r w:rsidR="00E763D5" w:rsidRPr="00A41CE6">
        <w:rPr>
          <w:rFonts w:ascii="Times New Roman" w:eastAsia="仿宋" w:hAnsi="Times New Roman" w:hint="eastAsia"/>
          <w:color w:val="000000" w:themeColor="text1"/>
          <w:sz w:val="28"/>
          <w:szCs w:val="28"/>
        </w:rPr>
        <w:t>2021</w:t>
      </w:r>
      <w:r w:rsidR="00E763D5" w:rsidRPr="00A41CE6">
        <w:rPr>
          <w:rFonts w:ascii="Times New Roman" w:eastAsia="仿宋" w:hAnsi="Times New Roman" w:hint="eastAsia"/>
          <w:color w:val="000000" w:themeColor="text1"/>
          <w:sz w:val="28"/>
          <w:szCs w:val="28"/>
        </w:rPr>
        <w:t>年，应用面积</w:t>
      </w:r>
      <w:r w:rsidR="00E763D5" w:rsidRPr="00A41CE6">
        <w:rPr>
          <w:rFonts w:ascii="Times New Roman" w:eastAsia="仿宋" w:hAnsi="Times New Roman" w:hint="eastAsia"/>
          <w:color w:val="000000" w:themeColor="text1"/>
          <w:sz w:val="28"/>
          <w:szCs w:val="28"/>
        </w:rPr>
        <w:t>120.01</w:t>
      </w:r>
      <w:r w:rsidR="00E763D5" w:rsidRPr="00A41CE6">
        <w:rPr>
          <w:rFonts w:ascii="Times New Roman" w:eastAsia="仿宋" w:hAnsi="Times New Roman" w:hint="eastAsia"/>
          <w:color w:val="000000" w:themeColor="text1"/>
          <w:sz w:val="28"/>
          <w:szCs w:val="28"/>
        </w:rPr>
        <w:t>万平方米。</w:t>
      </w:r>
      <w:r w:rsidRPr="00A41CE6">
        <w:rPr>
          <w:rFonts w:ascii="Times New Roman" w:hAnsi="Times New Roman"/>
          <w:color w:val="000000" w:themeColor="text1"/>
        </w:rPr>
        <w:footnoteReference w:id="5"/>
      </w:r>
    </w:p>
    <w:p w:rsidR="005A1264" w:rsidRPr="00A41CE6" w:rsidRDefault="005C591D">
      <w:pPr>
        <w:pStyle w:val="3"/>
        <w:spacing w:before="0" w:after="200" w:line="360" w:lineRule="auto"/>
        <w:ind w:firstLineChars="200" w:firstLine="600"/>
        <w:rPr>
          <w:rFonts w:ascii="Times New Roman" w:eastAsia="黑体" w:hAnsi="Times New Roman"/>
          <w:b w:val="0"/>
          <w:color w:val="000000" w:themeColor="text1"/>
          <w:sz w:val="30"/>
          <w:szCs w:val="30"/>
        </w:rPr>
      </w:pPr>
      <w:bookmarkStart w:id="7" w:name="_Toc136877069"/>
      <w:r w:rsidRPr="00A41CE6">
        <w:rPr>
          <w:rFonts w:ascii="Times New Roman" w:eastAsia="黑体" w:hAnsi="Times New Roman" w:hint="eastAsia"/>
          <w:b w:val="0"/>
          <w:color w:val="000000" w:themeColor="text1"/>
          <w:sz w:val="30"/>
          <w:szCs w:val="30"/>
        </w:rPr>
        <w:t>2.</w:t>
      </w:r>
      <w:r w:rsidRPr="00A41CE6">
        <w:rPr>
          <w:rFonts w:ascii="Times New Roman" w:eastAsia="黑体" w:hAnsi="Times New Roman" w:hint="eastAsia"/>
          <w:b w:val="0"/>
          <w:color w:val="000000" w:themeColor="text1"/>
          <w:sz w:val="30"/>
          <w:szCs w:val="30"/>
        </w:rPr>
        <w:t>绿色建筑方面</w:t>
      </w:r>
      <w:bookmarkEnd w:id="7"/>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按照《海南省绿色建筑行动方案》《海南省绿色建筑设计说明专篇》相关要求，引导我市绿色建筑从单一的设计向运营转变</w:t>
      </w:r>
      <w:r w:rsidR="00BA516E" w:rsidRPr="00A41CE6">
        <w:rPr>
          <w:rFonts w:ascii="Times New Roman" w:eastAsia="仿宋" w:hAnsi="Times New Roman" w:hint="eastAsia"/>
          <w:color w:val="000000" w:themeColor="text1"/>
          <w:sz w:val="28"/>
          <w:szCs w:val="28"/>
        </w:rPr>
        <w:t>。</w:t>
      </w:r>
      <w:r w:rsidR="00BA516E" w:rsidRPr="00A41CE6">
        <w:rPr>
          <w:rFonts w:ascii="Times New Roman" w:eastAsia="仿宋" w:hAnsi="Times New Roman" w:hint="eastAsia"/>
          <w:color w:val="000000" w:themeColor="text1"/>
          <w:sz w:val="28"/>
          <w:szCs w:val="28"/>
        </w:rPr>
        <w:t>2016~2020</w:t>
      </w:r>
      <w:r w:rsidR="00BA516E" w:rsidRPr="00A41CE6">
        <w:rPr>
          <w:rFonts w:ascii="Times New Roman" w:eastAsia="仿宋" w:hAnsi="Times New Roman" w:hint="eastAsia"/>
          <w:color w:val="000000" w:themeColor="text1"/>
          <w:sz w:val="28"/>
          <w:szCs w:val="28"/>
        </w:rPr>
        <w:t>年，海口市</w:t>
      </w:r>
      <w:r w:rsidR="00BB4CDA" w:rsidRPr="00A41CE6">
        <w:rPr>
          <w:rFonts w:ascii="Times New Roman" w:eastAsia="仿宋" w:hAnsi="Times New Roman" w:hint="eastAsia"/>
          <w:color w:val="000000" w:themeColor="text1"/>
          <w:sz w:val="28"/>
          <w:szCs w:val="28"/>
        </w:rPr>
        <w:t>城镇新增绿色建筑面积</w:t>
      </w:r>
      <w:r w:rsidR="00BB4CDA" w:rsidRPr="00A41CE6">
        <w:rPr>
          <w:rFonts w:ascii="Times New Roman" w:eastAsia="仿宋" w:hAnsi="Times New Roman" w:hint="eastAsia"/>
          <w:color w:val="000000" w:themeColor="text1"/>
          <w:sz w:val="28"/>
          <w:szCs w:val="28"/>
        </w:rPr>
        <w:t>1663.25</w:t>
      </w:r>
      <w:r w:rsidR="00BB4CDA" w:rsidRPr="00A41CE6">
        <w:rPr>
          <w:rFonts w:ascii="Times New Roman" w:eastAsia="仿宋" w:hAnsi="Times New Roman" w:hint="eastAsia"/>
          <w:color w:val="000000" w:themeColor="text1"/>
          <w:sz w:val="28"/>
          <w:szCs w:val="28"/>
        </w:rPr>
        <w:t>万</w:t>
      </w:r>
      <w:r w:rsidR="00BB4CDA" w:rsidRPr="00A41CE6">
        <w:rPr>
          <w:rFonts w:ascii="Times New Roman" w:eastAsia="仿宋" w:hAnsi="Times New Roman" w:hint="eastAsia"/>
          <w:color w:val="000000" w:themeColor="text1"/>
          <w:sz w:val="28"/>
          <w:szCs w:val="28"/>
        </w:rPr>
        <w:t>m</w:t>
      </w:r>
      <w:r w:rsidR="00BB4CDA" w:rsidRPr="00A41CE6">
        <w:rPr>
          <w:rFonts w:ascii="Times New Roman" w:eastAsia="仿宋" w:hAnsi="Times New Roman"/>
          <w:color w:val="000000" w:themeColor="text1"/>
          <w:sz w:val="28"/>
          <w:szCs w:val="28"/>
          <w:vertAlign w:val="superscript"/>
        </w:rPr>
        <w:t>2</w:t>
      </w:r>
      <w:r w:rsidR="00BB4CDA" w:rsidRPr="00A41CE6">
        <w:rPr>
          <w:rFonts w:ascii="Times New Roman" w:eastAsia="仿宋" w:hAnsi="Times New Roman" w:hint="eastAsia"/>
          <w:color w:val="000000" w:themeColor="text1"/>
          <w:sz w:val="28"/>
          <w:szCs w:val="28"/>
        </w:rPr>
        <w:t>，</w:t>
      </w:r>
      <w:r w:rsidR="00B849DC" w:rsidRPr="00A41CE6">
        <w:rPr>
          <w:rFonts w:ascii="Times New Roman" w:eastAsia="仿宋" w:hAnsi="Times New Roman" w:hint="eastAsia"/>
          <w:color w:val="000000" w:themeColor="text1"/>
          <w:sz w:val="28"/>
          <w:szCs w:val="28"/>
        </w:rPr>
        <w:t>占城镇新建建筑面积的比例</w:t>
      </w:r>
      <w:r w:rsidR="00B849DC" w:rsidRPr="00A41CE6">
        <w:rPr>
          <w:rFonts w:ascii="Times New Roman" w:eastAsia="仿宋" w:hAnsi="Times New Roman" w:hint="eastAsia"/>
          <w:color w:val="000000" w:themeColor="text1"/>
          <w:sz w:val="28"/>
          <w:szCs w:val="28"/>
        </w:rPr>
        <w:t>41.40%</w:t>
      </w:r>
      <w:r w:rsidR="00B849DC" w:rsidRPr="00A41CE6">
        <w:rPr>
          <w:rFonts w:ascii="Times New Roman" w:eastAsia="仿宋" w:hAnsi="Times New Roman" w:hint="eastAsia"/>
          <w:color w:val="000000" w:themeColor="text1"/>
          <w:sz w:val="28"/>
          <w:szCs w:val="28"/>
        </w:rPr>
        <w:t>；</w:t>
      </w:r>
      <w:r w:rsidR="00B849DC" w:rsidRPr="00A41CE6">
        <w:rPr>
          <w:rFonts w:ascii="Times New Roman" w:eastAsia="仿宋" w:hAnsi="Times New Roman" w:hint="eastAsia"/>
          <w:color w:val="000000" w:themeColor="text1"/>
          <w:sz w:val="28"/>
          <w:szCs w:val="28"/>
        </w:rPr>
        <w:t>2021</w:t>
      </w:r>
      <w:r w:rsidR="00B849DC" w:rsidRPr="00A41CE6">
        <w:rPr>
          <w:rFonts w:ascii="Times New Roman" w:eastAsia="仿宋" w:hAnsi="Times New Roman" w:hint="eastAsia"/>
          <w:color w:val="000000" w:themeColor="text1"/>
          <w:sz w:val="28"/>
          <w:szCs w:val="28"/>
        </w:rPr>
        <w:t>年，海口市城镇新增绿色建筑面积</w:t>
      </w:r>
      <w:r w:rsidR="00843D38" w:rsidRPr="00A41CE6">
        <w:rPr>
          <w:rFonts w:ascii="Times New Roman" w:eastAsia="仿宋" w:hAnsi="Times New Roman" w:hint="eastAsia"/>
          <w:color w:val="000000" w:themeColor="text1"/>
          <w:sz w:val="28"/>
          <w:szCs w:val="28"/>
        </w:rPr>
        <w:t>694.41</w:t>
      </w:r>
      <w:r w:rsidR="00B849DC" w:rsidRPr="00A41CE6">
        <w:rPr>
          <w:rFonts w:ascii="Times New Roman" w:eastAsia="仿宋" w:hAnsi="Times New Roman" w:hint="eastAsia"/>
          <w:color w:val="000000" w:themeColor="text1"/>
          <w:sz w:val="28"/>
          <w:szCs w:val="28"/>
        </w:rPr>
        <w:t>万</w:t>
      </w:r>
      <w:r w:rsidR="00B849DC" w:rsidRPr="00A41CE6">
        <w:rPr>
          <w:rFonts w:ascii="Times New Roman" w:eastAsia="仿宋" w:hAnsi="Times New Roman" w:hint="eastAsia"/>
          <w:color w:val="000000" w:themeColor="text1"/>
          <w:sz w:val="28"/>
          <w:szCs w:val="28"/>
        </w:rPr>
        <w:t>m</w:t>
      </w:r>
      <w:r w:rsidR="00B849DC" w:rsidRPr="00A41CE6">
        <w:rPr>
          <w:rFonts w:ascii="Times New Roman" w:eastAsia="仿宋" w:hAnsi="Times New Roman" w:hint="eastAsia"/>
          <w:color w:val="000000" w:themeColor="text1"/>
          <w:sz w:val="28"/>
          <w:szCs w:val="28"/>
          <w:vertAlign w:val="superscript"/>
        </w:rPr>
        <w:t>2</w:t>
      </w:r>
      <w:r w:rsidR="00B849DC" w:rsidRPr="00A41CE6">
        <w:rPr>
          <w:rFonts w:ascii="Times New Roman" w:eastAsia="仿宋" w:hAnsi="Times New Roman" w:hint="eastAsia"/>
          <w:color w:val="000000" w:themeColor="text1"/>
          <w:sz w:val="28"/>
          <w:szCs w:val="28"/>
        </w:rPr>
        <w:t>，占城镇新建建筑面积的比例</w:t>
      </w:r>
      <w:r w:rsidR="00843D38" w:rsidRPr="00A41CE6">
        <w:rPr>
          <w:rFonts w:ascii="Times New Roman" w:eastAsia="仿宋" w:hAnsi="Times New Roman" w:hint="eastAsia"/>
          <w:color w:val="000000" w:themeColor="text1"/>
          <w:sz w:val="28"/>
          <w:szCs w:val="28"/>
        </w:rPr>
        <w:t>88.05</w:t>
      </w:r>
      <w:r w:rsidR="00B849DC" w:rsidRPr="00A41CE6">
        <w:rPr>
          <w:rFonts w:ascii="Times New Roman" w:eastAsia="仿宋" w:hAnsi="Times New Roman" w:hint="eastAsia"/>
          <w:color w:val="000000" w:themeColor="text1"/>
          <w:sz w:val="28"/>
          <w:szCs w:val="28"/>
        </w:rPr>
        <w:t>%</w:t>
      </w:r>
      <w:r w:rsidR="00B849DC" w:rsidRPr="00A41CE6">
        <w:rPr>
          <w:rFonts w:ascii="Times New Roman" w:eastAsia="仿宋" w:hAnsi="Times New Roman" w:hint="eastAsia"/>
          <w:color w:val="000000" w:themeColor="text1"/>
          <w:sz w:val="28"/>
          <w:szCs w:val="28"/>
        </w:rPr>
        <w:t>，绿色建筑占比较“十三五”期间明显提高</w:t>
      </w:r>
      <w:r w:rsidR="000E13FA" w:rsidRPr="00A41CE6">
        <w:rPr>
          <w:rFonts w:ascii="Times New Roman" w:eastAsia="仿宋" w:hAnsi="Times New Roman" w:hint="eastAsia"/>
          <w:color w:val="000000" w:themeColor="text1"/>
          <w:sz w:val="28"/>
          <w:szCs w:val="28"/>
        </w:rPr>
        <w:t>。</w:t>
      </w:r>
      <w:r w:rsidR="00C53C75" w:rsidRPr="00A41CE6">
        <w:rPr>
          <w:rStyle w:val="af4"/>
          <w:rFonts w:ascii="Times New Roman" w:eastAsia="仿宋" w:hAnsi="Times New Roman"/>
          <w:color w:val="000000" w:themeColor="text1"/>
          <w:sz w:val="28"/>
          <w:szCs w:val="28"/>
        </w:rPr>
        <w:footnoteReference w:id="6"/>
      </w:r>
      <w:r w:rsidR="00B57D09" w:rsidRPr="00A41CE6">
        <w:rPr>
          <w:rFonts w:ascii="Times New Roman" w:eastAsia="仿宋" w:hAnsi="Times New Roman" w:hint="eastAsia"/>
          <w:color w:val="000000" w:themeColor="text1"/>
          <w:sz w:val="28"/>
          <w:szCs w:val="28"/>
        </w:rPr>
        <w:t>2016~2021</w:t>
      </w:r>
      <w:r w:rsidR="00B57D09" w:rsidRPr="00A41CE6">
        <w:rPr>
          <w:rFonts w:ascii="Times New Roman" w:eastAsia="仿宋" w:hAnsi="Times New Roman" w:hint="eastAsia"/>
          <w:color w:val="000000" w:themeColor="text1"/>
          <w:sz w:val="28"/>
          <w:szCs w:val="28"/>
        </w:rPr>
        <w:t>年</w:t>
      </w:r>
      <w:r w:rsidRPr="00A41CE6">
        <w:rPr>
          <w:rFonts w:ascii="Times New Roman" w:eastAsia="仿宋" w:hAnsi="Times New Roman" w:hint="eastAsia"/>
          <w:color w:val="000000" w:themeColor="text1"/>
          <w:sz w:val="28"/>
          <w:szCs w:val="28"/>
        </w:rPr>
        <w:t>获得绿建设计标识的项目</w:t>
      </w:r>
      <w:r w:rsidR="00F44B19" w:rsidRPr="00A41CE6">
        <w:rPr>
          <w:rFonts w:ascii="Times New Roman" w:eastAsia="仿宋" w:hAnsi="Times New Roman" w:hint="eastAsia"/>
          <w:color w:val="000000" w:themeColor="text1"/>
          <w:sz w:val="28"/>
          <w:szCs w:val="28"/>
        </w:rPr>
        <w:t>15</w:t>
      </w:r>
      <w:r w:rsidRPr="00A41CE6">
        <w:rPr>
          <w:rFonts w:ascii="Times New Roman" w:eastAsia="仿宋" w:hAnsi="Times New Roman" w:hint="eastAsia"/>
          <w:color w:val="000000" w:themeColor="text1"/>
          <w:sz w:val="28"/>
          <w:szCs w:val="28"/>
        </w:rPr>
        <w:t>个，总建筑面积</w:t>
      </w:r>
      <w:r w:rsidR="00F44B19" w:rsidRPr="00A41CE6">
        <w:rPr>
          <w:rFonts w:ascii="Times New Roman" w:eastAsia="仿宋" w:hAnsi="Times New Roman" w:hint="eastAsia"/>
          <w:color w:val="000000" w:themeColor="text1"/>
          <w:sz w:val="28"/>
          <w:szCs w:val="28"/>
        </w:rPr>
        <w:t>208.08</w:t>
      </w:r>
      <w:r w:rsidRPr="00A41CE6">
        <w:rPr>
          <w:rFonts w:ascii="Times New Roman" w:eastAsia="仿宋" w:hAnsi="Times New Roman" w:hint="eastAsia"/>
          <w:color w:val="000000" w:themeColor="text1"/>
          <w:sz w:val="28"/>
          <w:szCs w:val="28"/>
        </w:rPr>
        <w:t>万平方米，二星级及以上绿建设计标识项目</w:t>
      </w:r>
      <w:r w:rsidRPr="00A41CE6">
        <w:rPr>
          <w:rFonts w:ascii="Times New Roman" w:eastAsia="仿宋" w:hAnsi="Times New Roman" w:hint="eastAsia"/>
          <w:color w:val="000000" w:themeColor="text1"/>
          <w:sz w:val="28"/>
          <w:szCs w:val="28"/>
        </w:rPr>
        <w:t>8</w:t>
      </w:r>
      <w:r w:rsidRPr="00A41CE6">
        <w:rPr>
          <w:rFonts w:ascii="Times New Roman" w:eastAsia="仿宋" w:hAnsi="Times New Roman" w:hint="eastAsia"/>
          <w:color w:val="000000" w:themeColor="text1"/>
          <w:sz w:val="28"/>
          <w:szCs w:val="28"/>
        </w:rPr>
        <w:t>个，总建筑面积</w:t>
      </w:r>
      <w:r w:rsidR="00D26E26" w:rsidRPr="00A41CE6">
        <w:rPr>
          <w:rFonts w:ascii="Times New Roman" w:eastAsia="仿宋" w:hAnsi="Times New Roman" w:hint="eastAsia"/>
          <w:color w:val="000000" w:themeColor="text1"/>
          <w:sz w:val="28"/>
          <w:szCs w:val="28"/>
        </w:rPr>
        <w:t>78.59</w:t>
      </w:r>
      <w:r w:rsidRPr="00A41CE6">
        <w:rPr>
          <w:rFonts w:ascii="Times New Roman" w:eastAsia="仿宋" w:hAnsi="Times New Roman" w:hint="eastAsia"/>
          <w:color w:val="000000" w:themeColor="text1"/>
          <w:sz w:val="28"/>
          <w:szCs w:val="28"/>
        </w:rPr>
        <w:t>万平方米</w:t>
      </w:r>
      <w:r w:rsidR="008926F1" w:rsidRPr="00A41CE6">
        <w:rPr>
          <w:rStyle w:val="af4"/>
          <w:rFonts w:ascii="Times New Roman" w:eastAsia="仿宋" w:hAnsi="Times New Roman"/>
          <w:color w:val="000000" w:themeColor="text1"/>
          <w:sz w:val="28"/>
          <w:szCs w:val="28"/>
        </w:rPr>
        <w:footnoteReference w:id="7"/>
      </w:r>
      <w:r w:rsidR="00D26E26" w:rsidRPr="00A41CE6">
        <w:rPr>
          <w:rFonts w:ascii="Times New Roman" w:eastAsia="仿宋" w:hAnsi="Times New Roman" w:hint="eastAsia"/>
          <w:color w:val="000000" w:themeColor="text1"/>
          <w:sz w:val="28"/>
          <w:szCs w:val="28"/>
        </w:rPr>
        <w:t>。</w:t>
      </w:r>
    </w:p>
    <w:p w:rsidR="005A1264" w:rsidRPr="00A41CE6" w:rsidRDefault="005C591D">
      <w:pPr>
        <w:pStyle w:val="3"/>
        <w:spacing w:before="0" w:after="200" w:line="360" w:lineRule="auto"/>
        <w:ind w:firstLineChars="200" w:firstLine="600"/>
        <w:rPr>
          <w:rFonts w:ascii="Times New Roman" w:eastAsia="黑体" w:hAnsi="Times New Roman"/>
          <w:b w:val="0"/>
          <w:color w:val="000000" w:themeColor="text1"/>
          <w:sz w:val="30"/>
          <w:szCs w:val="30"/>
        </w:rPr>
      </w:pPr>
      <w:bookmarkStart w:id="8" w:name="_Toc136877070"/>
      <w:r w:rsidRPr="00A41CE6">
        <w:rPr>
          <w:rFonts w:ascii="Times New Roman" w:eastAsia="黑体" w:hAnsi="Times New Roman" w:hint="eastAsia"/>
          <w:b w:val="0"/>
          <w:color w:val="000000" w:themeColor="text1"/>
          <w:sz w:val="30"/>
          <w:szCs w:val="30"/>
        </w:rPr>
        <w:t>3.</w:t>
      </w:r>
      <w:r w:rsidRPr="00A41CE6">
        <w:rPr>
          <w:rFonts w:ascii="Times New Roman" w:eastAsia="黑体" w:hAnsi="Times New Roman" w:hint="eastAsia"/>
          <w:b w:val="0"/>
          <w:color w:val="000000" w:themeColor="text1"/>
          <w:sz w:val="30"/>
          <w:szCs w:val="30"/>
        </w:rPr>
        <w:t>装配式建筑方面</w:t>
      </w:r>
      <w:bookmarkEnd w:id="8"/>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“十三五”期间，海口市严格落实《海南省人民政府关于大力发展装配式建筑的实施意见》（琼府〔</w:t>
      </w:r>
      <w:r w:rsidRPr="00A41CE6">
        <w:rPr>
          <w:rFonts w:ascii="Times New Roman" w:eastAsia="仿宋" w:hAnsi="Times New Roman" w:hint="eastAsia"/>
          <w:color w:val="000000" w:themeColor="text1"/>
          <w:sz w:val="28"/>
          <w:szCs w:val="28"/>
        </w:rPr>
        <w:t>2017</w:t>
      </w:r>
      <w:r w:rsidRPr="00A41CE6">
        <w:rPr>
          <w:rFonts w:ascii="Times New Roman" w:eastAsia="仿宋" w:hAnsi="Times New Roman" w:hint="eastAsia"/>
          <w:color w:val="000000" w:themeColor="text1"/>
          <w:sz w:val="28"/>
          <w:szCs w:val="28"/>
        </w:rPr>
        <w:t>〕</w:t>
      </w:r>
      <w:r w:rsidRPr="00A41CE6">
        <w:rPr>
          <w:rFonts w:ascii="Times New Roman" w:eastAsia="仿宋" w:hAnsi="Times New Roman" w:hint="eastAsia"/>
          <w:color w:val="000000" w:themeColor="text1"/>
          <w:sz w:val="28"/>
          <w:szCs w:val="28"/>
        </w:rPr>
        <w:t>100</w:t>
      </w:r>
      <w:r w:rsidRPr="00A41CE6">
        <w:rPr>
          <w:rFonts w:ascii="Times New Roman" w:eastAsia="仿宋" w:hAnsi="Times New Roman" w:hint="eastAsia"/>
          <w:color w:val="000000" w:themeColor="text1"/>
          <w:sz w:val="28"/>
          <w:szCs w:val="28"/>
        </w:rPr>
        <w:t>号）文件要求，积极推进装配式建筑发展。编制《海口市装配式建筑专项规划（</w:t>
      </w:r>
      <w:r w:rsidRPr="00A41CE6">
        <w:rPr>
          <w:rFonts w:ascii="Times New Roman" w:eastAsia="仿宋" w:hAnsi="Times New Roman" w:hint="eastAsia"/>
          <w:color w:val="000000" w:themeColor="text1"/>
          <w:sz w:val="28"/>
          <w:szCs w:val="28"/>
        </w:rPr>
        <w:t>2020</w:t>
      </w:r>
      <w:r w:rsidRPr="00A41CE6">
        <w:rPr>
          <w:rFonts w:ascii="Times New Roman" w:eastAsia="仿宋" w:hAnsi="Times New Roman" w:hint="eastAsia"/>
          <w:color w:val="000000" w:themeColor="text1"/>
          <w:sz w:val="28"/>
          <w:szCs w:val="28"/>
        </w:rPr>
        <w:t>－</w:t>
      </w:r>
      <w:r w:rsidRPr="00A41CE6">
        <w:rPr>
          <w:rFonts w:ascii="Times New Roman" w:eastAsia="仿宋" w:hAnsi="Times New Roman" w:hint="eastAsia"/>
          <w:color w:val="000000" w:themeColor="text1"/>
          <w:sz w:val="28"/>
          <w:szCs w:val="28"/>
        </w:rPr>
        <w:t>2022</w:t>
      </w:r>
      <w:r w:rsidRPr="00A41CE6">
        <w:rPr>
          <w:rFonts w:ascii="Times New Roman" w:eastAsia="仿宋" w:hAnsi="Times New Roman" w:hint="eastAsia"/>
          <w:color w:val="000000" w:themeColor="text1"/>
          <w:sz w:val="28"/>
          <w:szCs w:val="28"/>
        </w:rPr>
        <w:t>）》《海口市推进装配式建筑发展的实施方案》《海口市装配式建筑面积奖励实施细则》《海口市推进装配式建筑发展实现建筑产业现代化实施方案》等一系列政策文件，大力支持装配式建筑发展。截至</w:t>
      </w:r>
      <w:r w:rsidR="00E00768" w:rsidRPr="00A41CE6">
        <w:rPr>
          <w:rFonts w:ascii="Times New Roman" w:eastAsia="仿宋" w:hAnsi="Times New Roman" w:hint="eastAsia"/>
          <w:color w:val="000000" w:themeColor="text1"/>
          <w:sz w:val="28"/>
          <w:szCs w:val="28"/>
        </w:rPr>
        <w:t>2021</w:t>
      </w:r>
      <w:r w:rsidRPr="00A41CE6">
        <w:rPr>
          <w:rFonts w:ascii="Times New Roman" w:eastAsia="仿宋" w:hAnsi="Times New Roman" w:hint="eastAsia"/>
          <w:color w:val="000000" w:themeColor="text1"/>
          <w:sz w:val="28"/>
          <w:szCs w:val="28"/>
        </w:rPr>
        <w:t>年底全市装配式建筑面积达到</w:t>
      </w:r>
      <w:r w:rsidR="00E00768" w:rsidRPr="00A41CE6">
        <w:rPr>
          <w:rFonts w:ascii="Times New Roman" w:eastAsia="仿宋" w:hAnsi="Times New Roman" w:hint="eastAsia"/>
          <w:color w:val="000000" w:themeColor="text1"/>
          <w:sz w:val="28"/>
          <w:szCs w:val="28"/>
        </w:rPr>
        <w:t>1449.4</w:t>
      </w:r>
      <w:r w:rsidRPr="00A41CE6">
        <w:rPr>
          <w:rFonts w:ascii="Times New Roman" w:eastAsia="仿宋" w:hAnsi="Times New Roman" w:hint="eastAsia"/>
          <w:color w:val="000000" w:themeColor="text1"/>
          <w:sz w:val="28"/>
          <w:szCs w:val="28"/>
        </w:rPr>
        <w:t>万平方米</w:t>
      </w:r>
      <w:r w:rsidR="00C27DD5" w:rsidRPr="00A41CE6">
        <w:rPr>
          <w:rFonts w:ascii="Times New Roman" w:eastAsia="仿宋" w:hAnsi="Times New Roman" w:hint="eastAsia"/>
          <w:color w:val="000000" w:themeColor="text1"/>
          <w:sz w:val="28"/>
          <w:szCs w:val="28"/>
        </w:rPr>
        <w:t>，</w:t>
      </w:r>
      <w:r w:rsidR="00C27DD5" w:rsidRPr="00A41CE6">
        <w:rPr>
          <w:rFonts w:ascii="Times New Roman" w:eastAsia="仿宋" w:hAnsi="Times New Roman" w:hint="eastAsia"/>
          <w:color w:val="000000" w:themeColor="text1"/>
          <w:sz w:val="28"/>
          <w:szCs w:val="28"/>
        </w:rPr>
        <w:t>2021</w:t>
      </w:r>
      <w:r w:rsidR="00C27DD5" w:rsidRPr="00A41CE6">
        <w:rPr>
          <w:rFonts w:ascii="Times New Roman" w:eastAsia="仿宋" w:hAnsi="Times New Roman" w:hint="eastAsia"/>
          <w:color w:val="000000" w:themeColor="text1"/>
          <w:sz w:val="28"/>
          <w:szCs w:val="28"/>
        </w:rPr>
        <w:t>年装配</w:t>
      </w:r>
      <w:r w:rsidR="00C27DD5" w:rsidRPr="00A41CE6">
        <w:rPr>
          <w:rFonts w:ascii="Times New Roman" w:eastAsia="仿宋" w:hAnsi="Times New Roman" w:hint="eastAsia"/>
          <w:color w:val="000000" w:themeColor="text1"/>
          <w:sz w:val="28"/>
          <w:szCs w:val="28"/>
        </w:rPr>
        <w:lastRenderedPageBreak/>
        <w:t>式建筑新增</w:t>
      </w:r>
      <w:r w:rsidR="00C27DD5" w:rsidRPr="00A41CE6">
        <w:rPr>
          <w:rFonts w:ascii="Times New Roman" w:eastAsia="仿宋" w:hAnsi="Times New Roman" w:hint="eastAsia"/>
          <w:color w:val="000000" w:themeColor="text1"/>
          <w:sz w:val="28"/>
          <w:szCs w:val="28"/>
        </w:rPr>
        <w:t>1129.3</w:t>
      </w:r>
      <w:r w:rsidR="00C27DD5" w:rsidRPr="00A41CE6">
        <w:rPr>
          <w:rFonts w:ascii="Times New Roman" w:eastAsia="仿宋" w:hAnsi="Times New Roman" w:hint="eastAsia"/>
          <w:color w:val="000000" w:themeColor="text1"/>
          <w:sz w:val="28"/>
          <w:szCs w:val="28"/>
        </w:rPr>
        <w:t>万平方米</w:t>
      </w:r>
      <w:r w:rsidR="00021AA3" w:rsidRPr="00A41CE6">
        <w:rPr>
          <w:rStyle w:val="af4"/>
          <w:rFonts w:ascii="Times New Roman" w:eastAsia="仿宋" w:hAnsi="Times New Roman"/>
          <w:color w:val="000000" w:themeColor="text1"/>
          <w:sz w:val="28"/>
          <w:szCs w:val="28"/>
        </w:rPr>
        <w:footnoteReference w:id="8"/>
      </w:r>
      <w:r w:rsidR="00C27DD5" w:rsidRPr="00A41CE6">
        <w:rPr>
          <w:rFonts w:ascii="Times New Roman" w:eastAsia="仿宋" w:hAnsi="Times New Roman" w:hint="eastAsia"/>
          <w:color w:val="000000" w:themeColor="text1"/>
          <w:sz w:val="28"/>
          <w:szCs w:val="28"/>
        </w:rPr>
        <w:t>，</w:t>
      </w:r>
      <w:r w:rsidR="00C02550" w:rsidRPr="00A41CE6">
        <w:rPr>
          <w:rFonts w:ascii="Times New Roman" w:eastAsia="仿宋" w:hAnsi="Times New Roman" w:hint="eastAsia"/>
          <w:color w:val="000000" w:themeColor="text1"/>
          <w:sz w:val="28"/>
          <w:szCs w:val="28"/>
        </w:rPr>
        <w:t>占新建建筑面积的比例</w:t>
      </w:r>
      <w:r w:rsidR="00C02550" w:rsidRPr="00A41CE6">
        <w:rPr>
          <w:rFonts w:ascii="Times New Roman" w:eastAsia="仿宋" w:hAnsi="Times New Roman" w:hint="eastAsia"/>
          <w:color w:val="000000" w:themeColor="text1"/>
          <w:sz w:val="28"/>
          <w:szCs w:val="28"/>
        </w:rPr>
        <w:t>83.9%</w:t>
      </w:r>
      <w:r w:rsidR="00C02550" w:rsidRPr="00A41CE6">
        <w:rPr>
          <w:rFonts w:ascii="Times New Roman" w:eastAsia="仿宋" w:hAnsi="Times New Roman" w:hint="eastAsia"/>
          <w:color w:val="000000" w:themeColor="text1"/>
          <w:sz w:val="28"/>
          <w:szCs w:val="28"/>
        </w:rPr>
        <w:t>。</w:t>
      </w:r>
      <w:r w:rsidRPr="00A41CE6">
        <w:rPr>
          <w:rFonts w:ascii="Times New Roman" w:eastAsia="仿宋" w:hAnsi="Times New Roman" w:hint="eastAsia"/>
          <w:color w:val="000000" w:themeColor="text1"/>
          <w:sz w:val="28"/>
          <w:szCs w:val="28"/>
        </w:rPr>
        <w:t>其中省级装配式建筑示范项目</w:t>
      </w:r>
      <w:r w:rsidRPr="00A41CE6">
        <w:rPr>
          <w:rFonts w:ascii="Times New Roman" w:eastAsia="仿宋" w:hAnsi="Times New Roman"/>
          <w:color w:val="000000" w:themeColor="text1"/>
          <w:sz w:val="28"/>
          <w:szCs w:val="28"/>
        </w:rPr>
        <w:t>7</w:t>
      </w:r>
      <w:r w:rsidRPr="00A41CE6">
        <w:rPr>
          <w:rFonts w:ascii="Times New Roman" w:eastAsia="仿宋" w:hAnsi="Times New Roman" w:hint="eastAsia"/>
          <w:color w:val="000000" w:themeColor="text1"/>
          <w:sz w:val="28"/>
          <w:szCs w:val="28"/>
        </w:rPr>
        <w:t>个，省级装配式建筑示范基地</w:t>
      </w:r>
      <w:r w:rsidRPr="00A41CE6">
        <w:rPr>
          <w:rFonts w:ascii="Times New Roman" w:eastAsia="仿宋" w:hAnsi="Times New Roman"/>
          <w:color w:val="000000" w:themeColor="text1"/>
          <w:sz w:val="28"/>
          <w:szCs w:val="28"/>
        </w:rPr>
        <w:t>4</w:t>
      </w:r>
      <w:r w:rsidRPr="00A41CE6">
        <w:rPr>
          <w:rFonts w:ascii="Times New Roman" w:eastAsia="仿宋" w:hAnsi="Times New Roman" w:hint="eastAsia"/>
          <w:color w:val="000000" w:themeColor="text1"/>
          <w:sz w:val="28"/>
          <w:szCs w:val="28"/>
        </w:rPr>
        <w:t>个。</w:t>
      </w:r>
    </w:p>
    <w:p w:rsidR="005A1264" w:rsidRPr="00A41CE6" w:rsidRDefault="005C591D">
      <w:pPr>
        <w:adjustRightInd w:val="0"/>
        <w:snapToGrid w:val="0"/>
        <w:spacing w:line="360" w:lineRule="auto"/>
        <w:ind w:firstLineChars="200" w:firstLine="640"/>
        <w:jc w:val="both"/>
        <w:outlineLvl w:val="1"/>
        <w:rPr>
          <w:rFonts w:ascii="Times New Roman" w:eastAsia="黑体" w:hAnsi="Times New Roman"/>
          <w:color w:val="000000" w:themeColor="text1"/>
          <w:sz w:val="32"/>
          <w:szCs w:val="32"/>
        </w:rPr>
      </w:pPr>
      <w:bookmarkStart w:id="9" w:name="_Toc136877071"/>
      <w:r w:rsidRPr="00A41CE6">
        <w:rPr>
          <w:rFonts w:ascii="Times New Roman" w:eastAsia="黑体" w:hAnsi="Times New Roman" w:hint="eastAsia"/>
          <w:color w:val="000000" w:themeColor="text1"/>
          <w:sz w:val="32"/>
          <w:szCs w:val="32"/>
        </w:rPr>
        <w:t>（五）存在问题</w:t>
      </w:r>
      <w:bookmarkEnd w:id="9"/>
    </w:p>
    <w:p w:rsidR="005A1264" w:rsidRPr="00A41CE6" w:rsidRDefault="005C591D">
      <w:pPr>
        <w:pStyle w:val="3"/>
        <w:spacing w:before="0" w:after="200" w:line="360" w:lineRule="auto"/>
        <w:ind w:firstLineChars="200" w:firstLine="600"/>
        <w:rPr>
          <w:rFonts w:ascii="Times New Roman" w:eastAsia="黑体" w:hAnsi="Times New Roman"/>
          <w:b w:val="0"/>
          <w:color w:val="000000" w:themeColor="text1"/>
          <w:sz w:val="30"/>
          <w:szCs w:val="30"/>
        </w:rPr>
      </w:pPr>
      <w:bookmarkStart w:id="10" w:name="_Toc136877072"/>
      <w:r w:rsidRPr="00A41CE6">
        <w:rPr>
          <w:rFonts w:ascii="Times New Roman" w:eastAsia="黑体" w:hAnsi="Times New Roman" w:hint="eastAsia"/>
          <w:b w:val="0"/>
          <w:color w:val="000000" w:themeColor="text1"/>
          <w:sz w:val="30"/>
          <w:szCs w:val="30"/>
        </w:rPr>
        <w:t>1.</w:t>
      </w:r>
      <w:r w:rsidR="00701918" w:rsidRPr="00A41CE6">
        <w:rPr>
          <w:rFonts w:ascii="Times New Roman" w:eastAsia="黑体" w:hAnsi="Times New Roman" w:hint="eastAsia"/>
          <w:b w:val="0"/>
          <w:color w:val="000000" w:themeColor="text1"/>
          <w:sz w:val="30"/>
          <w:szCs w:val="30"/>
        </w:rPr>
        <w:t>部分区域项目</w:t>
      </w:r>
      <w:r w:rsidRPr="00A41CE6">
        <w:rPr>
          <w:rFonts w:ascii="Times New Roman" w:eastAsia="黑体" w:hAnsi="Times New Roman" w:hint="eastAsia"/>
          <w:b w:val="0"/>
          <w:color w:val="000000" w:themeColor="text1"/>
          <w:sz w:val="30"/>
          <w:szCs w:val="30"/>
        </w:rPr>
        <w:t>发展路径不清晰</w:t>
      </w:r>
      <w:bookmarkEnd w:id="10"/>
    </w:p>
    <w:p w:rsidR="005A1264" w:rsidRPr="00A41CE6" w:rsidRDefault="0090005B">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由于海口市</w:t>
      </w:r>
      <w:r w:rsidR="003C6530" w:rsidRPr="00A41CE6">
        <w:rPr>
          <w:rFonts w:ascii="Times New Roman" w:eastAsia="仿宋" w:hAnsi="Times New Roman" w:hint="eastAsia"/>
          <w:color w:val="000000" w:themeColor="text1"/>
          <w:sz w:val="28"/>
          <w:szCs w:val="28"/>
        </w:rPr>
        <w:t>建设规模</w:t>
      </w:r>
      <w:r w:rsidRPr="00A41CE6">
        <w:rPr>
          <w:rFonts w:ascii="Times New Roman" w:eastAsia="仿宋" w:hAnsi="Times New Roman" w:hint="eastAsia"/>
          <w:color w:val="000000" w:themeColor="text1"/>
          <w:sz w:val="28"/>
          <w:szCs w:val="28"/>
        </w:rPr>
        <w:t>整体</w:t>
      </w:r>
      <w:r w:rsidR="003C6530" w:rsidRPr="00A41CE6">
        <w:rPr>
          <w:rFonts w:ascii="Times New Roman" w:eastAsia="仿宋" w:hAnsi="Times New Roman" w:hint="eastAsia"/>
          <w:color w:val="000000" w:themeColor="text1"/>
          <w:sz w:val="28"/>
          <w:szCs w:val="28"/>
        </w:rPr>
        <w:t>较大，</w:t>
      </w:r>
      <w:r w:rsidR="00DF3BD4" w:rsidRPr="00A41CE6">
        <w:rPr>
          <w:rFonts w:ascii="Times New Roman" w:eastAsia="仿宋" w:hAnsi="Times New Roman" w:hint="eastAsia"/>
          <w:color w:val="000000" w:themeColor="text1"/>
          <w:sz w:val="28"/>
          <w:szCs w:val="28"/>
        </w:rPr>
        <w:t>建筑节能和绿色建筑相关工作牵头单位较多，导致统计工作难度大，对于各上位政策相关要求落实</w:t>
      </w:r>
      <w:r w:rsidR="00BF7DDA" w:rsidRPr="00A41CE6">
        <w:rPr>
          <w:rFonts w:ascii="Times New Roman" w:eastAsia="仿宋" w:hAnsi="Times New Roman" w:hint="eastAsia"/>
          <w:color w:val="000000" w:themeColor="text1"/>
          <w:sz w:val="28"/>
          <w:szCs w:val="28"/>
        </w:rPr>
        <w:t>不到位</w:t>
      </w:r>
      <w:r w:rsidR="00DF3BD4" w:rsidRPr="00A41CE6">
        <w:rPr>
          <w:rFonts w:ascii="Times New Roman" w:eastAsia="仿宋" w:hAnsi="Times New Roman" w:hint="eastAsia"/>
          <w:color w:val="000000" w:themeColor="text1"/>
          <w:sz w:val="28"/>
          <w:szCs w:val="28"/>
        </w:rPr>
        <w:t>；</w:t>
      </w:r>
      <w:r w:rsidR="00A628ED" w:rsidRPr="00A41CE6">
        <w:rPr>
          <w:rFonts w:ascii="Times New Roman" w:eastAsia="仿宋" w:hAnsi="Times New Roman" w:hint="eastAsia"/>
          <w:color w:val="000000" w:themeColor="text1"/>
          <w:sz w:val="28"/>
          <w:szCs w:val="28"/>
        </w:rPr>
        <w:t>海口市部分区域如江东新区发展路径清晰，其余存在独立审批权的区域发展整体较为缓慢</w:t>
      </w:r>
      <w:r w:rsidR="00036A83" w:rsidRPr="00A41CE6">
        <w:rPr>
          <w:rFonts w:ascii="Times New Roman" w:eastAsia="仿宋" w:hAnsi="Times New Roman" w:hint="eastAsia"/>
          <w:color w:val="000000" w:themeColor="text1"/>
          <w:sz w:val="28"/>
          <w:szCs w:val="28"/>
        </w:rPr>
        <w:t>，影响海口市整体建筑节能和绿色建筑发展进度。</w:t>
      </w:r>
      <w:r w:rsidR="00A628ED" w:rsidRPr="00A41CE6" w:rsidDel="00A628ED">
        <w:rPr>
          <w:rFonts w:ascii="Times New Roman" w:eastAsia="仿宋" w:hAnsi="Times New Roman" w:hint="eastAsia"/>
          <w:color w:val="000000" w:themeColor="text1"/>
          <w:sz w:val="28"/>
          <w:szCs w:val="28"/>
        </w:rPr>
        <w:t xml:space="preserve"> </w:t>
      </w:r>
    </w:p>
    <w:p w:rsidR="005A1264" w:rsidRPr="00A41CE6" w:rsidRDefault="005C591D">
      <w:pPr>
        <w:pStyle w:val="3"/>
        <w:spacing w:before="0" w:after="200" w:line="360" w:lineRule="auto"/>
        <w:ind w:firstLineChars="200" w:firstLine="600"/>
        <w:rPr>
          <w:rFonts w:ascii="Times New Roman" w:eastAsia="黑体" w:hAnsi="Times New Roman"/>
          <w:b w:val="0"/>
          <w:color w:val="000000" w:themeColor="text1"/>
          <w:sz w:val="30"/>
          <w:szCs w:val="30"/>
        </w:rPr>
      </w:pPr>
      <w:bookmarkStart w:id="11" w:name="_Toc136877073"/>
      <w:r w:rsidRPr="00A41CE6">
        <w:rPr>
          <w:rFonts w:ascii="Times New Roman" w:eastAsia="黑体" w:hAnsi="Times New Roman" w:hint="eastAsia"/>
          <w:b w:val="0"/>
          <w:color w:val="000000" w:themeColor="text1"/>
          <w:sz w:val="30"/>
          <w:szCs w:val="30"/>
        </w:rPr>
        <w:t>2.</w:t>
      </w:r>
      <w:r w:rsidRPr="00A41CE6">
        <w:rPr>
          <w:rFonts w:ascii="Times New Roman" w:eastAsia="黑体" w:hAnsi="Times New Roman" w:hint="eastAsia"/>
          <w:b w:val="0"/>
          <w:color w:val="000000" w:themeColor="text1"/>
          <w:sz w:val="30"/>
          <w:szCs w:val="30"/>
        </w:rPr>
        <w:t>绿色建筑发展质量待提升</w:t>
      </w:r>
      <w:bookmarkEnd w:id="11"/>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绿色建筑设计、施工、验收及认证过程中各环节的管控措施和推广引导有待进一步完善。高星级绿色建筑设计标识项目和绿色建筑评价标识项目比重偏低，绿色建筑建设还处于重“量”欠“质”、重“设计”轻“运行”的阶段，同时激励政策落实不到位，难以调动项目建设的积极性。</w:t>
      </w:r>
    </w:p>
    <w:p w:rsidR="005E13E6" w:rsidRPr="00A41CE6" w:rsidRDefault="005E13E6" w:rsidP="005E13E6">
      <w:pPr>
        <w:pStyle w:val="3"/>
        <w:spacing w:before="0" w:after="200" w:line="360" w:lineRule="auto"/>
        <w:ind w:firstLineChars="200" w:firstLine="600"/>
        <w:rPr>
          <w:rFonts w:ascii="Times New Roman" w:eastAsia="黑体" w:hAnsi="Times New Roman"/>
          <w:b w:val="0"/>
          <w:color w:val="000000" w:themeColor="text1"/>
          <w:sz w:val="30"/>
          <w:szCs w:val="30"/>
        </w:rPr>
      </w:pPr>
      <w:r w:rsidRPr="00A41CE6">
        <w:rPr>
          <w:rFonts w:ascii="Times New Roman" w:eastAsia="黑体" w:hAnsi="Times New Roman" w:hint="eastAsia"/>
          <w:b w:val="0"/>
          <w:color w:val="000000" w:themeColor="text1"/>
          <w:sz w:val="30"/>
          <w:szCs w:val="30"/>
        </w:rPr>
        <w:t>3.</w:t>
      </w:r>
      <w:r w:rsidR="00BC26A2" w:rsidRPr="00A41CE6">
        <w:rPr>
          <w:rFonts w:ascii="Times New Roman" w:eastAsia="黑体" w:hAnsi="Times New Roman" w:hint="eastAsia"/>
          <w:b w:val="0"/>
          <w:color w:val="000000" w:themeColor="text1"/>
          <w:sz w:val="30"/>
          <w:szCs w:val="30"/>
        </w:rPr>
        <w:t>装配式建筑发展</w:t>
      </w:r>
      <w:r w:rsidR="00391DE6" w:rsidRPr="00A41CE6">
        <w:rPr>
          <w:rFonts w:ascii="Times New Roman" w:eastAsia="黑体" w:hAnsi="Times New Roman" w:hint="eastAsia"/>
          <w:b w:val="0"/>
          <w:color w:val="000000" w:themeColor="text1"/>
          <w:sz w:val="30"/>
          <w:szCs w:val="30"/>
        </w:rPr>
        <w:t>水平</w:t>
      </w:r>
      <w:r w:rsidR="003F44AC" w:rsidRPr="00A41CE6">
        <w:rPr>
          <w:rFonts w:ascii="Times New Roman" w:eastAsia="黑体" w:hAnsi="Times New Roman" w:hint="eastAsia"/>
          <w:b w:val="0"/>
          <w:color w:val="000000" w:themeColor="text1"/>
          <w:sz w:val="30"/>
          <w:szCs w:val="30"/>
        </w:rPr>
        <w:t>有待</w:t>
      </w:r>
      <w:r w:rsidR="00391DE6" w:rsidRPr="00A41CE6">
        <w:rPr>
          <w:rFonts w:ascii="Times New Roman" w:eastAsia="黑体" w:hAnsi="Times New Roman" w:hint="eastAsia"/>
          <w:b w:val="0"/>
          <w:color w:val="000000" w:themeColor="text1"/>
          <w:sz w:val="30"/>
          <w:szCs w:val="30"/>
        </w:rPr>
        <w:t>加强</w:t>
      </w:r>
    </w:p>
    <w:p w:rsidR="006E6331" w:rsidRPr="00A41CE6" w:rsidRDefault="00373D7F" w:rsidP="006E6331">
      <w:pPr>
        <w:adjustRightInd w:val="0"/>
        <w:snapToGrid w:val="0"/>
        <w:spacing w:line="360" w:lineRule="auto"/>
        <w:ind w:firstLineChars="200" w:firstLine="560"/>
        <w:rPr>
          <w:rFonts w:ascii="Times New Roman" w:eastAsia="仿宋" w:hAnsi="Times New Roman" w:hint="eastAsia"/>
          <w:color w:val="000000" w:themeColor="text1"/>
          <w:sz w:val="28"/>
          <w:szCs w:val="28"/>
        </w:rPr>
      </w:pPr>
      <w:r w:rsidRPr="00A41CE6">
        <w:rPr>
          <w:rFonts w:ascii="Times New Roman" w:eastAsia="仿宋" w:hAnsi="Times New Roman" w:hint="eastAsia"/>
          <w:color w:val="000000" w:themeColor="text1"/>
          <w:sz w:val="28"/>
          <w:szCs w:val="28"/>
        </w:rPr>
        <w:t>由于高湿、高盐自然环境的影响，同时</w:t>
      </w:r>
      <w:r w:rsidR="005B6B60" w:rsidRPr="00A41CE6">
        <w:rPr>
          <w:rFonts w:ascii="Times New Roman" w:eastAsia="仿宋" w:hAnsi="Times New Roman" w:hint="eastAsia"/>
          <w:color w:val="000000" w:themeColor="text1"/>
          <w:sz w:val="28"/>
          <w:szCs w:val="28"/>
        </w:rPr>
        <w:t>考虑建设成本和维护成本，海口市装配式建筑中钢结构占比仍然较低；装配式建筑占新建建筑的比例虽然逐年有所提高，但是基本都是采用水平构件，竖向构件</w:t>
      </w:r>
      <w:r w:rsidR="00D36C23" w:rsidRPr="00A41CE6">
        <w:rPr>
          <w:rFonts w:ascii="Times New Roman" w:eastAsia="仿宋" w:hAnsi="Times New Roman" w:hint="eastAsia"/>
          <w:color w:val="000000" w:themeColor="text1"/>
          <w:sz w:val="28"/>
          <w:szCs w:val="28"/>
        </w:rPr>
        <w:t>、集成厨卫采用较少，装配式建筑发展质量有待提升</w:t>
      </w:r>
      <w:r w:rsidR="005B6B60" w:rsidRPr="00A41CE6">
        <w:rPr>
          <w:rFonts w:ascii="Times New Roman" w:eastAsia="仿宋" w:hAnsi="Times New Roman" w:hint="eastAsia"/>
          <w:color w:val="000000" w:themeColor="text1"/>
          <w:sz w:val="28"/>
          <w:szCs w:val="28"/>
        </w:rPr>
        <w:t>；装配式建筑从设计、生产、施工各阶段</w:t>
      </w:r>
      <w:r w:rsidR="00D36C23" w:rsidRPr="00A41CE6">
        <w:rPr>
          <w:rFonts w:ascii="Times New Roman" w:eastAsia="仿宋" w:hAnsi="Times New Roman" w:hint="eastAsia"/>
          <w:color w:val="000000" w:themeColor="text1"/>
          <w:sz w:val="28"/>
          <w:szCs w:val="28"/>
        </w:rPr>
        <w:t>缺少相应的标准化标准，标准化程度低。</w:t>
      </w:r>
      <w:bookmarkStart w:id="12" w:name="_Toc136877074"/>
    </w:p>
    <w:p w:rsidR="005A1264" w:rsidRPr="00A41CE6" w:rsidRDefault="005E13E6" w:rsidP="006E6331">
      <w:pPr>
        <w:pStyle w:val="3"/>
        <w:spacing w:before="0" w:after="200" w:line="360" w:lineRule="auto"/>
        <w:ind w:firstLineChars="200" w:firstLine="600"/>
        <w:rPr>
          <w:rFonts w:ascii="Times New Roman" w:eastAsia="黑体" w:hAnsi="Times New Roman"/>
          <w:b w:val="0"/>
          <w:color w:val="000000" w:themeColor="text1"/>
          <w:sz w:val="30"/>
          <w:szCs w:val="30"/>
        </w:rPr>
      </w:pPr>
      <w:r w:rsidRPr="00A41CE6">
        <w:rPr>
          <w:rFonts w:ascii="Times New Roman" w:eastAsia="黑体" w:hAnsi="Times New Roman" w:hint="eastAsia"/>
          <w:b w:val="0"/>
          <w:color w:val="000000" w:themeColor="text1"/>
          <w:sz w:val="30"/>
          <w:szCs w:val="30"/>
        </w:rPr>
        <w:lastRenderedPageBreak/>
        <w:t>4</w:t>
      </w:r>
      <w:r w:rsidR="005C591D" w:rsidRPr="00A41CE6">
        <w:rPr>
          <w:rFonts w:ascii="Times New Roman" w:eastAsia="黑体" w:hAnsi="Times New Roman" w:hint="eastAsia"/>
          <w:b w:val="0"/>
          <w:color w:val="000000" w:themeColor="text1"/>
          <w:sz w:val="30"/>
          <w:szCs w:val="30"/>
        </w:rPr>
        <w:t>.</w:t>
      </w:r>
      <w:r w:rsidR="005C591D" w:rsidRPr="00A41CE6">
        <w:rPr>
          <w:rFonts w:ascii="Times New Roman" w:eastAsia="黑体" w:hAnsi="Times New Roman" w:hint="eastAsia"/>
          <w:b w:val="0"/>
          <w:color w:val="000000" w:themeColor="text1"/>
          <w:sz w:val="30"/>
          <w:szCs w:val="30"/>
        </w:rPr>
        <w:t>政府层面政策引导待加强</w:t>
      </w:r>
      <w:bookmarkEnd w:id="12"/>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绿色建筑、超低能耗建筑缺乏有效的政策引导措施，以需求为导向的市场化推进绿色建筑的机制尚未建立，市场主动性不够。各部门之间的工作机制未做到深度协同，各部门未对相关工作引起重视，未配备相关专职人员及时针对各项目给予适当的引导和指导，在项目设计阶段缺乏有力抓手，导致绿色建筑、超低能耗建筑的发展缓慢。</w:t>
      </w:r>
    </w:p>
    <w:p w:rsidR="00393B7D" w:rsidRPr="00A41CE6" w:rsidRDefault="00393B7D">
      <w:pPr>
        <w:adjustRightInd w:val="0"/>
        <w:snapToGrid w:val="0"/>
        <w:spacing w:line="360" w:lineRule="auto"/>
        <w:ind w:firstLineChars="200" w:firstLine="560"/>
        <w:rPr>
          <w:rFonts w:ascii="Times New Roman" w:eastAsia="仿宋" w:hAnsi="Times New Roman"/>
          <w:color w:val="000000" w:themeColor="text1"/>
          <w:sz w:val="28"/>
          <w:szCs w:val="28"/>
        </w:rPr>
      </w:pPr>
    </w:p>
    <w:bookmarkEnd w:id="0"/>
    <w:p w:rsidR="005A1264" w:rsidRPr="00A41CE6" w:rsidRDefault="005C591D">
      <w:pPr>
        <w:adjustRightInd w:val="0"/>
        <w:snapToGrid w:val="0"/>
        <w:spacing w:after="0" w:line="360" w:lineRule="auto"/>
        <w:ind w:firstLineChars="200" w:firstLine="560"/>
        <w:jc w:val="both"/>
        <w:rPr>
          <w:rFonts w:ascii="Times New Roman" w:eastAsia="仿宋" w:hAnsi="Times New Roman"/>
          <w:color w:val="000000" w:themeColor="text1"/>
          <w:sz w:val="28"/>
          <w:szCs w:val="28"/>
        </w:rPr>
      </w:pPr>
      <w:r w:rsidRPr="00A41CE6">
        <w:rPr>
          <w:rFonts w:ascii="Times New Roman" w:eastAsia="仿宋" w:hAnsi="Times New Roman"/>
          <w:color w:val="000000" w:themeColor="text1"/>
          <w:sz w:val="28"/>
          <w:szCs w:val="28"/>
        </w:rPr>
        <w:br w:type="page"/>
      </w:r>
    </w:p>
    <w:p w:rsidR="005A1264" w:rsidRPr="00A41CE6" w:rsidRDefault="005C591D">
      <w:pPr>
        <w:adjustRightInd w:val="0"/>
        <w:snapToGrid w:val="0"/>
        <w:spacing w:line="360" w:lineRule="auto"/>
        <w:jc w:val="center"/>
        <w:outlineLvl w:val="0"/>
        <w:rPr>
          <w:rFonts w:ascii="Times New Roman" w:eastAsia="黑体" w:hAnsi="Times New Roman"/>
          <w:color w:val="000000" w:themeColor="text1"/>
          <w:sz w:val="36"/>
          <w:szCs w:val="36"/>
        </w:rPr>
      </w:pPr>
      <w:bookmarkStart w:id="13" w:name="_Toc30661"/>
      <w:bookmarkStart w:id="14" w:name="_Toc136877075"/>
      <w:r w:rsidRPr="00A41CE6">
        <w:rPr>
          <w:rFonts w:ascii="Times New Roman" w:eastAsia="黑体" w:hAnsi="Times New Roman" w:hint="eastAsia"/>
          <w:color w:val="000000" w:themeColor="text1"/>
          <w:sz w:val="36"/>
          <w:szCs w:val="36"/>
        </w:rPr>
        <w:lastRenderedPageBreak/>
        <w:t>第二章</w:t>
      </w:r>
      <w:r w:rsidRPr="00A41CE6">
        <w:rPr>
          <w:rFonts w:ascii="Times New Roman" w:eastAsia="黑体" w:hAnsi="Times New Roman" w:hint="eastAsia"/>
          <w:color w:val="000000" w:themeColor="text1"/>
          <w:sz w:val="36"/>
          <w:szCs w:val="36"/>
        </w:rPr>
        <w:t xml:space="preserve"> </w:t>
      </w:r>
      <w:r w:rsidRPr="00A41CE6">
        <w:rPr>
          <w:rFonts w:ascii="Times New Roman" w:eastAsia="黑体" w:hAnsi="Times New Roman" w:hint="eastAsia"/>
          <w:color w:val="000000" w:themeColor="text1"/>
          <w:sz w:val="36"/>
          <w:szCs w:val="36"/>
        </w:rPr>
        <w:t>总体要求</w:t>
      </w:r>
      <w:bookmarkEnd w:id="13"/>
      <w:bookmarkEnd w:id="14"/>
    </w:p>
    <w:p w:rsidR="005A1264" w:rsidRPr="00A41CE6" w:rsidRDefault="005C591D">
      <w:pPr>
        <w:adjustRightInd w:val="0"/>
        <w:snapToGrid w:val="0"/>
        <w:spacing w:line="360" w:lineRule="auto"/>
        <w:ind w:firstLineChars="200" w:firstLine="640"/>
        <w:jc w:val="both"/>
        <w:outlineLvl w:val="1"/>
        <w:rPr>
          <w:rFonts w:ascii="Times New Roman" w:eastAsia="黑体" w:hAnsi="Times New Roman"/>
          <w:color w:val="000000" w:themeColor="text1"/>
          <w:sz w:val="32"/>
          <w:szCs w:val="32"/>
        </w:rPr>
      </w:pPr>
      <w:bookmarkStart w:id="15" w:name="_Toc29055"/>
      <w:bookmarkStart w:id="16" w:name="_Toc136877076"/>
      <w:r w:rsidRPr="00A41CE6">
        <w:rPr>
          <w:rFonts w:ascii="Times New Roman" w:eastAsia="黑体" w:hAnsi="Times New Roman" w:hint="eastAsia"/>
          <w:color w:val="000000" w:themeColor="text1"/>
          <w:sz w:val="32"/>
          <w:szCs w:val="32"/>
        </w:rPr>
        <w:t>（一）指导思想</w:t>
      </w:r>
      <w:bookmarkEnd w:id="15"/>
      <w:bookmarkEnd w:id="16"/>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bookmarkStart w:id="17" w:name="_Toc58957325"/>
      <w:bookmarkStart w:id="18" w:name="_Toc30671"/>
      <w:r w:rsidRPr="00A41CE6">
        <w:rPr>
          <w:rFonts w:ascii="Times New Roman" w:eastAsia="仿宋" w:hAnsi="Times New Roman" w:hint="eastAsia"/>
          <w:color w:val="000000" w:themeColor="text1"/>
          <w:sz w:val="28"/>
          <w:szCs w:val="28"/>
        </w:rPr>
        <w:t>以习近平新时代中国特色社会主义思想为指导，全面贯彻党的二十大精神，深入贯彻习近平生态文明思想，立足新发展阶段，完整、准确、全面贯彻新发展理念，加快构建新发展格局，着力推动高质量发展，</w:t>
      </w:r>
      <w:r w:rsidR="00661466" w:rsidRPr="00A41CE6">
        <w:rPr>
          <w:rFonts w:ascii="Times New Roman" w:eastAsia="仿宋" w:hAnsi="Times New Roman" w:hint="eastAsia"/>
          <w:color w:val="000000" w:themeColor="text1"/>
          <w:sz w:val="28"/>
          <w:szCs w:val="28"/>
        </w:rPr>
        <w:t>围绕冯飞书记提出的</w:t>
      </w:r>
      <w:r w:rsidR="00DC7297" w:rsidRPr="00A41CE6">
        <w:rPr>
          <w:rFonts w:ascii="Times New Roman" w:eastAsia="仿宋" w:hAnsi="Times New Roman" w:hint="eastAsia"/>
          <w:color w:val="000000" w:themeColor="text1"/>
          <w:sz w:val="28"/>
          <w:szCs w:val="28"/>
        </w:rPr>
        <w:t>分领域、分步骤推动落实</w:t>
      </w:r>
      <w:r w:rsidR="00661466" w:rsidRPr="00A41CE6">
        <w:rPr>
          <w:rFonts w:ascii="Times New Roman" w:eastAsia="仿宋" w:hAnsi="Times New Roman" w:hint="eastAsia"/>
          <w:color w:val="000000" w:themeColor="text1"/>
          <w:sz w:val="28"/>
          <w:szCs w:val="28"/>
        </w:rPr>
        <w:t>生态环境继续保持全国领先水平和生态环境质量和资源利用效率居于世界领先水平两个目标，</w:t>
      </w:r>
      <w:r w:rsidR="00DC7297" w:rsidRPr="00A41CE6">
        <w:rPr>
          <w:rFonts w:ascii="Times New Roman" w:eastAsia="仿宋" w:hAnsi="Times New Roman" w:hint="eastAsia"/>
          <w:color w:val="000000" w:themeColor="text1"/>
          <w:sz w:val="28"/>
          <w:szCs w:val="28"/>
        </w:rPr>
        <w:t>争当减排低碳“优等生”的要求，</w:t>
      </w:r>
      <w:r w:rsidRPr="00A41CE6">
        <w:rPr>
          <w:rFonts w:ascii="Times New Roman" w:eastAsia="仿宋" w:hAnsi="Times New Roman" w:hint="eastAsia"/>
          <w:color w:val="000000" w:themeColor="text1"/>
          <w:sz w:val="28"/>
          <w:szCs w:val="28"/>
        </w:rPr>
        <w:t>落实《海南自由贸易港建设总体方案》和</w:t>
      </w:r>
      <w:r w:rsidR="00C71EF3" w:rsidRPr="00A41CE6">
        <w:rPr>
          <w:rFonts w:ascii="Times New Roman" w:eastAsia="仿宋" w:hAnsi="Times New Roman" w:hint="eastAsia"/>
          <w:color w:val="000000" w:themeColor="text1"/>
          <w:sz w:val="28"/>
          <w:szCs w:val="28"/>
        </w:rPr>
        <w:t>《海口市国民经济和社会发展第十四个五年规划和二〇三五年远景目标纲要》</w:t>
      </w:r>
      <w:r w:rsidRPr="00A41CE6">
        <w:rPr>
          <w:rFonts w:ascii="Times New Roman" w:eastAsia="仿宋" w:hAnsi="Times New Roman" w:hint="eastAsia"/>
          <w:color w:val="000000" w:themeColor="text1"/>
          <w:sz w:val="28"/>
          <w:szCs w:val="28"/>
        </w:rPr>
        <w:t>要求，转变发展方式，推进建筑业转型升级，降低建筑能源资源消耗，提升建筑业发展质量，提升人民群众居住品质，初步建成经济繁荣、社会文明、生态宜居、人民幸福的美好新海口。</w:t>
      </w:r>
    </w:p>
    <w:p w:rsidR="005A1264" w:rsidRPr="00A41CE6" w:rsidRDefault="005C591D">
      <w:pPr>
        <w:adjustRightInd w:val="0"/>
        <w:snapToGrid w:val="0"/>
        <w:spacing w:line="360" w:lineRule="auto"/>
        <w:ind w:firstLineChars="200" w:firstLine="640"/>
        <w:jc w:val="both"/>
        <w:outlineLvl w:val="1"/>
        <w:rPr>
          <w:rFonts w:ascii="Times New Roman" w:eastAsia="黑体" w:hAnsi="Times New Roman"/>
          <w:color w:val="000000" w:themeColor="text1"/>
          <w:sz w:val="32"/>
          <w:szCs w:val="32"/>
        </w:rPr>
      </w:pPr>
      <w:bookmarkStart w:id="19" w:name="_Toc136877077"/>
      <w:r w:rsidRPr="00A41CE6">
        <w:rPr>
          <w:rFonts w:ascii="Times New Roman" w:eastAsia="黑体" w:hAnsi="Times New Roman" w:hint="eastAsia"/>
          <w:color w:val="000000" w:themeColor="text1"/>
          <w:sz w:val="32"/>
          <w:szCs w:val="32"/>
        </w:rPr>
        <w:t>（二）基本原则</w:t>
      </w:r>
      <w:bookmarkEnd w:id="17"/>
      <w:bookmarkEnd w:id="18"/>
      <w:bookmarkEnd w:id="19"/>
    </w:p>
    <w:p w:rsidR="005A1264" w:rsidRPr="00A41CE6" w:rsidRDefault="005C591D">
      <w:pPr>
        <w:pStyle w:val="3"/>
        <w:spacing w:before="0" w:after="200" w:line="360" w:lineRule="auto"/>
        <w:ind w:firstLineChars="200" w:firstLine="600"/>
        <w:rPr>
          <w:rFonts w:ascii="Times New Roman" w:eastAsia="黑体" w:hAnsi="Times New Roman"/>
          <w:b w:val="0"/>
          <w:color w:val="000000" w:themeColor="text1"/>
          <w:sz w:val="30"/>
          <w:szCs w:val="30"/>
        </w:rPr>
      </w:pPr>
      <w:bookmarkStart w:id="20" w:name="_Toc90483201"/>
      <w:bookmarkStart w:id="21" w:name="_Toc136877078"/>
      <w:bookmarkStart w:id="22" w:name="_Toc21295"/>
      <w:bookmarkStart w:id="23" w:name="_Toc58957326"/>
      <w:bookmarkStart w:id="24" w:name="_Toc11459"/>
      <w:r w:rsidRPr="00A41CE6">
        <w:rPr>
          <w:rFonts w:ascii="Times New Roman" w:eastAsia="黑体" w:hAnsi="Times New Roman" w:hint="eastAsia"/>
          <w:b w:val="0"/>
          <w:color w:val="000000" w:themeColor="text1"/>
          <w:sz w:val="30"/>
          <w:szCs w:val="30"/>
        </w:rPr>
        <w:t xml:space="preserve">1. </w:t>
      </w:r>
      <w:r w:rsidRPr="00A41CE6">
        <w:rPr>
          <w:rFonts w:ascii="Times New Roman" w:eastAsia="黑体" w:hAnsi="Times New Roman" w:hint="eastAsia"/>
          <w:b w:val="0"/>
          <w:color w:val="000000" w:themeColor="text1"/>
          <w:sz w:val="30"/>
          <w:szCs w:val="30"/>
        </w:rPr>
        <w:t>科学谋划、系统推进</w:t>
      </w:r>
      <w:bookmarkEnd w:id="20"/>
      <w:bookmarkEnd w:id="21"/>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坚持问题导向、目标导向和结果导向，对标海口市“十四五”时期经济社会发展目标和</w:t>
      </w:r>
      <w:r w:rsidRPr="00A41CE6">
        <w:rPr>
          <w:rFonts w:ascii="Times New Roman" w:eastAsia="仿宋" w:hAnsi="Times New Roman" w:hint="eastAsia"/>
          <w:color w:val="000000" w:themeColor="text1"/>
          <w:sz w:val="28"/>
          <w:szCs w:val="28"/>
        </w:rPr>
        <w:t>2035</w:t>
      </w:r>
      <w:r w:rsidRPr="00A41CE6">
        <w:rPr>
          <w:rFonts w:ascii="Times New Roman" w:eastAsia="仿宋" w:hAnsi="Times New Roman" w:hint="eastAsia"/>
          <w:color w:val="000000" w:themeColor="text1"/>
          <w:sz w:val="28"/>
          <w:szCs w:val="28"/>
        </w:rPr>
        <w:t>年远景目标，加强前瞻性思考、全局性谋划和战略性布局，明确</w:t>
      </w:r>
      <w:r w:rsidR="00194217" w:rsidRPr="00A41CE6">
        <w:rPr>
          <w:rFonts w:ascii="Times New Roman" w:eastAsia="仿宋" w:hAnsi="Times New Roman" w:hint="eastAsia"/>
          <w:color w:val="000000" w:themeColor="text1"/>
          <w:sz w:val="28"/>
          <w:szCs w:val="28"/>
        </w:rPr>
        <w:t>建筑节能与绿色建筑（装配式建筑）</w:t>
      </w:r>
      <w:r w:rsidRPr="00A41CE6">
        <w:rPr>
          <w:rFonts w:ascii="Times New Roman" w:eastAsia="仿宋" w:hAnsi="Times New Roman" w:hint="eastAsia"/>
          <w:color w:val="000000" w:themeColor="text1"/>
          <w:sz w:val="28"/>
          <w:szCs w:val="28"/>
        </w:rPr>
        <w:t>发展方向和目标任务，</w:t>
      </w:r>
      <w:r w:rsidR="000657AB" w:rsidRPr="00A41CE6">
        <w:rPr>
          <w:rFonts w:ascii="Times New Roman" w:eastAsia="仿宋" w:hAnsi="Times New Roman" w:hint="eastAsia"/>
          <w:color w:val="000000" w:themeColor="text1"/>
          <w:sz w:val="28"/>
          <w:szCs w:val="28"/>
        </w:rPr>
        <w:t>以上位规划</w:t>
      </w:r>
      <w:r w:rsidR="0028540B" w:rsidRPr="00A41CE6">
        <w:rPr>
          <w:rFonts w:ascii="Times New Roman" w:eastAsia="仿宋" w:hAnsi="Times New Roman" w:hint="eastAsia"/>
          <w:color w:val="000000" w:themeColor="text1"/>
          <w:sz w:val="28"/>
          <w:szCs w:val="28"/>
        </w:rPr>
        <w:t>为</w:t>
      </w:r>
      <w:r w:rsidR="000657AB" w:rsidRPr="00A41CE6">
        <w:rPr>
          <w:rFonts w:ascii="Times New Roman" w:eastAsia="仿宋" w:hAnsi="Times New Roman" w:hint="eastAsia"/>
          <w:color w:val="000000" w:themeColor="text1"/>
          <w:sz w:val="28"/>
          <w:szCs w:val="28"/>
        </w:rPr>
        <w:t>指导，</w:t>
      </w:r>
      <w:r w:rsidRPr="00A41CE6">
        <w:rPr>
          <w:rFonts w:ascii="Times New Roman" w:eastAsia="仿宋" w:hAnsi="Times New Roman" w:hint="eastAsia"/>
          <w:color w:val="000000" w:themeColor="text1"/>
          <w:sz w:val="28"/>
          <w:szCs w:val="28"/>
        </w:rPr>
        <w:t>整体推进与</w:t>
      </w:r>
      <w:r w:rsidR="000657AB" w:rsidRPr="00A41CE6">
        <w:rPr>
          <w:rFonts w:ascii="Times New Roman" w:eastAsia="仿宋" w:hAnsi="Times New Roman" w:hint="eastAsia"/>
          <w:color w:val="000000" w:themeColor="text1"/>
          <w:sz w:val="28"/>
          <w:szCs w:val="28"/>
        </w:rPr>
        <w:t>重点园区发展</w:t>
      </w:r>
      <w:r w:rsidRPr="00A41CE6">
        <w:rPr>
          <w:rFonts w:ascii="Times New Roman" w:eastAsia="仿宋" w:hAnsi="Times New Roman" w:hint="eastAsia"/>
          <w:color w:val="000000" w:themeColor="text1"/>
          <w:sz w:val="28"/>
          <w:szCs w:val="28"/>
        </w:rPr>
        <w:t>相结合，</w:t>
      </w:r>
      <w:r w:rsidR="0028540B" w:rsidRPr="00A41CE6">
        <w:rPr>
          <w:rFonts w:ascii="Times New Roman" w:eastAsia="仿宋" w:hAnsi="Times New Roman" w:hint="eastAsia"/>
          <w:color w:val="000000" w:themeColor="text1"/>
          <w:sz w:val="28"/>
          <w:szCs w:val="28"/>
        </w:rPr>
        <w:t>推动行业新发展格局</w:t>
      </w:r>
      <w:r w:rsidRPr="00A41CE6">
        <w:rPr>
          <w:rFonts w:ascii="Times New Roman" w:eastAsia="仿宋" w:hAnsi="Times New Roman" w:hint="eastAsia"/>
          <w:color w:val="000000" w:themeColor="text1"/>
          <w:sz w:val="28"/>
          <w:szCs w:val="28"/>
        </w:rPr>
        <w:t>。</w:t>
      </w:r>
    </w:p>
    <w:p w:rsidR="005A1264" w:rsidRPr="00A41CE6" w:rsidRDefault="005C591D">
      <w:pPr>
        <w:pStyle w:val="3"/>
        <w:spacing w:before="0" w:after="200" w:line="360" w:lineRule="auto"/>
        <w:ind w:firstLineChars="200" w:firstLine="600"/>
        <w:rPr>
          <w:rFonts w:ascii="Times New Roman" w:eastAsia="黑体" w:hAnsi="Times New Roman"/>
          <w:b w:val="0"/>
          <w:color w:val="000000" w:themeColor="text1"/>
          <w:sz w:val="30"/>
          <w:szCs w:val="30"/>
        </w:rPr>
      </w:pPr>
      <w:bookmarkStart w:id="25" w:name="_Toc58957328"/>
      <w:bookmarkStart w:id="26" w:name="_Toc12931"/>
      <w:bookmarkStart w:id="27" w:name="_Toc90483202"/>
      <w:bookmarkStart w:id="28" w:name="_Toc136877079"/>
      <w:bookmarkEnd w:id="22"/>
      <w:bookmarkEnd w:id="23"/>
      <w:r w:rsidRPr="00A41CE6">
        <w:rPr>
          <w:rFonts w:ascii="Times New Roman" w:eastAsia="黑体" w:hAnsi="Times New Roman" w:hint="eastAsia"/>
          <w:b w:val="0"/>
          <w:color w:val="000000" w:themeColor="text1"/>
          <w:sz w:val="30"/>
          <w:szCs w:val="30"/>
        </w:rPr>
        <w:lastRenderedPageBreak/>
        <w:t>2.</w:t>
      </w:r>
      <w:r w:rsidRPr="00A41CE6">
        <w:rPr>
          <w:rFonts w:ascii="Times New Roman" w:eastAsia="黑体" w:hAnsi="Times New Roman"/>
          <w:b w:val="0"/>
          <w:color w:val="000000" w:themeColor="text1"/>
          <w:sz w:val="30"/>
          <w:szCs w:val="30"/>
        </w:rPr>
        <w:t xml:space="preserve"> </w:t>
      </w:r>
      <w:r w:rsidRPr="00A41CE6">
        <w:rPr>
          <w:rFonts w:ascii="Times New Roman" w:eastAsia="黑体" w:hAnsi="Times New Roman" w:hint="eastAsia"/>
          <w:b w:val="0"/>
          <w:color w:val="000000" w:themeColor="text1"/>
          <w:sz w:val="30"/>
          <w:szCs w:val="30"/>
        </w:rPr>
        <w:t>政府引导</w:t>
      </w:r>
      <w:bookmarkEnd w:id="25"/>
      <w:bookmarkEnd w:id="26"/>
      <w:r w:rsidRPr="00A41CE6">
        <w:rPr>
          <w:rFonts w:ascii="Times New Roman" w:eastAsia="黑体" w:hAnsi="Times New Roman" w:hint="eastAsia"/>
          <w:b w:val="0"/>
          <w:color w:val="000000" w:themeColor="text1"/>
          <w:sz w:val="30"/>
          <w:szCs w:val="30"/>
        </w:rPr>
        <w:t>、市场运作</w:t>
      </w:r>
      <w:bookmarkEnd w:id="27"/>
      <w:bookmarkEnd w:id="28"/>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有效发挥政府的引导作用和服务功能，规范市场主体行为。用管理办法等政策措施从总体上进行把控，运用价格、财税、金融等经济手段，发挥市场配置资源的决定性作用，营造有利于建筑节能与绿色建筑发展的市场环境，激发市场主体设计、建造、使用建筑节能与绿色建筑的动力，实现市场由被动向主动的转化。</w:t>
      </w:r>
    </w:p>
    <w:p w:rsidR="005A1264" w:rsidRPr="00A41CE6" w:rsidRDefault="005C591D">
      <w:pPr>
        <w:pStyle w:val="3"/>
        <w:spacing w:before="0" w:after="200" w:line="360" w:lineRule="auto"/>
        <w:ind w:firstLineChars="200" w:firstLine="600"/>
        <w:rPr>
          <w:rFonts w:ascii="Times New Roman" w:eastAsia="黑体" w:hAnsi="Times New Roman"/>
          <w:b w:val="0"/>
          <w:color w:val="000000" w:themeColor="text1"/>
          <w:sz w:val="30"/>
          <w:szCs w:val="30"/>
        </w:rPr>
      </w:pPr>
      <w:bookmarkStart w:id="29" w:name="_Toc58957329"/>
      <w:bookmarkStart w:id="30" w:name="_Toc12068"/>
      <w:bookmarkStart w:id="31" w:name="_Toc90483203"/>
      <w:bookmarkStart w:id="32" w:name="_Toc136877080"/>
      <w:r w:rsidRPr="00A41CE6">
        <w:rPr>
          <w:rFonts w:ascii="Times New Roman" w:eastAsia="黑体" w:hAnsi="Times New Roman" w:hint="eastAsia"/>
          <w:b w:val="0"/>
          <w:color w:val="000000" w:themeColor="text1"/>
          <w:sz w:val="30"/>
          <w:szCs w:val="30"/>
        </w:rPr>
        <w:t>3.</w:t>
      </w:r>
      <w:r w:rsidRPr="00A41CE6">
        <w:rPr>
          <w:rFonts w:ascii="Times New Roman" w:eastAsia="黑体" w:hAnsi="Times New Roman"/>
          <w:b w:val="0"/>
          <w:color w:val="000000" w:themeColor="text1"/>
          <w:sz w:val="30"/>
          <w:szCs w:val="30"/>
        </w:rPr>
        <w:t xml:space="preserve"> </w:t>
      </w:r>
      <w:bookmarkEnd w:id="29"/>
      <w:bookmarkEnd w:id="30"/>
      <w:r w:rsidRPr="00A41CE6">
        <w:rPr>
          <w:rFonts w:ascii="Times New Roman" w:eastAsia="黑体" w:hAnsi="Times New Roman" w:hint="eastAsia"/>
          <w:b w:val="0"/>
          <w:color w:val="000000" w:themeColor="text1"/>
          <w:sz w:val="30"/>
          <w:szCs w:val="30"/>
        </w:rPr>
        <w:t>立足当前、着眼长远</w:t>
      </w:r>
      <w:bookmarkEnd w:id="31"/>
      <w:bookmarkEnd w:id="32"/>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坚持目标导向和问题导向相统一，立足当前，着眼于打造绿色、安全、高效、智能的建筑体系长远目标，把解决当前问题与长远发展结合起来，强化底线思维，系统谋划海口市建筑节能与绿色建筑专项规划建设任务，解决当前建筑领域发展遇到的瓶颈与薄弱环节，实现建造方式转型升级，提升建筑品质，满足人民群众美好生活需要。</w:t>
      </w:r>
    </w:p>
    <w:p w:rsidR="005A1264" w:rsidRPr="00A41CE6" w:rsidRDefault="005C591D">
      <w:pPr>
        <w:adjustRightInd w:val="0"/>
        <w:snapToGrid w:val="0"/>
        <w:spacing w:line="360" w:lineRule="auto"/>
        <w:ind w:firstLineChars="200" w:firstLine="640"/>
        <w:jc w:val="both"/>
        <w:outlineLvl w:val="1"/>
        <w:rPr>
          <w:rFonts w:ascii="Times New Roman" w:eastAsia="黑体" w:hAnsi="Times New Roman"/>
          <w:color w:val="000000" w:themeColor="text1"/>
          <w:sz w:val="32"/>
          <w:szCs w:val="32"/>
        </w:rPr>
      </w:pPr>
      <w:bookmarkStart w:id="33" w:name="_Toc136877081"/>
      <w:r w:rsidRPr="00A41CE6">
        <w:rPr>
          <w:rFonts w:ascii="Times New Roman" w:eastAsia="黑体" w:hAnsi="Times New Roman" w:hint="eastAsia"/>
          <w:color w:val="000000" w:themeColor="text1"/>
          <w:sz w:val="32"/>
          <w:szCs w:val="32"/>
        </w:rPr>
        <w:t>（三）发展目标</w:t>
      </w:r>
      <w:bookmarkEnd w:id="24"/>
      <w:bookmarkEnd w:id="33"/>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到</w:t>
      </w:r>
      <w:r w:rsidRPr="00A41CE6">
        <w:rPr>
          <w:rFonts w:ascii="Times New Roman" w:eastAsia="仿宋" w:hAnsi="Times New Roman" w:hint="eastAsia"/>
          <w:color w:val="000000" w:themeColor="text1"/>
          <w:sz w:val="28"/>
          <w:szCs w:val="28"/>
        </w:rPr>
        <w:t>2025</w:t>
      </w:r>
      <w:r w:rsidRPr="00A41CE6">
        <w:rPr>
          <w:rFonts w:ascii="Times New Roman" w:eastAsia="仿宋" w:hAnsi="Times New Roman" w:hint="eastAsia"/>
          <w:color w:val="000000" w:themeColor="text1"/>
          <w:sz w:val="28"/>
          <w:szCs w:val="28"/>
        </w:rPr>
        <w:t>年，建筑节能标准加快提升，新建建筑能效水平稳步提升，绿色建筑高质量发展，建筑工业化全面推广，促进建筑运行“低碳化”、“绿色化”、“信息化”。</w:t>
      </w:r>
    </w:p>
    <w:p w:rsidR="005A1264" w:rsidRPr="00A41CE6" w:rsidRDefault="005C591D">
      <w:pPr>
        <w:adjustRightInd w:val="0"/>
        <w:snapToGrid w:val="0"/>
        <w:spacing w:line="360" w:lineRule="auto"/>
        <w:jc w:val="center"/>
        <w:rPr>
          <w:rFonts w:ascii="Times New Roman" w:eastAsia="仿宋" w:hAnsi="Times New Roman"/>
          <w:color w:val="000000" w:themeColor="text1"/>
          <w:sz w:val="28"/>
          <w:szCs w:val="28"/>
        </w:rPr>
      </w:pPr>
      <w:r w:rsidRPr="00A41CE6">
        <w:rPr>
          <w:rFonts w:ascii="Times New Roman" w:eastAsia="楷体" w:hAnsi="Times New Roman" w:hint="eastAsia"/>
          <w:b/>
          <w:sz w:val="24"/>
          <w:szCs w:val="24"/>
        </w:rPr>
        <w:t>表</w:t>
      </w:r>
      <w:r w:rsidRPr="00A41CE6">
        <w:rPr>
          <w:rFonts w:ascii="Times New Roman" w:eastAsia="楷体" w:hAnsi="Times New Roman" w:hint="eastAsia"/>
          <w:b/>
          <w:sz w:val="24"/>
          <w:szCs w:val="24"/>
        </w:rPr>
        <w:t xml:space="preserve">2-2-1 </w:t>
      </w:r>
      <w:r w:rsidRPr="00A41CE6">
        <w:rPr>
          <w:rFonts w:ascii="Times New Roman" w:eastAsia="楷体" w:hAnsi="Times New Roman" w:hint="eastAsia"/>
          <w:b/>
          <w:sz w:val="24"/>
          <w:szCs w:val="24"/>
        </w:rPr>
        <w:t>海口市建筑节能与绿色建筑（装配式建筑）十四五专项规划各项指标表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1"/>
        <w:gridCol w:w="2753"/>
        <w:gridCol w:w="977"/>
        <w:gridCol w:w="712"/>
        <w:gridCol w:w="907"/>
        <w:gridCol w:w="908"/>
        <w:gridCol w:w="908"/>
        <w:gridCol w:w="866"/>
      </w:tblGrid>
      <w:tr w:rsidR="00C977B7" w:rsidRPr="00A41CE6" w:rsidTr="00902EDF">
        <w:trPr>
          <w:trHeight w:val="512"/>
          <w:jc w:val="center"/>
        </w:trPr>
        <w:tc>
          <w:tcPr>
            <w:tcW w:w="288" w:type="pct"/>
            <w:vMerge w:val="restar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b/>
                <w:color w:val="000000"/>
                <w:sz w:val="24"/>
                <w:szCs w:val="24"/>
              </w:rPr>
            </w:pPr>
            <w:r w:rsidRPr="00A41CE6">
              <w:rPr>
                <w:rFonts w:ascii="Times New Roman" w:eastAsia="楷体" w:hAnsi="Times New Roman" w:cs="楷体" w:hint="eastAsia"/>
                <w:b/>
                <w:color w:val="000000"/>
                <w:sz w:val="24"/>
                <w:szCs w:val="24"/>
              </w:rPr>
              <w:t>序号</w:t>
            </w:r>
          </w:p>
        </w:tc>
        <w:tc>
          <w:tcPr>
            <w:tcW w:w="1615" w:type="pct"/>
            <w:vMerge w:val="restar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b/>
                <w:color w:val="000000"/>
                <w:sz w:val="24"/>
                <w:szCs w:val="24"/>
              </w:rPr>
            </w:pPr>
            <w:r w:rsidRPr="00A41CE6">
              <w:rPr>
                <w:rFonts w:ascii="Times New Roman" w:eastAsia="楷体" w:hAnsi="Times New Roman" w:cs="楷体" w:hint="eastAsia"/>
                <w:b/>
                <w:color w:val="000000"/>
                <w:sz w:val="24"/>
                <w:szCs w:val="24"/>
              </w:rPr>
              <w:t>分类</w:t>
            </w:r>
          </w:p>
        </w:tc>
        <w:tc>
          <w:tcPr>
            <w:tcW w:w="573" w:type="pct"/>
            <w:vMerge w:val="restar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b/>
                <w:color w:val="000000"/>
                <w:sz w:val="24"/>
                <w:szCs w:val="24"/>
              </w:rPr>
            </w:pPr>
            <w:r w:rsidRPr="00A41CE6">
              <w:rPr>
                <w:rFonts w:ascii="Times New Roman" w:eastAsia="楷体" w:hAnsi="Times New Roman" w:cs="楷体" w:hint="eastAsia"/>
                <w:b/>
                <w:color w:val="000000"/>
                <w:sz w:val="24"/>
                <w:szCs w:val="24"/>
              </w:rPr>
              <w:t>单位</w:t>
            </w:r>
          </w:p>
        </w:tc>
        <w:tc>
          <w:tcPr>
            <w:tcW w:w="1483" w:type="pct"/>
            <w:gridSpan w:val="3"/>
            <w:vAlign w:val="center"/>
          </w:tcPr>
          <w:p w:rsidR="00C977B7" w:rsidRPr="00A41CE6" w:rsidRDefault="00C977B7" w:rsidP="00A86CA2">
            <w:pPr>
              <w:adjustRightInd w:val="0"/>
              <w:snapToGrid w:val="0"/>
              <w:spacing w:line="240" w:lineRule="auto"/>
              <w:jc w:val="center"/>
              <w:rPr>
                <w:rFonts w:ascii="Times New Roman" w:eastAsia="楷体" w:hAnsi="Times New Roman" w:cs="楷体"/>
                <w:b/>
                <w:color w:val="000000"/>
                <w:sz w:val="24"/>
                <w:szCs w:val="24"/>
              </w:rPr>
            </w:pPr>
            <w:r w:rsidRPr="00A41CE6">
              <w:rPr>
                <w:rFonts w:ascii="Times New Roman" w:eastAsia="楷体" w:hAnsi="Times New Roman" w:cs="楷体" w:hint="eastAsia"/>
                <w:b/>
                <w:color w:val="000000"/>
                <w:sz w:val="24"/>
                <w:szCs w:val="24"/>
              </w:rPr>
              <w:t>基准年</w:t>
            </w:r>
          </w:p>
        </w:tc>
        <w:tc>
          <w:tcPr>
            <w:tcW w:w="533" w:type="pct"/>
            <w:vMerge w:val="restar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b/>
                <w:color w:val="000000"/>
                <w:sz w:val="24"/>
                <w:szCs w:val="24"/>
              </w:rPr>
            </w:pPr>
            <w:r w:rsidRPr="00A41CE6">
              <w:rPr>
                <w:rFonts w:ascii="Times New Roman" w:eastAsia="楷体" w:hAnsi="Times New Roman" w:cs="楷体" w:hint="eastAsia"/>
                <w:b/>
                <w:color w:val="000000"/>
                <w:sz w:val="24"/>
                <w:szCs w:val="24"/>
              </w:rPr>
              <w:t>规划目标</w:t>
            </w:r>
          </w:p>
        </w:tc>
        <w:tc>
          <w:tcPr>
            <w:tcW w:w="508" w:type="pct"/>
            <w:vMerge w:val="restar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b/>
                <w:color w:val="000000"/>
                <w:sz w:val="24"/>
                <w:szCs w:val="24"/>
              </w:rPr>
            </w:pPr>
            <w:r w:rsidRPr="00A41CE6">
              <w:rPr>
                <w:rFonts w:ascii="Times New Roman" w:eastAsia="楷体" w:hAnsi="Times New Roman" w:cs="楷体" w:hint="eastAsia"/>
                <w:b/>
                <w:color w:val="000000"/>
                <w:sz w:val="24"/>
                <w:szCs w:val="24"/>
              </w:rPr>
              <w:t>指标属性</w:t>
            </w:r>
          </w:p>
        </w:tc>
      </w:tr>
      <w:tr w:rsidR="00C977B7" w:rsidRPr="00A41CE6" w:rsidTr="00902EDF">
        <w:trPr>
          <w:trHeight w:val="700"/>
          <w:jc w:val="center"/>
        </w:trPr>
        <w:tc>
          <w:tcPr>
            <w:tcW w:w="288" w:type="pct"/>
            <w:vMerge/>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b/>
                <w:color w:val="000000"/>
                <w:sz w:val="24"/>
                <w:szCs w:val="24"/>
              </w:rPr>
            </w:pPr>
          </w:p>
        </w:tc>
        <w:tc>
          <w:tcPr>
            <w:tcW w:w="1615" w:type="pct"/>
            <w:vMerge/>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b/>
                <w:color w:val="000000"/>
                <w:sz w:val="24"/>
                <w:szCs w:val="24"/>
              </w:rPr>
            </w:pPr>
          </w:p>
        </w:tc>
        <w:tc>
          <w:tcPr>
            <w:tcW w:w="573" w:type="pct"/>
            <w:vMerge/>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b/>
                <w:color w:val="000000"/>
                <w:sz w:val="24"/>
                <w:szCs w:val="24"/>
              </w:rPr>
            </w:pPr>
          </w:p>
        </w:tc>
        <w:tc>
          <w:tcPr>
            <w:tcW w:w="418" w:type="pct"/>
            <w:vAlign w:val="center"/>
          </w:tcPr>
          <w:p w:rsidR="00C977B7" w:rsidRPr="00A41CE6" w:rsidRDefault="00335768" w:rsidP="00A86CA2">
            <w:pPr>
              <w:adjustRightInd w:val="0"/>
              <w:snapToGrid w:val="0"/>
              <w:spacing w:line="240" w:lineRule="auto"/>
              <w:jc w:val="center"/>
              <w:rPr>
                <w:rFonts w:ascii="Times New Roman" w:eastAsia="楷体" w:hAnsi="Times New Roman" w:cs="楷体"/>
                <w:b/>
                <w:color w:val="000000"/>
                <w:sz w:val="24"/>
                <w:szCs w:val="24"/>
              </w:rPr>
            </w:pPr>
            <w:r w:rsidRPr="00A41CE6">
              <w:rPr>
                <w:rFonts w:ascii="Times New Roman" w:eastAsia="楷体" w:hAnsi="Times New Roman" w:cs="楷体" w:hint="eastAsia"/>
                <w:b/>
                <w:color w:val="000000"/>
                <w:sz w:val="24"/>
                <w:szCs w:val="24"/>
              </w:rPr>
              <w:t>2016~2021</w:t>
            </w:r>
            <w:r w:rsidRPr="00A41CE6">
              <w:rPr>
                <w:rFonts w:ascii="Times New Roman" w:eastAsia="楷体" w:hAnsi="Times New Roman" w:cs="楷体" w:hint="eastAsia"/>
                <w:b/>
                <w:color w:val="000000"/>
                <w:sz w:val="24"/>
                <w:szCs w:val="24"/>
              </w:rPr>
              <w:t>年</w:t>
            </w:r>
          </w:p>
        </w:tc>
        <w:tc>
          <w:tcPr>
            <w:tcW w:w="532" w:type="pct"/>
            <w:vAlign w:val="center"/>
          </w:tcPr>
          <w:p w:rsidR="00C977B7" w:rsidRPr="00A41CE6" w:rsidRDefault="00C977B7" w:rsidP="00A86CA2">
            <w:pPr>
              <w:adjustRightInd w:val="0"/>
              <w:snapToGrid w:val="0"/>
              <w:spacing w:line="240" w:lineRule="auto"/>
              <w:jc w:val="center"/>
              <w:rPr>
                <w:rFonts w:ascii="Times New Roman" w:eastAsia="楷体" w:hAnsi="Times New Roman" w:cs="楷体"/>
                <w:b/>
                <w:color w:val="000000"/>
                <w:sz w:val="24"/>
                <w:szCs w:val="24"/>
              </w:rPr>
            </w:pPr>
            <w:r w:rsidRPr="00A41CE6">
              <w:rPr>
                <w:rFonts w:ascii="Times New Roman" w:eastAsia="楷体" w:hAnsi="Times New Roman" w:cs="楷体" w:hint="eastAsia"/>
                <w:b/>
                <w:color w:val="000000"/>
                <w:sz w:val="24"/>
                <w:szCs w:val="24"/>
              </w:rPr>
              <w:t>2021</w:t>
            </w:r>
            <w:r w:rsidRPr="00A41CE6">
              <w:rPr>
                <w:rFonts w:ascii="Times New Roman" w:eastAsia="楷体" w:hAnsi="Times New Roman" w:cs="楷体" w:hint="eastAsia"/>
                <w:b/>
                <w:color w:val="000000"/>
                <w:sz w:val="24"/>
                <w:szCs w:val="24"/>
              </w:rPr>
              <w:t>年</w:t>
            </w:r>
          </w:p>
        </w:tc>
        <w:tc>
          <w:tcPr>
            <w:tcW w:w="533" w:type="pct"/>
            <w:vAlign w:val="center"/>
          </w:tcPr>
          <w:p w:rsidR="00C977B7" w:rsidRPr="00A41CE6" w:rsidRDefault="00C977B7" w:rsidP="00A86CA2">
            <w:pPr>
              <w:adjustRightInd w:val="0"/>
              <w:snapToGrid w:val="0"/>
              <w:spacing w:line="240" w:lineRule="auto"/>
              <w:jc w:val="center"/>
              <w:rPr>
                <w:rFonts w:ascii="Times New Roman" w:eastAsia="楷体" w:hAnsi="Times New Roman" w:cs="楷体"/>
                <w:b/>
                <w:color w:val="000000"/>
                <w:sz w:val="24"/>
                <w:szCs w:val="24"/>
              </w:rPr>
            </w:pPr>
            <w:r w:rsidRPr="00A41CE6">
              <w:rPr>
                <w:rFonts w:ascii="Times New Roman" w:eastAsia="楷体" w:hAnsi="Times New Roman" w:cs="楷体" w:hint="eastAsia"/>
                <w:b/>
                <w:color w:val="000000"/>
                <w:sz w:val="24"/>
                <w:szCs w:val="24"/>
              </w:rPr>
              <w:t>2022</w:t>
            </w:r>
            <w:r w:rsidRPr="00A41CE6">
              <w:rPr>
                <w:rFonts w:ascii="Times New Roman" w:eastAsia="楷体" w:hAnsi="Times New Roman" w:cs="楷体" w:hint="eastAsia"/>
                <w:b/>
                <w:color w:val="000000"/>
                <w:sz w:val="24"/>
                <w:szCs w:val="24"/>
              </w:rPr>
              <w:t>年</w:t>
            </w:r>
          </w:p>
        </w:tc>
        <w:tc>
          <w:tcPr>
            <w:tcW w:w="533" w:type="pct"/>
            <w:vMerge/>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b/>
                <w:color w:val="000000"/>
                <w:sz w:val="24"/>
                <w:szCs w:val="24"/>
              </w:rPr>
            </w:pPr>
          </w:p>
        </w:tc>
        <w:tc>
          <w:tcPr>
            <w:tcW w:w="508" w:type="pct"/>
            <w:vMerge/>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b/>
                <w:color w:val="000000"/>
                <w:sz w:val="24"/>
                <w:szCs w:val="24"/>
              </w:rPr>
            </w:pPr>
          </w:p>
        </w:tc>
      </w:tr>
      <w:tr w:rsidR="00C977B7" w:rsidRPr="00A41CE6" w:rsidTr="00902EDF">
        <w:trPr>
          <w:trHeight w:val="227"/>
          <w:jc w:val="center"/>
        </w:trPr>
        <w:tc>
          <w:tcPr>
            <w:tcW w:w="288"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Times New Roman"/>
                <w:bCs/>
                <w:color w:val="000000"/>
                <w:sz w:val="24"/>
                <w:szCs w:val="24"/>
              </w:rPr>
            </w:pPr>
            <w:r w:rsidRPr="00A41CE6">
              <w:rPr>
                <w:rFonts w:ascii="Times New Roman" w:eastAsia="楷体" w:hAnsi="Times New Roman" w:cs="Times New Roman"/>
                <w:bCs/>
                <w:color w:val="000000"/>
                <w:sz w:val="24"/>
                <w:szCs w:val="24"/>
              </w:rPr>
              <w:t>1</w:t>
            </w:r>
          </w:p>
        </w:tc>
        <w:tc>
          <w:tcPr>
            <w:tcW w:w="1615" w:type="pct"/>
            <w:tcMar>
              <w:top w:w="0" w:type="dxa"/>
              <w:left w:w="108" w:type="dxa"/>
              <w:bottom w:w="0" w:type="dxa"/>
              <w:right w:w="108" w:type="dxa"/>
            </w:tcMar>
            <w:vAlign w:val="center"/>
          </w:tcPr>
          <w:p w:rsidR="00C977B7" w:rsidRPr="00A41CE6" w:rsidRDefault="00C977B7" w:rsidP="00A86CA2">
            <w:pPr>
              <w:adjustRightInd w:val="0"/>
              <w:snapToGrid w:val="0"/>
              <w:spacing w:after="0"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符合条件的新建建筑采用装配式建造方式的比例</w:t>
            </w:r>
          </w:p>
        </w:tc>
        <w:tc>
          <w:tcPr>
            <w:tcW w:w="573"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w:t>
            </w:r>
          </w:p>
        </w:tc>
        <w:tc>
          <w:tcPr>
            <w:tcW w:w="418" w:type="pct"/>
            <w:vAlign w:val="center"/>
          </w:tcPr>
          <w:p w:rsidR="00C977B7" w:rsidRPr="00A41CE6" w:rsidRDefault="00C977B7" w:rsidP="00A86CA2">
            <w:pPr>
              <w:adjustRightInd w:val="0"/>
              <w:snapToGrid w:val="0"/>
              <w:spacing w:line="240" w:lineRule="auto"/>
              <w:jc w:val="center"/>
              <w:rPr>
                <w:rFonts w:ascii="Times New Roman" w:eastAsia="楷体" w:hAnsi="Times New Roman" w:cs="宋体"/>
                <w:color w:val="000000"/>
                <w:sz w:val="24"/>
                <w:szCs w:val="24"/>
              </w:rPr>
            </w:pPr>
            <w:r w:rsidRPr="00A41CE6">
              <w:rPr>
                <w:rFonts w:ascii="Times New Roman" w:eastAsia="楷体" w:hAnsi="Times New Roman" w:cs="宋体" w:hint="eastAsia"/>
                <w:color w:val="000000"/>
                <w:sz w:val="24"/>
                <w:szCs w:val="24"/>
              </w:rPr>
              <w:t>/</w:t>
            </w:r>
          </w:p>
        </w:tc>
        <w:tc>
          <w:tcPr>
            <w:tcW w:w="532" w:type="pct"/>
            <w:vAlign w:val="center"/>
          </w:tcPr>
          <w:p w:rsidR="00C977B7" w:rsidRPr="00A41CE6" w:rsidRDefault="00C977B7" w:rsidP="00A86CA2">
            <w:pPr>
              <w:adjustRightInd w:val="0"/>
              <w:snapToGrid w:val="0"/>
              <w:spacing w:line="240" w:lineRule="auto"/>
              <w:jc w:val="center"/>
              <w:rPr>
                <w:rFonts w:ascii="Times New Roman" w:eastAsia="楷体" w:hAnsi="Times New Roman" w:cs="宋体"/>
                <w:color w:val="000000"/>
                <w:sz w:val="24"/>
                <w:szCs w:val="24"/>
              </w:rPr>
            </w:pPr>
            <w:r w:rsidRPr="00A41CE6">
              <w:rPr>
                <w:rFonts w:ascii="Times New Roman" w:eastAsia="楷体" w:hAnsi="Times New Roman" w:cs="宋体" w:hint="eastAsia"/>
                <w:color w:val="000000"/>
                <w:sz w:val="24"/>
                <w:szCs w:val="24"/>
              </w:rPr>
              <w:t>83.90</w:t>
            </w:r>
          </w:p>
        </w:tc>
        <w:tc>
          <w:tcPr>
            <w:tcW w:w="533" w:type="pct"/>
            <w:vAlign w:val="center"/>
          </w:tcPr>
          <w:p w:rsidR="00C977B7" w:rsidRPr="00A41CE6" w:rsidRDefault="00C977B7" w:rsidP="00A86CA2">
            <w:pPr>
              <w:adjustRightInd w:val="0"/>
              <w:snapToGrid w:val="0"/>
              <w:spacing w:line="240" w:lineRule="auto"/>
              <w:jc w:val="center"/>
              <w:rPr>
                <w:rFonts w:ascii="Times New Roman" w:eastAsia="楷体" w:hAnsi="Times New Roman" w:cs="宋体"/>
                <w:color w:val="000000"/>
                <w:sz w:val="24"/>
                <w:szCs w:val="24"/>
              </w:rPr>
            </w:pPr>
            <w:r w:rsidRPr="00A41CE6">
              <w:rPr>
                <w:rFonts w:ascii="Times New Roman" w:eastAsia="楷体" w:hAnsi="Times New Roman" w:cs="宋体" w:hint="eastAsia"/>
                <w:color w:val="000000"/>
                <w:sz w:val="24"/>
                <w:szCs w:val="24"/>
              </w:rPr>
              <w:t>/</w:t>
            </w:r>
          </w:p>
        </w:tc>
        <w:tc>
          <w:tcPr>
            <w:tcW w:w="533"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r w:rsidRPr="00A41CE6">
              <w:rPr>
                <w:rFonts w:ascii="Times New Roman" w:eastAsia="楷体" w:hAnsi="Times New Roman" w:cs="Times New Roman"/>
                <w:color w:val="000000"/>
                <w:sz w:val="24"/>
                <w:szCs w:val="24"/>
              </w:rPr>
              <w:t>80</w:t>
            </w:r>
          </w:p>
        </w:tc>
        <w:tc>
          <w:tcPr>
            <w:tcW w:w="508"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约束性</w:t>
            </w:r>
          </w:p>
        </w:tc>
      </w:tr>
      <w:tr w:rsidR="00C977B7" w:rsidRPr="00A41CE6" w:rsidTr="00902EDF">
        <w:trPr>
          <w:trHeight w:val="227"/>
          <w:jc w:val="center"/>
        </w:trPr>
        <w:tc>
          <w:tcPr>
            <w:tcW w:w="288"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Times New Roman"/>
                <w:bCs/>
                <w:color w:val="000000"/>
                <w:sz w:val="24"/>
                <w:szCs w:val="24"/>
              </w:rPr>
            </w:pPr>
            <w:r w:rsidRPr="00A41CE6">
              <w:rPr>
                <w:rFonts w:ascii="Times New Roman" w:eastAsia="楷体" w:hAnsi="Times New Roman" w:cs="Times New Roman" w:hint="eastAsia"/>
                <w:bCs/>
                <w:color w:val="000000"/>
                <w:sz w:val="24"/>
                <w:szCs w:val="24"/>
              </w:rPr>
              <w:t>2</w:t>
            </w:r>
          </w:p>
        </w:tc>
        <w:tc>
          <w:tcPr>
            <w:tcW w:w="1615" w:type="pct"/>
            <w:tcMar>
              <w:top w:w="0" w:type="dxa"/>
              <w:left w:w="108" w:type="dxa"/>
              <w:bottom w:w="0" w:type="dxa"/>
              <w:right w:w="108" w:type="dxa"/>
            </w:tcMar>
            <w:vAlign w:val="center"/>
          </w:tcPr>
          <w:p w:rsidR="00C977B7" w:rsidRPr="00A41CE6" w:rsidRDefault="00C977B7" w:rsidP="00A86CA2">
            <w:pPr>
              <w:adjustRightInd w:val="0"/>
              <w:snapToGrid w:val="0"/>
              <w:spacing w:after="0"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公共建筑钢结构实施比</w:t>
            </w:r>
            <w:r w:rsidRPr="00A41CE6">
              <w:rPr>
                <w:rFonts w:ascii="Times New Roman" w:eastAsia="楷体" w:hAnsi="Times New Roman" w:cs="楷体" w:hint="eastAsia"/>
                <w:color w:val="000000"/>
                <w:sz w:val="24"/>
                <w:szCs w:val="24"/>
              </w:rPr>
              <w:lastRenderedPageBreak/>
              <w:t>例</w:t>
            </w:r>
          </w:p>
        </w:tc>
        <w:tc>
          <w:tcPr>
            <w:tcW w:w="573"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lastRenderedPageBreak/>
              <w:t>%</w:t>
            </w:r>
          </w:p>
        </w:tc>
        <w:tc>
          <w:tcPr>
            <w:tcW w:w="418" w:type="pct"/>
            <w:vAlign w:val="center"/>
          </w:tcPr>
          <w:p w:rsidR="00C977B7" w:rsidRPr="00A41CE6" w:rsidRDefault="00C977B7"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2" w:type="pct"/>
            <w:vAlign w:val="center"/>
          </w:tcPr>
          <w:p w:rsidR="00C977B7" w:rsidRPr="00A41CE6" w:rsidRDefault="00C977B7"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vAlign w:val="center"/>
          </w:tcPr>
          <w:p w:rsidR="00C977B7" w:rsidRPr="00A41CE6" w:rsidDel="006702CE" w:rsidRDefault="00C977B7"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Times New Roman" w:hint="eastAsia"/>
                <w:color w:val="000000"/>
                <w:sz w:val="24"/>
                <w:szCs w:val="24"/>
              </w:rPr>
              <w:t>10</w:t>
            </w:r>
          </w:p>
        </w:tc>
        <w:tc>
          <w:tcPr>
            <w:tcW w:w="533"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Times New Roman" w:hint="eastAsia"/>
                <w:color w:val="000000"/>
                <w:sz w:val="24"/>
                <w:szCs w:val="24"/>
              </w:rPr>
              <w:t>30</w:t>
            </w:r>
          </w:p>
        </w:tc>
        <w:tc>
          <w:tcPr>
            <w:tcW w:w="508"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预期</w:t>
            </w:r>
            <w:r w:rsidRPr="00A41CE6">
              <w:rPr>
                <w:rFonts w:ascii="Times New Roman" w:eastAsia="楷体" w:hAnsi="Times New Roman" w:cs="楷体" w:hint="eastAsia"/>
                <w:color w:val="000000"/>
                <w:sz w:val="24"/>
                <w:szCs w:val="24"/>
              </w:rPr>
              <w:lastRenderedPageBreak/>
              <w:t>性</w:t>
            </w:r>
          </w:p>
        </w:tc>
      </w:tr>
      <w:tr w:rsidR="00C977B7" w:rsidRPr="00A41CE6" w:rsidTr="00902EDF">
        <w:trPr>
          <w:trHeight w:val="227"/>
          <w:jc w:val="center"/>
        </w:trPr>
        <w:tc>
          <w:tcPr>
            <w:tcW w:w="288"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Times New Roman"/>
                <w:bCs/>
                <w:color w:val="000000"/>
                <w:sz w:val="24"/>
                <w:szCs w:val="24"/>
              </w:rPr>
            </w:pPr>
            <w:r w:rsidRPr="00A41CE6">
              <w:rPr>
                <w:rFonts w:ascii="Times New Roman" w:eastAsia="楷体" w:hAnsi="Times New Roman" w:cs="Times New Roman" w:hint="eastAsia"/>
                <w:bCs/>
                <w:color w:val="000000"/>
                <w:sz w:val="24"/>
                <w:szCs w:val="24"/>
              </w:rPr>
              <w:lastRenderedPageBreak/>
              <w:t>3</w:t>
            </w:r>
          </w:p>
        </w:tc>
        <w:tc>
          <w:tcPr>
            <w:tcW w:w="1615" w:type="pct"/>
            <w:tcMar>
              <w:top w:w="0" w:type="dxa"/>
              <w:left w:w="108" w:type="dxa"/>
              <w:bottom w:w="0" w:type="dxa"/>
              <w:right w:w="108" w:type="dxa"/>
            </w:tcMar>
            <w:vAlign w:val="center"/>
          </w:tcPr>
          <w:p w:rsidR="00C977B7" w:rsidRPr="00A41CE6" w:rsidRDefault="00C977B7" w:rsidP="00A86CA2">
            <w:pPr>
              <w:adjustRightInd w:val="0"/>
              <w:snapToGrid w:val="0"/>
              <w:spacing w:after="0"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装配式住宅一体化装修项目比例</w:t>
            </w:r>
          </w:p>
        </w:tc>
        <w:tc>
          <w:tcPr>
            <w:tcW w:w="573"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w:t>
            </w:r>
          </w:p>
        </w:tc>
        <w:tc>
          <w:tcPr>
            <w:tcW w:w="418" w:type="pct"/>
            <w:vAlign w:val="center"/>
          </w:tcPr>
          <w:p w:rsidR="00C977B7" w:rsidRPr="00A41CE6" w:rsidRDefault="008740CC"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2" w:type="pct"/>
            <w:vAlign w:val="center"/>
          </w:tcPr>
          <w:p w:rsidR="00C977B7" w:rsidRPr="00A41CE6" w:rsidRDefault="008740CC"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vAlign w:val="center"/>
          </w:tcPr>
          <w:p w:rsidR="00C977B7" w:rsidRPr="00A41CE6" w:rsidRDefault="008740CC"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Times New Roman" w:hint="eastAsia"/>
                <w:color w:val="000000"/>
                <w:sz w:val="24"/>
                <w:szCs w:val="24"/>
              </w:rPr>
              <w:t>100</w:t>
            </w:r>
          </w:p>
        </w:tc>
        <w:tc>
          <w:tcPr>
            <w:tcW w:w="508"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预期性</w:t>
            </w:r>
          </w:p>
        </w:tc>
      </w:tr>
      <w:tr w:rsidR="00C977B7" w:rsidRPr="00A41CE6" w:rsidTr="00902EDF">
        <w:trPr>
          <w:trHeight w:val="227"/>
          <w:jc w:val="center"/>
        </w:trPr>
        <w:tc>
          <w:tcPr>
            <w:tcW w:w="288"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Times New Roman"/>
                <w:bCs/>
                <w:color w:val="000000"/>
                <w:sz w:val="24"/>
                <w:szCs w:val="24"/>
              </w:rPr>
            </w:pPr>
            <w:r w:rsidRPr="00A41CE6">
              <w:rPr>
                <w:rFonts w:ascii="Times New Roman" w:eastAsia="楷体" w:hAnsi="Times New Roman" w:cs="Times New Roman" w:hint="eastAsia"/>
                <w:bCs/>
                <w:color w:val="000000"/>
                <w:sz w:val="24"/>
                <w:szCs w:val="24"/>
              </w:rPr>
              <w:t>4</w:t>
            </w:r>
          </w:p>
        </w:tc>
        <w:tc>
          <w:tcPr>
            <w:tcW w:w="1615" w:type="pct"/>
            <w:tcMar>
              <w:top w:w="0" w:type="dxa"/>
              <w:left w:w="108" w:type="dxa"/>
              <w:bottom w:w="0" w:type="dxa"/>
              <w:right w:w="108" w:type="dxa"/>
            </w:tcMar>
            <w:vAlign w:val="center"/>
          </w:tcPr>
          <w:p w:rsidR="00C977B7" w:rsidRPr="00A41CE6" w:rsidRDefault="00C977B7" w:rsidP="00A86CA2">
            <w:pPr>
              <w:adjustRightInd w:val="0"/>
              <w:snapToGrid w:val="0"/>
              <w:spacing w:after="0"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绿色建筑占新建建筑比例</w:t>
            </w:r>
          </w:p>
        </w:tc>
        <w:tc>
          <w:tcPr>
            <w:tcW w:w="573"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w:t>
            </w:r>
          </w:p>
        </w:tc>
        <w:tc>
          <w:tcPr>
            <w:tcW w:w="418" w:type="pct"/>
            <w:vAlign w:val="center"/>
          </w:tcPr>
          <w:p w:rsidR="00C977B7" w:rsidRPr="00A41CE6" w:rsidRDefault="008740CC"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2" w:type="pct"/>
            <w:vAlign w:val="center"/>
          </w:tcPr>
          <w:p w:rsidR="00C977B7" w:rsidRPr="00A41CE6" w:rsidRDefault="008740CC"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Times New Roman" w:hint="eastAsia"/>
                <w:color w:val="000000"/>
                <w:sz w:val="24"/>
                <w:szCs w:val="24"/>
              </w:rPr>
              <w:t>88.05</w:t>
            </w:r>
          </w:p>
        </w:tc>
        <w:tc>
          <w:tcPr>
            <w:tcW w:w="533" w:type="pct"/>
            <w:vAlign w:val="center"/>
          </w:tcPr>
          <w:p w:rsidR="00C977B7" w:rsidRPr="00A41CE6" w:rsidRDefault="008740CC"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Times New Roman" w:hint="eastAsia"/>
                <w:color w:val="000000"/>
                <w:sz w:val="24"/>
                <w:szCs w:val="24"/>
              </w:rPr>
              <w:t>80</w:t>
            </w:r>
          </w:p>
        </w:tc>
        <w:tc>
          <w:tcPr>
            <w:tcW w:w="508"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约束性</w:t>
            </w:r>
          </w:p>
        </w:tc>
      </w:tr>
      <w:tr w:rsidR="00C977B7" w:rsidRPr="00A41CE6" w:rsidTr="00902EDF">
        <w:trPr>
          <w:trHeight w:val="227"/>
          <w:jc w:val="center"/>
        </w:trPr>
        <w:tc>
          <w:tcPr>
            <w:tcW w:w="288"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Times New Roman"/>
                <w:bCs/>
                <w:color w:val="000000"/>
                <w:sz w:val="24"/>
                <w:szCs w:val="24"/>
              </w:rPr>
            </w:pPr>
            <w:r w:rsidRPr="00A41CE6">
              <w:rPr>
                <w:rFonts w:ascii="Times New Roman" w:eastAsia="楷体" w:hAnsi="Times New Roman" w:cs="Times New Roman" w:hint="eastAsia"/>
                <w:bCs/>
                <w:color w:val="000000"/>
                <w:sz w:val="24"/>
                <w:szCs w:val="24"/>
              </w:rPr>
              <w:t>5</w:t>
            </w:r>
          </w:p>
        </w:tc>
        <w:tc>
          <w:tcPr>
            <w:tcW w:w="1615" w:type="pct"/>
            <w:tcMar>
              <w:top w:w="0" w:type="dxa"/>
              <w:left w:w="108" w:type="dxa"/>
              <w:bottom w:w="0" w:type="dxa"/>
              <w:right w:w="108" w:type="dxa"/>
            </w:tcMar>
            <w:vAlign w:val="center"/>
          </w:tcPr>
          <w:p w:rsidR="00C977B7" w:rsidRPr="00A41CE6" w:rsidRDefault="00C977B7" w:rsidP="00A86CA2">
            <w:pPr>
              <w:adjustRightInd w:val="0"/>
              <w:snapToGrid w:val="0"/>
              <w:spacing w:after="0" w:line="240" w:lineRule="auto"/>
              <w:jc w:val="center"/>
              <w:rPr>
                <w:rStyle w:val="font01"/>
                <w:rFonts w:ascii="Times New Roman" w:hAnsi="Times New Roman"/>
              </w:rPr>
            </w:pPr>
            <w:r w:rsidRPr="00A41CE6">
              <w:rPr>
                <w:rFonts w:ascii="Times New Roman" w:eastAsia="楷体" w:hAnsi="Times New Roman" w:cs="楷体" w:hint="eastAsia"/>
                <w:color w:val="000000"/>
                <w:sz w:val="24"/>
                <w:szCs w:val="24"/>
              </w:rPr>
              <w:t>高星级绿色建筑</w:t>
            </w:r>
          </w:p>
        </w:tc>
        <w:tc>
          <w:tcPr>
            <w:tcW w:w="573"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万平方米</w:t>
            </w:r>
          </w:p>
        </w:tc>
        <w:tc>
          <w:tcPr>
            <w:tcW w:w="418" w:type="pct"/>
            <w:vAlign w:val="center"/>
          </w:tcPr>
          <w:p w:rsidR="00C977B7" w:rsidRPr="00A41CE6" w:rsidRDefault="00335768"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Times New Roman" w:hint="eastAsia"/>
                <w:color w:val="000000"/>
                <w:sz w:val="24"/>
                <w:szCs w:val="24"/>
              </w:rPr>
              <w:t>78.59</w:t>
            </w:r>
          </w:p>
        </w:tc>
        <w:tc>
          <w:tcPr>
            <w:tcW w:w="532" w:type="pct"/>
            <w:vAlign w:val="center"/>
          </w:tcPr>
          <w:p w:rsidR="00C977B7" w:rsidRPr="00A41CE6" w:rsidRDefault="00335768"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vAlign w:val="center"/>
          </w:tcPr>
          <w:p w:rsidR="00C977B7" w:rsidRPr="00A41CE6" w:rsidRDefault="00335768"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Times New Roman" w:hint="eastAsia"/>
                <w:color w:val="000000"/>
                <w:sz w:val="24"/>
                <w:szCs w:val="24"/>
              </w:rPr>
              <w:t>65</w:t>
            </w:r>
          </w:p>
        </w:tc>
        <w:tc>
          <w:tcPr>
            <w:tcW w:w="508" w:type="pct"/>
            <w:tcMar>
              <w:top w:w="0" w:type="dxa"/>
              <w:left w:w="108" w:type="dxa"/>
              <w:bottom w:w="0" w:type="dxa"/>
              <w:right w:w="108" w:type="dxa"/>
            </w:tcMar>
            <w:vAlign w:val="center"/>
          </w:tcPr>
          <w:p w:rsidR="00C977B7" w:rsidRPr="00A41CE6" w:rsidRDefault="00C977B7"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预期性</w:t>
            </w:r>
          </w:p>
        </w:tc>
      </w:tr>
      <w:tr w:rsidR="00D807C8" w:rsidRPr="00A41CE6" w:rsidTr="00902EDF">
        <w:trPr>
          <w:trHeight w:val="227"/>
          <w:jc w:val="center"/>
        </w:trPr>
        <w:tc>
          <w:tcPr>
            <w:tcW w:w="288" w:type="pct"/>
            <w:tcMar>
              <w:top w:w="0" w:type="dxa"/>
              <w:left w:w="108" w:type="dxa"/>
              <w:bottom w:w="0" w:type="dxa"/>
              <w:right w:w="108" w:type="dxa"/>
            </w:tcMar>
            <w:vAlign w:val="center"/>
          </w:tcPr>
          <w:p w:rsidR="00D807C8" w:rsidRPr="00A41CE6" w:rsidRDefault="00D807C8" w:rsidP="00A86CA2">
            <w:pPr>
              <w:adjustRightInd w:val="0"/>
              <w:snapToGrid w:val="0"/>
              <w:spacing w:line="240" w:lineRule="auto"/>
              <w:jc w:val="center"/>
              <w:rPr>
                <w:rFonts w:ascii="Times New Roman" w:eastAsia="楷体" w:hAnsi="Times New Roman" w:cs="Times New Roman"/>
                <w:bCs/>
                <w:color w:val="000000"/>
                <w:sz w:val="24"/>
                <w:szCs w:val="24"/>
              </w:rPr>
            </w:pPr>
            <w:r w:rsidRPr="00A41CE6">
              <w:rPr>
                <w:rFonts w:ascii="Times New Roman" w:eastAsia="楷体" w:hAnsi="Times New Roman" w:cs="Times New Roman" w:hint="eastAsia"/>
                <w:bCs/>
                <w:color w:val="000000"/>
                <w:sz w:val="24"/>
                <w:szCs w:val="24"/>
              </w:rPr>
              <w:t>6</w:t>
            </w:r>
          </w:p>
        </w:tc>
        <w:tc>
          <w:tcPr>
            <w:tcW w:w="1615" w:type="pct"/>
            <w:tcMar>
              <w:top w:w="0" w:type="dxa"/>
              <w:left w:w="108" w:type="dxa"/>
              <w:bottom w:w="0" w:type="dxa"/>
              <w:right w:w="108" w:type="dxa"/>
            </w:tcMar>
            <w:vAlign w:val="center"/>
          </w:tcPr>
          <w:p w:rsidR="00D807C8" w:rsidRPr="00A41CE6" w:rsidRDefault="00D807C8" w:rsidP="00A86CA2">
            <w:pPr>
              <w:adjustRightInd w:val="0"/>
              <w:snapToGrid w:val="0"/>
              <w:spacing w:after="0"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绿色建材推广比例</w:t>
            </w:r>
          </w:p>
        </w:tc>
        <w:tc>
          <w:tcPr>
            <w:tcW w:w="573" w:type="pct"/>
            <w:tcMar>
              <w:top w:w="0" w:type="dxa"/>
              <w:left w:w="108" w:type="dxa"/>
              <w:bottom w:w="0" w:type="dxa"/>
              <w:right w:w="108" w:type="dxa"/>
            </w:tcMar>
            <w:vAlign w:val="center"/>
          </w:tcPr>
          <w:p w:rsidR="00D807C8" w:rsidRPr="00A41CE6" w:rsidRDefault="00D807C8"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w:t>
            </w:r>
          </w:p>
        </w:tc>
        <w:tc>
          <w:tcPr>
            <w:tcW w:w="418" w:type="pct"/>
            <w:vAlign w:val="center"/>
          </w:tcPr>
          <w:p w:rsidR="00D807C8" w:rsidRPr="00A41CE6" w:rsidRDefault="00D807C8"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2" w:type="pct"/>
            <w:vAlign w:val="center"/>
          </w:tcPr>
          <w:p w:rsidR="00D807C8" w:rsidRPr="00A41CE6" w:rsidRDefault="00D807C8"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vAlign w:val="center"/>
          </w:tcPr>
          <w:p w:rsidR="00D807C8" w:rsidRPr="00A41CE6" w:rsidRDefault="00D807C8"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tcMar>
              <w:top w:w="0" w:type="dxa"/>
              <w:left w:w="108" w:type="dxa"/>
              <w:bottom w:w="0" w:type="dxa"/>
              <w:right w:w="108" w:type="dxa"/>
            </w:tcMar>
            <w:vAlign w:val="center"/>
          </w:tcPr>
          <w:p w:rsidR="00D807C8" w:rsidRPr="00A41CE6" w:rsidRDefault="00D807C8"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Times New Roman" w:hint="eastAsia"/>
                <w:color w:val="000000"/>
                <w:sz w:val="24"/>
                <w:szCs w:val="24"/>
              </w:rPr>
              <w:t>50</w:t>
            </w:r>
          </w:p>
        </w:tc>
        <w:tc>
          <w:tcPr>
            <w:tcW w:w="508" w:type="pct"/>
            <w:tcMar>
              <w:top w:w="0" w:type="dxa"/>
              <w:left w:w="108" w:type="dxa"/>
              <w:bottom w:w="0" w:type="dxa"/>
              <w:right w:w="108" w:type="dxa"/>
            </w:tcMar>
            <w:vAlign w:val="center"/>
          </w:tcPr>
          <w:p w:rsidR="00D807C8" w:rsidRPr="00A41CE6" w:rsidRDefault="00D807C8"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预期性</w:t>
            </w:r>
          </w:p>
        </w:tc>
      </w:tr>
      <w:tr w:rsidR="00D807C8" w:rsidRPr="00A41CE6" w:rsidTr="00902EDF">
        <w:trPr>
          <w:trHeight w:val="227"/>
          <w:jc w:val="center"/>
        </w:trPr>
        <w:tc>
          <w:tcPr>
            <w:tcW w:w="288" w:type="pct"/>
            <w:tcMar>
              <w:top w:w="0" w:type="dxa"/>
              <w:left w:w="108" w:type="dxa"/>
              <w:bottom w:w="0" w:type="dxa"/>
              <w:right w:w="108" w:type="dxa"/>
            </w:tcMar>
            <w:vAlign w:val="center"/>
          </w:tcPr>
          <w:p w:rsidR="00D807C8" w:rsidRPr="00A41CE6" w:rsidRDefault="00D807C8" w:rsidP="00A86CA2">
            <w:pPr>
              <w:adjustRightInd w:val="0"/>
              <w:snapToGrid w:val="0"/>
              <w:spacing w:line="240" w:lineRule="auto"/>
              <w:jc w:val="center"/>
              <w:rPr>
                <w:rFonts w:ascii="Times New Roman" w:eastAsia="楷体" w:hAnsi="Times New Roman" w:cs="Times New Roman"/>
                <w:bCs/>
                <w:color w:val="000000"/>
                <w:sz w:val="24"/>
                <w:szCs w:val="24"/>
              </w:rPr>
            </w:pPr>
            <w:r w:rsidRPr="00A41CE6">
              <w:rPr>
                <w:rFonts w:ascii="Times New Roman" w:eastAsia="楷体" w:hAnsi="Times New Roman" w:cs="Times New Roman" w:hint="eastAsia"/>
                <w:bCs/>
                <w:color w:val="000000"/>
                <w:sz w:val="24"/>
                <w:szCs w:val="24"/>
              </w:rPr>
              <w:t>7</w:t>
            </w:r>
          </w:p>
        </w:tc>
        <w:tc>
          <w:tcPr>
            <w:tcW w:w="1615" w:type="pct"/>
            <w:tcMar>
              <w:top w:w="0" w:type="dxa"/>
              <w:left w:w="108" w:type="dxa"/>
              <w:bottom w:w="0" w:type="dxa"/>
              <w:right w:w="108" w:type="dxa"/>
            </w:tcMar>
            <w:vAlign w:val="center"/>
          </w:tcPr>
          <w:p w:rsidR="00D807C8" w:rsidRPr="00A41CE6" w:rsidRDefault="00D807C8" w:rsidP="00A86CA2">
            <w:pPr>
              <w:adjustRightInd w:val="0"/>
              <w:snapToGrid w:val="0"/>
              <w:spacing w:after="0"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超低能耗建筑</w:t>
            </w:r>
          </w:p>
        </w:tc>
        <w:tc>
          <w:tcPr>
            <w:tcW w:w="573" w:type="pct"/>
            <w:tcMar>
              <w:top w:w="0" w:type="dxa"/>
              <w:left w:w="108" w:type="dxa"/>
              <w:bottom w:w="0" w:type="dxa"/>
              <w:right w:w="108" w:type="dxa"/>
            </w:tcMar>
            <w:vAlign w:val="center"/>
          </w:tcPr>
          <w:p w:rsidR="00D807C8" w:rsidRPr="00A41CE6" w:rsidRDefault="00D807C8"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个</w:t>
            </w:r>
          </w:p>
        </w:tc>
        <w:tc>
          <w:tcPr>
            <w:tcW w:w="418" w:type="pct"/>
            <w:vAlign w:val="center"/>
          </w:tcPr>
          <w:p w:rsidR="00D807C8" w:rsidRPr="00A41CE6" w:rsidRDefault="00D807C8"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2" w:type="pct"/>
            <w:vAlign w:val="center"/>
          </w:tcPr>
          <w:p w:rsidR="00D807C8" w:rsidRPr="00A41CE6" w:rsidRDefault="00D807C8"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vAlign w:val="center"/>
          </w:tcPr>
          <w:p w:rsidR="00D807C8" w:rsidRPr="00A41CE6" w:rsidRDefault="00D807C8"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tcMar>
              <w:top w:w="0" w:type="dxa"/>
              <w:left w:w="108" w:type="dxa"/>
              <w:bottom w:w="0" w:type="dxa"/>
              <w:right w:w="108" w:type="dxa"/>
            </w:tcMar>
            <w:vAlign w:val="center"/>
          </w:tcPr>
          <w:p w:rsidR="00D807C8" w:rsidRPr="00A41CE6" w:rsidRDefault="00D807C8"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Times New Roman" w:hint="eastAsia"/>
                <w:color w:val="000000"/>
                <w:sz w:val="24"/>
                <w:szCs w:val="24"/>
              </w:rPr>
              <w:t>2</w:t>
            </w:r>
          </w:p>
        </w:tc>
        <w:tc>
          <w:tcPr>
            <w:tcW w:w="508" w:type="pct"/>
            <w:tcMar>
              <w:top w:w="0" w:type="dxa"/>
              <w:left w:w="108" w:type="dxa"/>
              <w:bottom w:w="0" w:type="dxa"/>
              <w:right w:w="108" w:type="dxa"/>
            </w:tcMar>
            <w:vAlign w:val="center"/>
          </w:tcPr>
          <w:p w:rsidR="00D807C8" w:rsidRPr="00A41CE6" w:rsidRDefault="00D807C8"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预期性</w:t>
            </w:r>
          </w:p>
        </w:tc>
      </w:tr>
      <w:tr w:rsidR="00D807C8" w:rsidRPr="00A41CE6" w:rsidTr="00902EDF">
        <w:trPr>
          <w:trHeight w:val="227"/>
          <w:jc w:val="center"/>
        </w:trPr>
        <w:tc>
          <w:tcPr>
            <w:tcW w:w="288" w:type="pct"/>
            <w:tcMar>
              <w:top w:w="0" w:type="dxa"/>
              <w:left w:w="108" w:type="dxa"/>
              <w:bottom w:w="0" w:type="dxa"/>
              <w:right w:w="108" w:type="dxa"/>
            </w:tcMar>
            <w:vAlign w:val="center"/>
          </w:tcPr>
          <w:p w:rsidR="00D807C8" w:rsidRPr="00A41CE6" w:rsidRDefault="00D807C8" w:rsidP="00A86CA2">
            <w:pPr>
              <w:adjustRightInd w:val="0"/>
              <w:snapToGrid w:val="0"/>
              <w:spacing w:line="240" w:lineRule="auto"/>
              <w:jc w:val="center"/>
              <w:rPr>
                <w:rFonts w:ascii="Times New Roman" w:eastAsia="楷体" w:hAnsi="Times New Roman" w:cs="Times New Roman"/>
                <w:bCs/>
                <w:color w:val="000000"/>
                <w:sz w:val="24"/>
                <w:szCs w:val="24"/>
              </w:rPr>
            </w:pPr>
            <w:r w:rsidRPr="00A41CE6">
              <w:rPr>
                <w:rFonts w:ascii="Times New Roman" w:eastAsia="楷体" w:hAnsi="Times New Roman" w:cs="Times New Roman" w:hint="eastAsia"/>
                <w:bCs/>
                <w:color w:val="000000"/>
                <w:sz w:val="24"/>
                <w:szCs w:val="24"/>
              </w:rPr>
              <w:t>8</w:t>
            </w:r>
          </w:p>
        </w:tc>
        <w:tc>
          <w:tcPr>
            <w:tcW w:w="1615" w:type="pct"/>
            <w:tcMar>
              <w:top w:w="0" w:type="dxa"/>
              <w:left w:w="108" w:type="dxa"/>
              <w:bottom w:w="0" w:type="dxa"/>
              <w:right w:w="108" w:type="dxa"/>
            </w:tcMar>
            <w:vAlign w:val="center"/>
          </w:tcPr>
          <w:p w:rsidR="00D807C8" w:rsidRPr="00A41CE6" w:rsidRDefault="00D807C8" w:rsidP="00A86CA2">
            <w:pPr>
              <w:adjustRightInd w:val="0"/>
              <w:snapToGrid w:val="0"/>
              <w:spacing w:after="0"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太阳能光电或光热系统的建筑应用屋面面积</w:t>
            </w:r>
          </w:p>
        </w:tc>
        <w:tc>
          <w:tcPr>
            <w:tcW w:w="573" w:type="pct"/>
            <w:tcMar>
              <w:top w:w="0" w:type="dxa"/>
              <w:left w:w="108" w:type="dxa"/>
              <w:bottom w:w="0" w:type="dxa"/>
              <w:right w:w="108" w:type="dxa"/>
            </w:tcMar>
            <w:vAlign w:val="center"/>
          </w:tcPr>
          <w:p w:rsidR="00D807C8" w:rsidRPr="00A41CE6" w:rsidRDefault="00D807C8"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万平方米</w:t>
            </w:r>
          </w:p>
        </w:tc>
        <w:tc>
          <w:tcPr>
            <w:tcW w:w="418" w:type="pct"/>
            <w:vAlign w:val="center"/>
          </w:tcPr>
          <w:p w:rsidR="00D807C8" w:rsidRPr="00A41CE6" w:rsidRDefault="00D807C8"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2" w:type="pct"/>
            <w:vAlign w:val="center"/>
          </w:tcPr>
          <w:p w:rsidR="00D807C8" w:rsidRPr="00A41CE6" w:rsidRDefault="00D807C8"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vAlign w:val="center"/>
          </w:tcPr>
          <w:p w:rsidR="00D807C8" w:rsidRPr="00A41CE6" w:rsidRDefault="00D807C8"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tcMar>
              <w:top w:w="0" w:type="dxa"/>
              <w:left w:w="108" w:type="dxa"/>
              <w:bottom w:w="0" w:type="dxa"/>
              <w:right w:w="108" w:type="dxa"/>
            </w:tcMar>
            <w:vAlign w:val="center"/>
          </w:tcPr>
          <w:p w:rsidR="00D807C8" w:rsidRPr="00A41CE6" w:rsidRDefault="00D807C8"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Times New Roman" w:hint="eastAsia"/>
                <w:color w:val="000000"/>
                <w:sz w:val="24"/>
                <w:szCs w:val="24"/>
              </w:rPr>
              <w:t>75</w:t>
            </w:r>
          </w:p>
        </w:tc>
        <w:tc>
          <w:tcPr>
            <w:tcW w:w="508" w:type="pct"/>
            <w:tcMar>
              <w:top w:w="0" w:type="dxa"/>
              <w:left w:w="108" w:type="dxa"/>
              <w:bottom w:w="0" w:type="dxa"/>
              <w:right w:w="108" w:type="dxa"/>
            </w:tcMar>
            <w:vAlign w:val="center"/>
          </w:tcPr>
          <w:p w:rsidR="00D807C8" w:rsidRPr="00A41CE6" w:rsidRDefault="00D807C8"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预期性</w:t>
            </w:r>
          </w:p>
        </w:tc>
      </w:tr>
      <w:tr w:rsidR="00026D1E" w:rsidRPr="00A41CE6" w:rsidTr="00902EDF">
        <w:trPr>
          <w:trHeight w:val="227"/>
          <w:jc w:val="center"/>
        </w:trPr>
        <w:tc>
          <w:tcPr>
            <w:tcW w:w="288" w:type="pct"/>
            <w:tcMar>
              <w:top w:w="0" w:type="dxa"/>
              <w:left w:w="108" w:type="dxa"/>
              <w:bottom w:w="0" w:type="dxa"/>
              <w:right w:w="108" w:type="dxa"/>
            </w:tcMar>
            <w:vAlign w:val="center"/>
          </w:tcPr>
          <w:p w:rsidR="00026D1E" w:rsidRPr="00A41CE6" w:rsidRDefault="00026D1E" w:rsidP="00A86CA2">
            <w:pPr>
              <w:adjustRightInd w:val="0"/>
              <w:snapToGrid w:val="0"/>
              <w:spacing w:line="240" w:lineRule="auto"/>
              <w:jc w:val="center"/>
              <w:rPr>
                <w:rFonts w:ascii="Times New Roman" w:eastAsia="楷体" w:hAnsi="Times New Roman" w:cs="Times New Roman"/>
                <w:bCs/>
                <w:color w:val="000000"/>
                <w:sz w:val="24"/>
                <w:szCs w:val="24"/>
              </w:rPr>
            </w:pPr>
            <w:r w:rsidRPr="00A41CE6">
              <w:rPr>
                <w:rFonts w:ascii="Times New Roman" w:eastAsia="楷体" w:hAnsi="Times New Roman" w:cs="Times New Roman" w:hint="eastAsia"/>
                <w:bCs/>
                <w:color w:val="000000"/>
                <w:sz w:val="24"/>
                <w:szCs w:val="24"/>
              </w:rPr>
              <w:t>9</w:t>
            </w:r>
          </w:p>
        </w:tc>
        <w:tc>
          <w:tcPr>
            <w:tcW w:w="1615" w:type="pct"/>
            <w:tcMar>
              <w:top w:w="0" w:type="dxa"/>
              <w:left w:w="108" w:type="dxa"/>
              <w:bottom w:w="0" w:type="dxa"/>
              <w:right w:w="108" w:type="dxa"/>
            </w:tcMar>
            <w:vAlign w:val="center"/>
          </w:tcPr>
          <w:p w:rsidR="00026D1E" w:rsidRPr="00A41CE6" w:rsidRDefault="00026D1E" w:rsidP="00A86CA2">
            <w:pPr>
              <w:adjustRightInd w:val="0"/>
              <w:snapToGrid w:val="0"/>
              <w:spacing w:after="0"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既有建筑节能改造面积</w:t>
            </w:r>
          </w:p>
        </w:tc>
        <w:tc>
          <w:tcPr>
            <w:tcW w:w="573" w:type="pct"/>
            <w:tcMar>
              <w:top w:w="0" w:type="dxa"/>
              <w:left w:w="108" w:type="dxa"/>
              <w:bottom w:w="0" w:type="dxa"/>
              <w:right w:w="108" w:type="dxa"/>
            </w:tcMar>
            <w:vAlign w:val="center"/>
          </w:tcPr>
          <w:p w:rsidR="00026D1E" w:rsidRPr="00A41CE6" w:rsidRDefault="00026D1E"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万平方米</w:t>
            </w:r>
          </w:p>
        </w:tc>
        <w:tc>
          <w:tcPr>
            <w:tcW w:w="418" w:type="pct"/>
            <w:vAlign w:val="center"/>
          </w:tcPr>
          <w:p w:rsidR="00026D1E" w:rsidRPr="00A41CE6" w:rsidRDefault="00026D1E"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Times New Roman" w:hint="eastAsia"/>
                <w:color w:val="000000"/>
                <w:sz w:val="24"/>
                <w:szCs w:val="24"/>
              </w:rPr>
              <w:t>1.59</w:t>
            </w:r>
          </w:p>
        </w:tc>
        <w:tc>
          <w:tcPr>
            <w:tcW w:w="532" w:type="pct"/>
            <w:vAlign w:val="center"/>
          </w:tcPr>
          <w:p w:rsidR="00026D1E" w:rsidRPr="00A41CE6" w:rsidRDefault="00026D1E"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vAlign w:val="center"/>
          </w:tcPr>
          <w:p w:rsidR="00026D1E" w:rsidRPr="00A41CE6" w:rsidRDefault="00026D1E" w:rsidP="00A86CA2">
            <w:pPr>
              <w:adjustRightInd w:val="0"/>
              <w:snapToGrid w:val="0"/>
              <w:spacing w:line="240" w:lineRule="auto"/>
              <w:jc w:val="center"/>
              <w:rPr>
                <w:rFonts w:ascii="Times New Roman" w:eastAsia="楷体" w:hAnsi="Times New Roman" w:cs="Times New Roman"/>
                <w:color w:val="000000"/>
                <w:sz w:val="24"/>
                <w:szCs w:val="24"/>
              </w:rPr>
            </w:pPr>
            <w:r w:rsidRPr="00A41CE6">
              <w:rPr>
                <w:rFonts w:ascii="Times New Roman" w:eastAsia="楷体" w:hAnsi="Times New Roman" w:cs="宋体" w:hint="eastAsia"/>
                <w:color w:val="000000"/>
                <w:sz w:val="24"/>
                <w:szCs w:val="24"/>
              </w:rPr>
              <w:t>/</w:t>
            </w:r>
          </w:p>
        </w:tc>
        <w:tc>
          <w:tcPr>
            <w:tcW w:w="533" w:type="pct"/>
            <w:tcMar>
              <w:top w:w="0" w:type="dxa"/>
              <w:left w:w="108" w:type="dxa"/>
              <w:bottom w:w="0" w:type="dxa"/>
              <w:right w:w="108" w:type="dxa"/>
            </w:tcMar>
            <w:vAlign w:val="center"/>
          </w:tcPr>
          <w:p w:rsidR="00026D1E" w:rsidRPr="00A41CE6" w:rsidRDefault="00026D1E"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Times New Roman" w:hint="eastAsia"/>
                <w:color w:val="000000"/>
                <w:sz w:val="24"/>
                <w:szCs w:val="24"/>
              </w:rPr>
              <w:t>50</w:t>
            </w:r>
          </w:p>
        </w:tc>
        <w:tc>
          <w:tcPr>
            <w:tcW w:w="508" w:type="pct"/>
            <w:tcMar>
              <w:top w:w="0" w:type="dxa"/>
              <w:left w:w="108" w:type="dxa"/>
              <w:bottom w:w="0" w:type="dxa"/>
              <w:right w:w="108" w:type="dxa"/>
            </w:tcMar>
            <w:vAlign w:val="center"/>
          </w:tcPr>
          <w:p w:rsidR="00026D1E" w:rsidRPr="00A41CE6" w:rsidRDefault="00026D1E" w:rsidP="00A86CA2">
            <w:pPr>
              <w:adjustRightInd w:val="0"/>
              <w:snapToGrid w:val="0"/>
              <w:spacing w:line="240" w:lineRule="auto"/>
              <w:jc w:val="center"/>
              <w:rPr>
                <w:rFonts w:ascii="Times New Roman" w:eastAsia="楷体" w:hAnsi="Times New Roman" w:cs="楷体"/>
                <w:color w:val="000000"/>
                <w:sz w:val="24"/>
                <w:szCs w:val="24"/>
              </w:rPr>
            </w:pPr>
            <w:r w:rsidRPr="00A41CE6">
              <w:rPr>
                <w:rFonts w:ascii="Times New Roman" w:eastAsia="楷体" w:hAnsi="Times New Roman" w:cs="楷体" w:hint="eastAsia"/>
                <w:color w:val="000000"/>
                <w:sz w:val="24"/>
                <w:szCs w:val="24"/>
              </w:rPr>
              <w:t>预期性</w:t>
            </w:r>
          </w:p>
        </w:tc>
      </w:tr>
    </w:tbl>
    <w:p w:rsidR="00035FF7" w:rsidRPr="00A41CE6" w:rsidRDefault="00035FF7" w:rsidP="00902EDF">
      <w:pPr>
        <w:ind w:firstLine="440"/>
        <w:jc w:val="both"/>
        <w:rPr>
          <w:rFonts w:ascii="Times New Roman" w:hAnsi="Times New Roman"/>
        </w:rPr>
      </w:pPr>
      <w:bookmarkStart w:id="34" w:name="_Toc136877082"/>
      <w:r w:rsidRPr="00A41CE6">
        <w:rPr>
          <w:rFonts w:ascii="Times New Roman" w:hAnsi="Times New Roman" w:hint="eastAsia"/>
        </w:rPr>
        <w:t>注：</w:t>
      </w:r>
      <w:r w:rsidR="004C7191" w:rsidRPr="00A41CE6">
        <w:rPr>
          <w:rFonts w:ascii="Times New Roman" w:hAnsi="Times New Roman" w:hint="eastAsia"/>
        </w:rPr>
        <w:t>各项</w:t>
      </w:r>
      <w:r w:rsidRPr="00A41CE6">
        <w:rPr>
          <w:rFonts w:ascii="Times New Roman" w:hAnsi="Times New Roman" w:hint="eastAsia"/>
        </w:rPr>
        <w:t>目标估算详见附件。</w:t>
      </w:r>
    </w:p>
    <w:p w:rsidR="005A1264" w:rsidRPr="00A41CE6" w:rsidRDefault="005C591D">
      <w:pPr>
        <w:adjustRightInd w:val="0"/>
        <w:snapToGrid w:val="0"/>
        <w:spacing w:line="360" w:lineRule="auto"/>
        <w:ind w:firstLineChars="200" w:firstLine="640"/>
        <w:jc w:val="both"/>
        <w:outlineLvl w:val="1"/>
        <w:rPr>
          <w:rFonts w:ascii="Times New Roman" w:eastAsia="黑体" w:hAnsi="Times New Roman"/>
          <w:color w:val="000000" w:themeColor="text1"/>
          <w:sz w:val="32"/>
          <w:szCs w:val="32"/>
        </w:rPr>
      </w:pPr>
      <w:r w:rsidRPr="00A41CE6">
        <w:rPr>
          <w:rFonts w:ascii="Times New Roman" w:eastAsia="黑体" w:hAnsi="Times New Roman" w:hint="eastAsia"/>
          <w:color w:val="000000" w:themeColor="text1"/>
          <w:sz w:val="32"/>
          <w:szCs w:val="32"/>
        </w:rPr>
        <w:t>（四）未来展望</w:t>
      </w:r>
      <w:bookmarkEnd w:id="34"/>
    </w:p>
    <w:p w:rsidR="005A1264" w:rsidRPr="00A41CE6" w:rsidRDefault="005C591D">
      <w:pPr>
        <w:adjustRightInd w:val="0"/>
        <w:snapToGrid w:val="0"/>
        <w:spacing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在中国共产党的带领下，在习近平新时代社会主义思想的指导下，海口市的建筑节能与绿色建筑工作走在全省前列；通过优化能源结构、产业结构调整等一系列推动绿色高质量发展手段，完成国家“</w:t>
      </w:r>
      <w:r w:rsidRPr="00A41CE6">
        <w:rPr>
          <w:rFonts w:ascii="Times New Roman" w:eastAsia="仿宋" w:hAnsi="Times New Roman" w:hint="eastAsia"/>
          <w:color w:val="000000" w:themeColor="text1"/>
          <w:sz w:val="28"/>
          <w:szCs w:val="28"/>
        </w:rPr>
        <w:t>2030</w:t>
      </w:r>
      <w:r w:rsidRPr="00A41CE6">
        <w:rPr>
          <w:rFonts w:ascii="Times New Roman" w:eastAsia="仿宋" w:hAnsi="Times New Roman" w:hint="eastAsia"/>
          <w:color w:val="000000" w:themeColor="text1"/>
          <w:sz w:val="28"/>
          <w:szCs w:val="28"/>
        </w:rPr>
        <w:t>碳达峰、</w:t>
      </w:r>
      <w:r w:rsidRPr="00A41CE6">
        <w:rPr>
          <w:rFonts w:ascii="Times New Roman" w:eastAsia="仿宋" w:hAnsi="Times New Roman" w:hint="eastAsia"/>
          <w:color w:val="000000" w:themeColor="text1"/>
          <w:sz w:val="28"/>
          <w:szCs w:val="28"/>
        </w:rPr>
        <w:t>2060</w:t>
      </w:r>
      <w:r w:rsidRPr="00A41CE6">
        <w:rPr>
          <w:rFonts w:ascii="Times New Roman" w:eastAsia="仿宋" w:hAnsi="Times New Roman" w:hint="eastAsia"/>
          <w:color w:val="000000" w:themeColor="text1"/>
          <w:sz w:val="28"/>
          <w:szCs w:val="28"/>
        </w:rPr>
        <w:t>碳中和”战略目标要求；完成产业转型升级，产业支撑能力和产业链现代化水平得到快速提升，绿色城市得到高质量发展，初步实现低碳化、信息化、工业化、智能化，将海口市建设成为宜居城市、绿色城市、智慧城市。</w:t>
      </w:r>
    </w:p>
    <w:p w:rsidR="005A1264" w:rsidRPr="00A41CE6" w:rsidRDefault="005A1264">
      <w:pPr>
        <w:spacing w:after="0" w:line="240" w:lineRule="auto"/>
        <w:rPr>
          <w:rFonts w:ascii="Times New Roman" w:eastAsia="仿宋" w:hAnsi="Times New Roman"/>
          <w:color w:val="000000" w:themeColor="text1"/>
          <w:sz w:val="28"/>
          <w:szCs w:val="28"/>
        </w:rPr>
      </w:pPr>
    </w:p>
    <w:p w:rsidR="005A1264" w:rsidRPr="00A41CE6" w:rsidRDefault="005C591D">
      <w:pPr>
        <w:spacing w:after="0" w:line="240" w:lineRule="auto"/>
        <w:rPr>
          <w:rFonts w:ascii="Times New Roman" w:eastAsia="仿宋" w:hAnsi="Times New Roman"/>
          <w:color w:val="000000" w:themeColor="text1"/>
          <w:sz w:val="28"/>
          <w:szCs w:val="28"/>
        </w:rPr>
      </w:pPr>
      <w:r w:rsidRPr="00A41CE6">
        <w:rPr>
          <w:rFonts w:ascii="Times New Roman" w:eastAsia="仿宋" w:hAnsi="Times New Roman"/>
          <w:color w:val="000000" w:themeColor="text1"/>
          <w:sz w:val="28"/>
          <w:szCs w:val="28"/>
        </w:rPr>
        <w:br w:type="page"/>
      </w:r>
    </w:p>
    <w:p w:rsidR="005A1264" w:rsidRPr="00A41CE6" w:rsidRDefault="005C591D">
      <w:pPr>
        <w:adjustRightInd w:val="0"/>
        <w:snapToGrid w:val="0"/>
        <w:spacing w:line="360" w:lineRule="auto"/>
        <w:jc w:val="center"/>
        <w:outlineLvl w:val="0"/>
        <w:rPr>
          <w:rFonts w:ascii="Times New Roman" w:eastAsia="黑体" w:hAnsi="Times New Roman"/>
          <w:color w:val="000000" w:themeColor="text1"/>
          <w:sz w:val="36"/>
          <w:szCs w:val="36"/>
        </w:rPr>
      </w:pPr>
      <w:bookmarkStart w:id="35" w:name="_Toc136877083"/>
      <w:bookmarkStart w:id="36" w:name="_Toc69458703"/>
      <w:bookmarkStart w:id="37" w:name="_Toc58957336"/>
      <w:bookmarkStart w:id="38" w:name="_Toc5415"/>
      <w:r w:rsidRPr="00A41CE6">
        <w:rPr>
          <w:rFonts w:ascii="Times New Roman" w:eastAsia="黑体" w:hAnsi="Times New Roman" w:hint="eastAsia"/>
          <w:color w:val="000000" w:themeColor="text1"/>
          <w:sz w:val="36"/>
          <w:szCs w:val="36"/>
        </w:rPr>
        <w:lastRenderedPageBreak/>
        <w:t>第三章</w:t>
      </w:r>
      <w:r w:rsidRPr="00A41CE6">
        <w:rPr>
          <w:rFonts w:ascii="Times New Roman" w:eastAsia="黑体" w:hAnsi="Times New Roman" w:hint="eastAsia"/>
          <w:color w:val="000000" w:themeColor="text1"/>
          <w:sz w:val="36"/>
          <w:szCs w:val="36"/>
        </w:rPr>
        <w:t xml:space="preserve"> </w:t>
      </w:r>
      <w:r w:rsidRPr="00A41CE6">
        <w:rPr>
          <w:rFonts w:ascii="Times New Roman" w:eastAsia="黑体" w:hAnsi="Times New Roman" w:hint="eastAsia"/>
          <w:color w:val="000000" w:themeColor="text1"/>
          <w:sz w:val="36"/>
          <w:szCs w:val="36"/>
        </w:rPr>
        <w:t>重点任务</w:t>
      </w:r>
      <w:bookmarkEnd w:id="35"/>
    </w:p>
    <w:p w:rsidR="005F5C78" w:rsidRPr="00A41CE6" w:rsidRDefault="005F5C78" w:rsidP="005F5C78">
      <w:pPr>
        <w:adjustRightInd w:val="0"/>
        <w:snapToGrid w:val="0"/>
        <w:spacing w:line="360" w:lineRule="auto"/>
        <w:ind w:firstLineChars="200" w:firstLine="640"/>
        <w:jc w:val="both"/>
        <w:outlineLvl w:val="1"/>
        <w:rPr>
          <w:rFonts w:ascii="Times New Roman" w:eastAsia="黑体" w:hAnsi="Times New Roman"/>
          <w:color w:val="000000" w:themeColor="text1"/>
          <w:sz w:val="32"/>
          <w:szCs w:val="32"/>
        </w:rPr>
      </w:pPr>
      <w:bookmarkStart w:id="39" w:name="_Toc136877084"/>
      <w:r w:rsidRPr="00A41CE6">
        <w:rPr>
          <w:rFonts w:ascii="Times New Roman" w:eastAsia="黑体" w:hAnsi="Times New Roman" w:hint="eastAsia"/>
          <w:color w:val="000000" w:themeColor="text1"/>
          <w:sz w:val="32"/>
          <w:szCs w:val="32"/>
        </w:rPr>
        <w:t>（一）有序提升建筑能效水平</w:t>
      </w:r>
    </w:p>
    <w:p w:rsidR="005F5C78" w:rsidRPr="00A41CE6" w:rsidRDefault="005F5C78" w:rsidP="005F5C78">
      <w:pPr>
        <w:pStyle w:val="3"/>
        <w:spacing w:before="0" w:after="200" w:line="360" w:lineRule="auto"/>
        <w:ind w:firstLineChars="200" w:firstLine="600"/>
        <w:rPr>
          <w:rFonts w:ascii="Times New Roman" w:eastAsia="黑体" w:hAnsi="Times New Roman"/>
          <w:b w:val="0"/>
          <w:color w:val="000000" w:themeColor="text1"/>
          <w:sz w:val="30"/>
          <w:szCs w:val="30"/>
        </w:rPr>
      </w:pPr>
      <w:r w:rsidRPr="00A41CE6">
        <w:rPr>
          <w:rFonts w:ascii="Times New Roman" w:eastAsia="黑体" w:hAnsi="Times New Roman" w:hint="eastAsia"/>
          <w:b w:val="0"/>
          <w:color w:val="000000" w:themeColor="text1"/>
          <w:sz w:val="30"/>
          <w:szCs w:val="30"/>
        </w:rPr>
        <w:t xml:space="preserve">1. </w:t>
      </w:r>
      <w:r w:rsidRPr="00A41CE6">
        <w:rPr>
          <w:rFonts w:ascii="Times New Roman" w:eastAsia="黑体" w:hAnsi="Times New Roman" w:hint="eastAsia"/>
          <w:b w:val="0"/>
          <w:color w:val="000000" w:themeColor="text1"/>
          <w:sz w:val="30"/>
          <w:szCs w:val="30"/>
        </w:rPr>
        <w:t>推动建筑用能清洁化</w:t>
      </w:r>
    </w:p>
    <w:p w:rsidR="005F5C78" w:rsidRPr="00A41CE6" w:rsidRDefault="005F5C78" w:rsidP="005F5C78">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1</w:t>
      </w:r>
      <w:r w:rsidRPr="00A41CE6">
        <w:rPr>
          <w:rFonts w:ascii="Times New Roman" w:eastAsia="仿宋" w:hAnsi="Times New Roman" w:hint="eastAsia"/>
          <w:i w:val="0"/>
          <w:color w:val="000000" w:themeColor="text1"/>
          <w:sz w:val="28"/>
          <w:szCs w:val="28"/>
        </w:rPr>
        <w:t>）积极发展可再生能源多种利用形式</w:t>
      </w:r>
    </w:p>
    <w:p w:rsidR="005F5C78" w:rsidRPr="00A41CE6" w:rsidRDefault="005F5C78" w:rsidP="005F5C78">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color w:val="000000" w:themeColor="text1"/>
          <w:sz w:val="28"/>
          <w:szCs w:val="28"/>
        </w:rPr>
        <w:t>拓展可再生能源应用形式，推广高效应用技术。探索开发利用地热能</w:t>
      </w:r>
      <w:r w:rsidRPr="00A41CE6">
        <w:rPr>
          <w:rFonts w:ascii="Times New Roman" w:eastAsia="仿宋" w:hAnsi="Times New Roman" w:hint="eastAsia"/>
          <w:color w:val="000000" w:themeColor="text1"/>
          <w:sz w:val="28"/>
          <w:szCs w:val="28"/>
        </w:rPr>
        <w:t>，加强</w:t>
      </w:r>
      <w:r w:rsidRPr="00A41CE6">
        <w:rPr>
          <w:rFonts w:ascii="Times New Roman" w:eastAsia="仿宋" w:hAnsi="Times New Roman"/>
          <w:color w:val="000000" w:themeColor="text1"/>
          <w:sz w:val="28"/>
          <w:szCs w:val="28"/>
        </w:rPr>
        <w:t>地热</w:t>
      </w:r>
      <w:r w:rsidRPr="00A41CE6">
        <w:rPr>
          <w:rFonts w:ascii="Times New Roman" w:eastAsia="仿宋" w:hAnsi="Times New Roman" w:hint="eastAsia"/>
          <w:color w:val="000000" w:themeColor="text1"/>
          <w:sz w:val="28"/>
          <w:szCs w:val="28"/>
        </w:rPr>
        <w:t>发电</w:t>
      </w:r>
      <w:r w:rsidRPr="00A41CE6">
        <w:rPr>
          <w:rFonts w:ascii="Times New Roman" w:eastAsia="仿宋" w:hAnsi="Times New Roman"/>
          <w:color w:val="000000" w:themeColor="text1"/>
          <w:sz w:val="28"/>
          <w:szCs w:val="28"/>
        </w:rPr>
        <w:t>、</w:t>
      </w:r>
      <w:r w:rsidRPr="00A41CE6">
        <w:rPr>
          <w:rFonts w:ascii="Times New Roman" w:eastAsia="仿宋" w:hAnsi="Times New Roman" w:hint="eastAsia"/>
          <w:color w:val="000000" w:themeColor="text1"/>
          <w:sz w:val="28"/>
          <w:szCs w:val="28"/>
        </w:rPr>
        <w:t>制冷等应用方向，</w:t>
      </w:r>
      <w:r w:rsidRPr="00A41CE6">
        <w:rPr>
          <w:rFonts w:ascii="Times New Roman" w:eastAsia="仿宋" w:hAnsi="Times New Roman"/>
          <w:color w:val="000000" w:themeColor="text1"/>
          <w:sz w:val="28"/>
          <w:szCs w:val="28"/>
        </w:rPr>
        <w:t>转化为高品位移动能源。积极开展琼北地区优质干热岩地热能资源勘探研究，支持跨市县合作，实施干热岩井</w:t>
      </w:r>
      <w:r w:rsidRPr="00A41CE6">
        <w:rPr>
          <w:rFonts w:ascii="Times New Roman" w:eastAsia="仿宋" w:hAnsi="Times New Roman"/>
          <w:color w:val="000000" w:themeColor="text1"/>
          <w:sz w:val="28"/>
          <w:szCs w:val="28"/>
        </w:rPr>
        <w:t>“</w:t>
      </w:r>
      <w:r w:rsidRPr="00A41CE6">
        <w:rPr>
          <w:rFonts w:ascii="Times New Roman" w:eastAsia="仿宋" w:hAnsi="Times New Roman"/>
          <w:color w:val="000000" w:themeColor="text1"/>
          <w:sz w:val="28"/>
          <w:szCs w:val="28"/>
        </w:rPr>
        <w:t>共同开发、资源共享</w:t>
      </w:r>
      <w:r w:rsidRPr="00A41CE6">
        <w:rPr>
          <w:rFonts w:ascii="Times New Roman" w:eastAsia="仿宋" w:hAnsi="Times New Roman"/>
          <w:color w:val="000000" w:themeColor="text1"/>
          <w:sz w:val="28"/>
          <w:szCs w:val="28"/>
        </w:rPr>
        <w:t>”</w:t>
      </w:r>
      <w:r w:rsidRPr="00A41CE6">
        <w:rPr>
          <w:rFonts w:ascii="Times New Roman" w:eastAsia="仿宋" w:hAnsi="Times New Roman"/>
          <w:color w:val="000000" w:themeColor="text1"/>
          <w:sz w:val="28"/>
          <w:szCs w:val="28"/>
        </w:rPr>
        <w:t>模式。以园区、酒店为重点，推进高效制冷、温泉旅游等地热能开发利用。积极探索适宜海南的可再生能源应用新模式，利用风能、生物质能等资源组合优势，扩大空气源热泵制备热水、太阳能空调等技术的使用规模，积极推进储能等技术研发应用，拓展</w:t>
      </w:r>
      <w:r w:rsidRPr="00A41CE6">
        <w:rPr>
          <w:rFonts w:ascii="Times New Roman" w:eastAsia="仿宋" w:hAnsi="Times New Roman" w:hint="eastAsia"/>
          <w:color w:val="000000" w:themeColor="text1"/>
          <w:sz w:val="28"/>
          <w:szCs w:val="28"/>
        </w:rPr>
        <w:t>建筑</w:t>
      </w:r>
      <w:r w:rsidRPr="00A41CE6">
        <w:rPr>
          <w:rFonts w:ascii="Times New Roman" w:eastAsia="仿宋" w:hAnsi="Times New Roman"/>
          <w:color w:val="000000" w:themeColor="text1"/>
          <w:sz w:val="28"/>
          <w:szCs w:val="28"/>
        </w:rPr>
        <w:t>可再生能源应用体系，鼓励有条件的地区建设可再生能源区域供能、多能互补、集中供冷等项目，推进能源结构优化。</w:t>
      </w:r>
    </w:p>
    <w:p w:rsidR="005F5C78" w:rsidRPr="00A41CE6" w:rsidRDefault="005F5C78" w:rsidP="005F5C78">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2</w:t>
      </w:r>
      <w:r w:rsidRPr="00A41CE6">
        <w:rPr>
          <w:rFonts w:ascii="Times New Roman" w:eastAsia="仿宋" w:hAnsi="Times New Roman" w:hint="eastAsia"/>
          <w:i w:val="0"/>
          <w:color w:val="000000" w:themeColor="text1"/>
          <w:sz w:val="28"/>
          <w:szCs w:val="28"/>
        </w:rPr>
        <w:t>）扩大太阳能光伏建筑应用规模</w:t>
      </w:r>
    </w:p>
    <w:p w:rsidR="005F5C78" w:rsidRPr="00A41CE6" w:rsidRDefault="005F5C78" w:rsidP="005F5C78">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政府投资新建建筑按照“应建尽建”原则开展分布式光伏发电项目建设。鼓励学校、医院、商业综合体、大型综合交通枢纽、体育场馆、会展中心等公共设施广泛开发建设屋顶分布式光伏电站。鼓励社会资本积极投资参与，鼓励存量单体建筑屋顶面积</w:t>
      </w:r>
      <w:r w:rsidRPr="00A41CE6">
        <w:rPr>
          <w:rFonts w:ascii="Times New Roman" w:eastAsia="仿宋" w:hAnsi="Times New Roman" w:hint="eastAsia"/>
          <w:color w:val="000000" w:themeColor="text1"/>
          <w:sz w:val="28"/>
          <w:szCs w:val="28"/>
        </w:rPr>
        <w:t>1000</w:t>
      </w:r>
      <w:r w:rsidRPr="00A41CE6">
        <w:rPr>
          <w:rFonts w:ascii="Times New Roman" w:eastAsia="仿宋" w:hAnsi="Times New Roman" w:hint="eastAsia"/>
          <w:color w:val="000000" w:themeColor="text1"/>
          <w:sz w:val="28"/>
          <w:szCs w:val="28"/>
        </w:rPr>
        <w:t>平方米以上、总屋顶面积达到</w:t>
      </w:r>
      <w:r w:rsidRPr="00A41CE6">
        <w:rPr>
          <w:rFonts w:ascii="Times New Roman" w:eastAsia="仿宋" w:hAnsi="Times New Roman" w:hint="eastAsia"/>
          <w:color w:val="000000" w:themeColor="text1"/>
          <w:sz w:val="28"/>
          <w:szCs w:val="28"/>
        </w:rPr>
        <w:t>3000</w:t>
      </w:r>
      <w:r w:rsidRPr="00A41CE6">
        <w:rPr>
          <w:rFonts w:ascii="Times New Roman" w:eastAsia="仿宋" w:hAnsi="Times New Roman" w:hint="eastAsia"/>
          <w:color w:val="000000" w:themeColor="text1"/>
          <w:sz w:val="28"/>
          <w:szCs w:val="28"/>
        </w:rPr>
        <w:t>平方米的项目按照满足建设屋顶分布式光伏发电的要求同步设计、同步实施。</w:t>
      </w:r>
    </w:p>
    <w:p w:rsidR="005F5C78" w:rsidRPr="00A41CE6" w:rsidRDefault="005F5C78" w:rsidP="005F5C78">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鼓励在具备稳定用电负荷、集中连片屋顶资源丰富、所发电力大部分可自行消化的产业园区建设规模化分布式光伏发电系统；对于常</w:t>
      </w:r>
      <w:r w:rsidRPr="00A41CE6">
        <w:rPr>
          <w:rFonts w:ascii="Times New Roman" w:eastAsia="仿宋" w:hAnsi="Times New Roman" w:hint="eastAsia"/>
          <w:color w:val="000000" w:themeColor="text1"/>
          <w:sz w:val="28"/>
          <w:szCs w:val="28"/>
        </w:rPr>
        <w:lastRenderedPageBreak/>
        <w:t>住人口不多、热水需求不大、十二层以上高层住宅项目可通过安装太阳能光伏系统替代太阳能热水系统。鼓励复合型光伏电站综合利用，按照“一地两用”形式，因地制宜开发建设复合型光伏电站，实现土地的高效综合利用。</w:t>
      </w:r>
    </w:p>
    <w:p w:rsidR="005F5C78" w:rsidRPr="00A41CE6" w:rsidRDefault="005F5C78" w:rsidP="005F5C78">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3</w:t>
      </w:r>
      <w:r w:rsidRPr="00A41CE6">
        <w:rPr>
          <w:rFonts w:ascii="Times New Roman" w:eastAsia="仿宋" w:hAnsi="Times New Roman" w:hint="eastAsia"/>
          <w:i w:val="0"/>
          <w:color w:val="000000" w:themeColor="text1"/>
          <w:sz w:val="28"/>
          <w:szCs w:val="28"/>
        </w:rPr>
        <w:t>）提升太阳能热水建筑应用质量</w:t>
      </w:r>
    </w:p>
    <w:p w:rsidR="005F5C78" w:rsidRPr="00A41CE6" w:rsidRDefault="005F5C78" w:rsidP="005F5C78">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改进和完善太阳能热水系统应用实施路径，在调整发展模式的基础上，继续推进太阳能热水应用。新建建筑设计太阳能热水系统充分考虑建筑一体化设计与施工，统筹平衡设备系统的布局、结构荷载、建筑外观等因素，减少施工安装成本和管路热损失，同时实现建筑整体外观的和谐统一。既有建筑综合考虑结构承重、管路改造等可行性影响因素，灵活采用政府投资、合同能源管理等建设模式，逐步推广太阳能热水系统改造。鼓励既有住宅尤其是农村自建房等低层住宅加装改造太阳能热水系统。</w:t>
      </w:r>
    </w:p>
    <w:p w:rsidR="005F5C78" w:rsidRPr="00A41CE6" w:rsidRDefault="005F5C78" w:rsidP="005F5C78">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4</w:t>
      </w:r>
      <w:r w:rsidRPr="00A41CE6">
        <w:rPr>
          <w:rFonts w:ascii="Times New Roman" w:eastAsia="仿宋" w:hAnsi="Times New Roman" w:hint="eastAsia"/>
          <w:i w:val="0"/>
          <w:color w:val="000000" w:themeColor="text1"/>
          <w:sz w:val="28"/>
          <w:szCs w:val="28"/>
        </w:rPr>
        <w:t>）加强应用能力建设</w:t>
      </w:r>
    </w:p>
    <w:p w:rsidR="005F5C78" w:rsidRPr="00A41CE6" w:rsidRDefault="005F5C78" w:rsidP="005F5C78">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做好可再生能源资源条件勘察</w:t>
      </w:r>
      <w:r w:rsidRPr="00A41CE6">
        <w:rPr>
          <w:rFonts w:ascii="Times New Roman" w:eastAsia="仿宋" w:hAnsi="Times New Roman"/>
          <w:color w:val="000000" w:themeColor="text1"/>
          <w:sz w:val="28"/>
          <w:szCs w:val="28"/>
        </w:rPr>
        <w:t>和建筑利用条件调查，因地制宜制订实施可再生能源建筑应用规划。支持可再生能源建筑应用共性和关键技术的研发及推广，加强科技攻关力度，提高技术的先进性、适用性和可靠性。完善可再生能源建筑应用在设计、施工、检测和验收等环节的技术体系。总结推广可再生能源建筑应用工作经验。加大培训力度，提高从业人员技术和管理水平。</w:t>
      </w:r>
    </w:p>
    <w:p w:rsidR="005F5C78" w:rsidRPr="00A41CE6" w:rsidRDefault="005F5C78" w:rsidP="005F5C78">
      <w:pPr>
        <w:pStyle w:val="3"/>
        <w:spacing w:before="0" w:after="200" w:line="360" w:lineRule="auto"/>
        <w:ind w:firstLineChars="200" w:firstLine="600"/>
        <w:rPr>
          <w:rFonts w:ascii="Times New Roman" w:eastAsia="黑体" w:hAnsi="Times New Roman"/>
          <w:b w:val="0"/>
          <w:color w:val="000000" w:themeColor="text1"/>
          <w:sz w:val="30"/>
          <w:szCs w:val="30"/>
        </w:rPr>
      </w:pPr>
      <w:r w:rsidRPr="00A41CE6">
        <w:rPr>
          <w:rFonts w:ascii="Times New Roman" w:eastAsia="黑体" w:hAnsi="Times New Roman" w:hint="eastAsia"/>
          <w:b w:val="0"/>
          <w:color w:val="000000" w:themeColor="text1"/>
          <w:sz w:val="30"/>
          <w:szCs w:val="30"/>
        </w:rPr>
        <w:lastRenderedPageBreak/>
        <w:t xml:space="preserve">2. </w:t>
      </w:r>
      <w:r w:rsidRPr="00A41CE6">
        <w:rPr>
          <w:rFonts w:ascii="Times New Roman" w:eastAsia="黑体" w:hAnsi="Times New Roman" w:hint="eastAsia"/>
          <w:b w:val="0"/>
          <w:color w:val="000000" w:themeColor="text1"/>
          <w:sz w:val="30"/>
          <w:szCs w:val="30"/>
        </w:rPr>
        <w:t>提高建筑低碳化水平</w:t>
      </w:r>
    </w:p>
    <w:p w:rsidR="005F5C78" w:rsidRPr="00A41CE6" w:rsidRDefault="005F5C78" w:rsidP="005F5C78">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1</w:t>
      </w:r>
      <w:r w:rsidRPr="00A41CE6">
        <w:rPr>
          <w:rFonts w:ascii="Times New Roman" w:eastAsia="仿宋" w:hAnsi="Times New Roman" w:hint="eastAsia"/>
          <w:i w:val="0"/>
          <w:color w:val="000000" w:themeColor="text1"/>
          <w:sz w:val="28"/>
          <w:szCs w:val="28"/>
        </w:rPr>
        <w:t>）强化城镇新建建筑节能</w:t>
      </w:r>
    </w:p>
    <w:p w:rsidR="005F5C78" w:rsidRPr="00A41CE6" w:rsidRDefault="005F5C78" w:rsidP="005F5C78">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衔接《建筑节能与可再生能源通用技术规范》</w:t>
      </w:r>
      <w:r w:rsidRPr="00A41CE6">
        <w:rPr>
          <w:rFonts w:ascii="Times New Roman" w:eastAsia="仿宋" w:hAnsi="Times New Roman" w:hint="eastAsia"/>
          <w:color w:val="000000" w:themeColor="text1"/>
          <w:sz w:val="28"/>
          <w:szCs w:val="28"/>
        </w:rPr>
        <w:t>GB55015</w:t>
      </w:r>
      <w:r w:rsidRPr="00A41CE6">
        <w:rPr>
          <w:rFonts w:ascii="Times New Roman" w:eastAsia="仿宋" w:hAnsi="Times New Roman" w:hint="eastAsia"/>
          <w:color w:val="000000" w:themeColor="text1"/>
          <w:sz w:val="28"/>
          <w:szCs w:val="28"/>
        </w:rPr>
        <w:t>居住建筑节能率</w:t>
      </w:r>
      <w:r w:rsidRPr="00A41CE6">
        <w:rPr>
          <w:rFonts w:ascii="Times New Roman" w:eastAsia="仿宋" w:hAnsi="Times New Roman" w:hint="eastAsia"/>
          <w:color w:val="000000" w:themeColor="text1"/>
          <w:sz w:val="28"/>
          <w:szCs w:val="28"/>
        </w:rPr>
        <w:t>65%</w:t>
      </w:r>
      <w:r w:rsidRPr="00A41CE6">
        <w:rPr>
          <w:rFonts w:ascii="Times New Roman" w:eastAsia="仿宋" w:hAnsi="Times New Roman" w:hint="eastAsia"/>
          <w:color w:val="000000" w:themeColor="text1"/>
          <w:sz w:val="28"/>
          <w:szCs w:val="28"/>
        </w:rPr>
        <w:t>，公共建筑节能率</w:t>
      </w:r>
      <w:r w:rsidRPr="00A41CE6">
        <w:rPr>
          <w:rFonts w:ascii="Times New Roman" w:eastAsia="仿宋" w:hAnsi="Times New Roman" w:hint="eastAsia"/>
          <w:color w:val="000000" w:themeColor="text1"/>
          <w:sz w:val="28"/>
          <w:szCs w:val="28"/>
        </w:rPr>
        <w:t>72%</w:t>
      </w:r>
      <w:r w:rsidRPr="00A41CE6">
        <w:rPr>
          <w:rFonts w:ascii="Times New Roman" w:eastAsia="仿宋" w:hAnsi="Times New Roman" w:hint="eastAsia"/>
          <w:color w:val="000000" w:themeColor="text1"/>
          <w:sz w:val="28"/>
          <w:szCs w:val="28"/>
        </w:rPr>
        <w:t>的要求。继续完善新建建筑施工环节的节能监管措施，避免设计变更或者不按设计施工导致节能率降低。探索建立企业为主体、金融保险机构参与的建筑节能工程施工质量保险制度。总结提炼规划、设计、施工、运行维护等环节共性关键技术，引领节能标准提升。</w:t>
      </w:r>
    </w:p>
    <w:p w:rsidR="005F5C78" w:rsidRPr="00A41CE6" w:rsidRDefault="005F5C78" w:rsidP="005F5C78">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2</w:t>
      </w:r>
      <w:r w:rsidRPr="00A41CE6">
        <w:rPr>
          <w:rFonts w:ascii="Times New Roman" w:eastAsia="仿宋" w:hAnsi="Times New Roman" w:hint="eastAsia"/>
          <w:i w:val="0"/>
          <w:color w:val="000000" w:themeColor="text1"/>
          <w:sz w:val="28"/>
          <w:szCs w:val="28"/>
        </w:rPr>
        <w:t>）加快推进超低能耗建筑发展</w:t>
      </w:r>
    </w:p>
    <w:p w:rsidR="005F5C78" w:rsidRPr="00A41CE6" w:rsidRDefault="005F5C78" w:rsidP="005F5C78">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积极落实《海南省超低能耗建筑技术导则（试行）》，促进适应海口地区应用特征的超低能耗建筑设计、施工技术、检测技术和评价技术的发展。积极推广引导应用自然通风、天然采光、遮阳隔热等具有热带气候特色的超低能耗低成本技术。落实国家发改委《绿色高效制冷行动方案》的要求，在公共建筑中推广应用绿色高效制冷产品。鼓励</w:t>
      </w:r>
      <w:r w:rsidRPr="00A41CE6">
        <w:rPr>
          <w:rFonts w:ascii="Times New Roman" w:eastAsia="仿宋" w:hAnsi="Times New Roman"/>
          <w:color w:val="000000" w:themeColor="text1"/>
          <w:sz w:val="28"/>
          <w:szCs w:val="28"/>
        </w:rPr>
        <w:t>机关办公建筑、大型公共建筑</w:t>
      </w:r>
      <w:r w:rsidRPr="00A41CE6">
        <w:rPr>
          <w:rFonts w:ascii="Times New Roman" w:eastAsia="仿宋" w:hAnsi="Times New Roman" w:hint="eastAsia"/>
          <w:color w:val="000000" w:themeColor="text1"/>
          <w:sz w:val="28"/>
          <w:szCs w:val="28"/>
        </w:rPr>
        <w:t>采用</w:t>
      </w:r>
      <w:r w:rsidRPr="00A41CE6">
        <w:rPr>
          <w:rFonts w:ascii="Times New Roman" w:eastAsia="仿宋" w:hAnsi="Times New Roman"/>
          <w:color w:val="000000" w:themeColor="text1"/>
          <w:sz w:val="28"/>
          <w:szCs w:val="28"/>
        </w:rPr>
        <w:t>被动式技术、高效用能系统、可再生能源供能等</w:t>
      </w:r>
      <w:r w:rsidRPr="00A41CE6">
        <w:rPr>
          <w:rFonts w:ascii="Times New Roman" w:eastAsia="仿宋" w:hAnsi="Times New Roman" w:hint="eastAsia"/>
          <w:color w:val="000000" w:themeColor="text1"/>
          <w:sz w:val="28"/>
          <w:szCs w:val="28"/>
        </w:rPr>
        <w:t>超低能耗</w:t>
      </w:r>
      <w:r w:rsidRPr="00A41CE6">
        <w:rPr>
          <w:rFonts w:ascii="Times New Roman" w:eastAsia="仿宋" w:hAnsi="Times New Roman"/>
          <w:color w:val="000000" w:themeColor="text1"/>
          <w:sz w:val="28"/>
          <w:szCs w:val="28"/>
        </w:rPr>
        <w:t>技术，达到超低能耗建筑水平</w:t>
      </w:r>
      <w:r w:rsidRPr="00A41CE6">
        <w:rPr>
          <w:rFonts w:ascii="Times New Roman" w:eastAsia="仿宋" w:hAnsi="Times New Roman" w:hint="eastAsia"/>
          <w:color w:val="000000" w:themeColor="text1"/>
          <w:sz w:val="28"/>
          <w:szCs w:val="28"/>
        </w:rPr>
        <w:t>，形成</w:t>
      </w:r>
      <w:r w:rsidRPr="00A41CE6">
        <w:rPr>
          <w:rFonts w:ascii="Times New Roman" w:eastAsia="仿宋" w:hAnsi="Times New Roman"/>
          <w:color w:val="000000" w:themeColor="text1"/>
          <w:sz w:val="28"/>
          <w:szCs w:val="28"/>
        </w:rPr>
        <w:t>试点示范。</w:t>
      </w:r>
    </w:p>
    <w:p w:rsidR="005F5C78" w:rsidRPr="00A41CE6" w:rsidRDefault="005F5C78" w:rsidP="005F5C78">
      <w:pPr>
        <w:pStyle w:val="3"/>
        <w:spacing w:before="0" w:after="200" w:line="360" w:lineRule="auto"/>
        <w:ind w:firstLineChars="200" w:firstLine="600"/>
        <w:rPr>
          <w:rFonts w:ascii="Times New Roman" w:eastAsia="黑体" w:hAnsi="Times New Roman"/>
          <w:b w:val="0"/>
          <w:color w:val="000000" w:themeColor="text1"/>
          <w:sz w:val="30"/>
          <w:szCs w:val="30"/>
        </w:rPr>
      </w:pPr>
      <w:r w:rsidRPr="00A41CE6">
        <w:rPr>
          <w:rFonts w:ascii="Times New Roman" w:eastAsia="黑体" w:hAnsi="Times New Roman" w:hint="eastAsia"/>
          <w:b w:val="0"/>
          <w:color w:val="000000" w:themeColor="text1"/>
          <w:sz w:val="30"/>
          <w:szCs w:val="30"/>
        </w:rPr>
        <w:t xml:space="preserve">3. </w:t>
      </w:r>
      <w:r w:rsidRPr="00A41CE6">
        <w:rPr>
          <w:rFonts w:ascii="Times New Roman" w:eastAsia="黑体" w:hAnsi="Times New Roman" w:hint="eastAsia"/>
          <w:b w:val="0"/>
          <w:color w:val="000000" w:themeColor="text1"/>
          <w:sz w:val="30"/>
          <w:szCs w:val="30"/>
        </w:rPr>
        <w:t>强化既有建筑改造与功能提升</w:t>
      </w:r>
    </w:p>
    <w:p w:rsidR="005F5C78" w:rsidRPr="00A41CE6" w:rsidRDefault="005F5C78" w:rsidP="005F5C78">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1</w:t>
      </w:r>
      <w:r w:rsidRPr="00A41CE6">
        <w:rPr>
          <w:rFonts w:ascii="Times New Roman" w:eastAsia="仿宋" w:hAnsi="Times New Roman" w:hint="eastAsia"/>
          <w:i w:val="0"/>
          <w:color w:val="000000" w:themeColor="text1"/>
          <w:sz w:val="28"/>
          <w:szCs w:val="28"/>
        </w:rPr>
        <w:t>）推进既有建筑改造</w:t>
      </w:r>
    </w:p>
    <w:p w:rsidR="005F5C78" w:rsidRPr="00A41CE6" w:rsidRDefault="005F5C78" w:rsidP="005F5C78">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推进既有居住建筑绿色改造与城市更新、老旧小区改造、海绵城市建设等工作有机结合。</w:t>
      </w:r>
      <w:r w:rsidRPr="00A41CE6">
        <w:rPr>
          <w:rFonts w:ascii="Times New Roman" w:eastAsia="仿宋" w:hAnsi="Times New Roman"/>
          <w:color w:val="000000" w:themeColor="text1"/>
          <w:sz w:val="28"/>
          <w:szCs w:val="28"/>
        </w:rPr>
        <w:t>全覆盖实施涉及居民安全和基本生活需要的基础类改造，结合居民出资意愿和小区条件</w:t>
      </w:r>
      <w:r w:rsidRPr="00A41CE6">
        <w:rPr>
          <w:rFonts w:ascii="Times New Roman" w:eastAsia="仿宋" w:hAnsi="Times New Roman" w:hint="eastAsia"/>
          <w:color w:val="000000" w:themeColor="text1"/>
          <w:sz w:val="28"/>
          <w:szCs w:val="28"/>
        </w:rPr>
        <w:t>，</w:t>
      </w:r>
      <w:r w:rsidRPr="00A41CE6">
        <w:rPr>
          <w:rFonts w:ascii="Times New Roman" w:eastAsia="仿宋" w:hAnsi="Times New Roman"/>
          <w:color w:val="000000" w:themeColor="text1"/>
          <w:sz w:val="28"/>
          <w:szCs w:val="28"/>
        </w:rPr>
        <w:t>积极开展加装电梯，配套建设适老设施</w:t>
      </w:r>
      <w:r w:rsidRPr="00A41CE6">
        <w:rPr>
          <w:rFonts w:ascii="Times New Roman" w:eastAsia="仿宋" w:hAnsi="Times New Roman" w:hint="eastAsia"/>
          <w:color w:val="000000" w:themeColor="text1"/>
          <w:sz w:val="28"/>
          <w:szCs w:val="28"/>
        </w:rPr>
        <w:t>、</w:t>
      </w:r>
      <w:r w:rsidRPr="00A41CE6">
        <w:rPr>
          <w:rFonts w:ascii="Times New Roman" w:eastAsia="仿宋" w:hAnsi="Times New Roman"/>
          <w:color w:val="000000" w:themeColor="text1"/>
          <w:sz w:val="28"/>
          <w:szCs w:val="28"/>
        </w:rPr>
        <w:t>无障碍设施、电动自行车及汽车充电设施等，完善</w:t>
      </w:r>
      <w:r w:rsidRPr="00A41CE6">
        <w:rPr>
          <w:rFonts w:ascii="Times New Roman" w:eastAsia="仿宋" w:hAnsi="Times New Roman"/>
          <w:color w:val="000000" w:themeColor="text1"/>
          <w:sz w:val="28"/>
          <w:szCs w:val="28"/>
        </w:rPr>
        <w:lastRenderedPageBreak/>
        <w:t>综合服务设施的建设，对小区建筑进行节能改造。分类实施老旧住房改造</w:t>
      </w:r>
      <w:r w:rsidRPr="00A41CE6">
        <w:rPr>
          <w:rFonts w:ascii="Times New Roman" w:eastAsia="仿宋" w:hAnsi="Times New Roman" w:hint="eastAsia"/>
          <w:color w:val="000000" w:themeColor="text1"/>
          <w:sz w:val="28"/>
          <w:szCs w:val="28"/>
        </w:rPr>
        <w:t>，</w:t>
      </w:r>
      <w:r w:rsidRPr="00A41CE6">
        <w:rPr>
          <w:rFonts w:ascii="Times New Roman" w:eastAsia="仿宋" w:hAnsi="Times New Roman"/>
          <w:color w:val="000000" w:themeColor="text1"/>
          <w:sz w:val="28"/>
          <w:szCs w:val="28"/>
        </w:rPr>
        <w:t>对于独幢非成片的老旧住房</w:t>
      </w:r>
      <w:r w:rsidRPr="00A41CE6">
        <w:rPr>
          <w:rFonts w:ascii="Times New Roman" w:eastAsia="仿宋" w:hAnsi="Times New Roman" w:hint="eastAsia"/>
          <w:color w:val="000000" w:themeColor="text1"/>
          <w:sz w:val="28"/>
          <w:szCs w:val="28"/>
        </w:rPr>
        <w:t>，</w:t>
      </w:r>
      <w:r w:rsidRPr="00A41CE6">
        <w:rPr>
          <w:rFonts w:ascii="Times New Roman" w:eastAsia="仿宋" w:hAnsi="Times New Roman"/>
          <w:color w:val="000000" w:themeColor="text1"/>
          <w:sz w:val="28"/>
          <w:szCs w:val="28"/>
        </w:rPr>
        <w:t>明确分类</w:t>
      </w:r>
      <w:r w:rsidRPr="00A41CE6">
        <w:rPr>
          <w:rFonts w:ascii="Times New Roman" w:eastAsia="仿宋" w:hAnsi="Times New Roman" w:hint="eastAsia"/>
          <w:color w:val="000000" w:themeColor="text1"/>
          <w:sz w:val="28"/>
          <w:szCs w:val="28"/>
        </w:rPr>
        <w:t>，</w:t>
      </w:r>
      <w:r w:rsidRPr="00A41CE6">
        <w:rPr>
          <w:rFonts w:ascii="Times New Roman" w:eastAsia="仿宋" w:hAnsi="Times New Roman"/>
          <w:color w:val="000000" w:themeColor="text1"/>
          <w:sz w:val="28"/>
          <w:szCs w:val="28"/>
        </w:rPr>
        <w:t>根据实际情况采取保护、提升、重建等各有侧重的措施进行更新。着力开展美好环境与幸福生活共同缔造活动，推进</w:t>
      </w:r>
      <w:r w:rsidRPr="00A41CE6">
        <w:rPr>
          <w:rFonts w:ascii="Times New Roman" w:eastAsia="仿宋" w:hAnsi="Times New Roman"/>
          <w:color w:val="000000" w:themeColor="text1"/>
          <w:sz w:val="28"/>
          <w:szCs w:val="28"/>
        </w:rPr>
        <w:t>“</w:t>
      </w:r>
      <w:r w:rsidRPr="00A41CE6">
        <w:rPr>
          <w:rFonts w:ascii="Times New Roman" w:eastAsia="仿宋" w:hAnsi="Times New Roman" w:hint="eastAsia"/>
          <w:color w:val="000000" w:themeColor="text1"/>
          <w:sz w:val="28"/>
          <w:szCs w:val="28"/>
        </w:rPr>
        <w:t>完整社区”建设。</w:t>
      </w:r>
    </w:p>
    <w:p w:rsidR="005F5C78" w:rsidRPr="00A41CE6" w:rsidRDefault="005F5C78" w:rsidP="005F5C78">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2</w:t>
      </w: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i w:val="0"/>
          <w:color w:val="000000" w:themeColor="text1"/>
          <w:sz w:val="28"/>
          <w:szCs w:val="28"/>
        </w:rPr>
        <w:t>扩大公共建筑节能绿色改造示范</w:t>
      </w:r>
    </w:p>
    <w:p w:rsidR="005F5C78" w:rsidRPr="00A41CE6" w:rsidRDefault="005F5C78" w:rsidP="005F5C78">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color w:val="000000" w:themeColor="text1"/>
          <w:sz w:val="28"/>
          <w:szCs w:val="28"/>
        </w:rPr>
        <w:t>进一步扩大既有建筑节能绿色改造范围，尤其是深入开展大型公共建筑节能监管和高耗能建筑节能改造工作。</w:t>
      </w:r>
      <w:r w:rsidRPr="00A41CE6">
        <w:rPr>
          <w:rFonts w:ascii="Times New Roman" w:eastAsia="仿宋" w:hAnsi="Times New Roman" w:hint="eastAsia"/>
          <w:color w:val="000000" w:themeColor="text1"/>
          <w:sz w:val="28"/>
          <w:szCs w:val="28"/>
        </w:rPr>
        <w:t>完善政府引导工作机制，扩大能耗普查覆盖范围，全面掌握公共建筑用能情况。</w:t>
      </w:r>
      <w:r w:rsidRPr="00A41CE6">
        <w:rPr>
          <w:rFonts w:ascii="Times New Roman" w:eastAsia="仿宋" w:hAnsi="Times New Roman"/>
          <w:color w:val="000000" w:themeColor="text1"/>
          <w:sz w:val="28"/>
          <w:szCs w:val="28"/>
        </w:rPr>
        <w:t>多部门通力协作，逐步探索和形成规范的既有建筑改造机制，以建筑门窗、遮阳、自然通风等为重点，因地制宜地探索适合</w:t>
      </w:r>
      <w:r w:rsidRPr="00A41CE6">
        <w:rPr>
          <w:rFonts w:ascii="Times New Roman" w:eastAsia="仿宋" w:hAnsi="Times New Roman" w:hint="eastAsia"/>
          <w:color w:val="000000" w:themeColor="text1"/>
          <w:sz w:val="28"/>
          <w:szCs w:val="28"/>
        </w:rPr>
        <w:t>海口</w:t>
      </w:r>
      <w:r w:rsidRPr="00A41CE6">
        <w:rPr>
          <w:rFonts w:ascii="Times New Roman" w:eastAsia="仿宋" w:hAnsi="Times New Roman"/>
          <w:color w:val="000000" w:themeColor="text1"/>
          <w:sz w:val="28"/>
          <w:szCs w:val="28"/>
        </w:rPr>
        <w:t>气候特征和不同建筑类型的改造技术路线和技术政策。</w:t>
      </w:r>
      <w:r w:rsidRPr="00A41CE6">
        <w:rPr>
          <w:rFonts w:ascii="Times New Roman" w:eastAsia="仿宋" w:hAnsi="Times New Roman" w:hint="eastAsia"/>
          <w:color w:val="000000" w:themeColor="text1"/>
          <w:sz w:val="28"/>
          <w:szCs w:val="28"/>
        </w:rPr>
        <w:t>推动建立公共建筑运行调适技术，鼓励公共建筑可再生能源应用和再生水利用，推广一批能源管理、节水管理优秀改造项目。</w:t>
      </w:r>
    </w:p>
    <w:p w:rsidR="005F5C78" w:rsidRPr="00A41CE6" w:rsidRDefault="005F5C78" w:rsidP="005F5C78">
      <w:pPr>
        <w:pStyle w:val="3"/>
        <w:spacing w:before="0" w:after="200" w:line="360" w:lineRule="auto"/>
        <w:ind w:firstLineChars="200" w:firstLine="600"/>
        <w:rPr>
          <w:rFonts w:ascii="Times New Roman" w:eastAsia="黑体" w:hAnsi="Times New Roman"/>
          <w:b w:val="0"/>
          <w:color w:val="000000" w:themeColor="text1"/>
          <w:sz w:val="30"/>
          <w:szCs w:val="30"/>
        </w:rPr>
      </w:pPr>
      <w:r w:rsidRPr="00A41CE6">
        <w:rPr>
          <w:rFonts w:ascii="Times New Roman" w:eastAsia="黑体" w:hAnsi="Times New Roman"/>
          <w:b w:val="0"/>
          <w:color w:val="000000" w:themeColor="text1"/>
          <w:sz w:val="30"/>
          <w:szCs w:val="30"/>
        </w:rPr>
        <w:t xml:space="preserve">4. </w:t>
      </w:r>
      <w:r w:rsidRPr="00A41CE6">
        <w:rPr>
          <w:rFonts w:ascii="Times New Roman" w:eastAsia="黑体" w:hAnsi="Times New Roman" w:hint="eastAsia"/>
          <w:b w:val="0"/>
          <w:color w:val="000000" w:themeColor="text1"/>
          <w:sz w:val="30"/>
          <w:szCs w:val="30"/>
        </w:rPr>
        <w:t>加强公共建筑用能监管</w:t>
      </w:r>
    </w:p>
    <w:p w:rsidR="005F5C78" w:rsidRPr="00A41CE6" w:rsidRDefault="005F5C78" w:rsidP="005F5C78">
      <w:pPr>
        <w:pStyle w:val="4"/>
        <w:spacing w:before="0" w:after="200" w:line="360" w:lineRule="auto"/>
        <w:ind w:firstLineChars="200" w:firstLine="562"/>
        <w:rPr>
          <w:rFonts w:ascii="Times New Roman" w:eastAsia="仿宋" w:hAnsi="Times New Roman"/>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i w:val="0"/>
          <w:color w:val="000000" w:themeColor="text1"/>
          <w:sz w:val="28"/>
          <w:szCs w:val="28"/>
        </w:rPr>
        <w:t>1</w:t>
      </w:r>
      <w:r w:rsidRPr="00A41CE6">
        <w:rPr>
          <w:rFonts w:ascii="Times New Roman" w:eastAsia="仿宋" w:hAnsi="Times New Roman" w:hint="eastAsia"/>
          <w:i w:val="0"/>
          <w:color w:val="000000" w:themeColor="text1"/>
          <w:sz w:val="28"/>
          <w:szCs w:val="28"/>
        </w:rPr>
        <w:t>）继续开展民用建筑能耗统计</w:t>
      </w:r>
    </w:p>
    <w:p w:rsidR="005F5C78" w:rsidRPr="00A41CE6" w:rsidRDefault="005F5C78" w:rsidP="005F5C78">
      <w:pPr>
        <w:adjustRightInd w:val="0"/>
        <w:snapToGrid w:val="0"/>
        <w:spacing w:after="0" w:line="360" w:lineRule="auto"/>
        <w:ind w:firstLineChars="200" w:firstLine="560"/>
        <w:jc w:val="both"/>
        <w:rPr>
          <w:rFonts w:ascii="Times New Roman" w:eastAsia="仿宋" w:hAnsi="Times New Roman" w:cs="Times New Roman"/>
          <w:color w:val="000000"/>
          <w:sz w:val="28"/>
          <w:szCs w:val="28"/>
        </w:rPr>
      </w:pPr>
      <w:r w:rsidRPr="00A41CE6">
        <w:rPr>
          <w:rFonts w:ascii="Times New Roman" w:eastAsia="仿宋" w:hAnsi="Times New Roman" w:cs="Times New Roman" w:hint="eastAsia"/>
          <w:color w:val="000000"/>
          <w:sz w:val="28"/>
          <w:szCs w:val="28"/>
        </w:rPr>
        <w:t>建立和完善能效测评、能耗统计、能源审计、能效公示、能耗限额等各项制度。</w:t>
      </w:r>
      <w:r w:rsidRPr="00A41CE6">
        <w:rPr>
          <w:rFonts w:ascii="Times New Roman" w:eastAsia="仿宋" w:hAnsi="Times New Roman" w:cs="Times New Roman"/>
          <w:color w:val="000000"/>
          <w:sz w:val="28"/>
          <w:szCs w:val="28"/>
        </w:rPr>
        <w:t>建立重点用能建筑名录，推进建筑能源审计，开展公共建筑能耗披露工作，发挥公共机构节能的示范引领作用，促进重点用能建筑能耗水平</w:t>
      </w:r>
      <w:r w:rsidRPr="00A41CE6">
        <w:rPr>
          <w:rFonts w:ascii="Times New Roman" w:eastAsia="仿宋" w:hAnsi="Times New Roman" w:cs="Times New Roman" w:hint="eastAsia"/>
          <w:color w:val="000000"/>
          <w:sz w:val="28"/>
          <w:szCs w:val="28"/>
        </w:rPr>
        <w:t>实现</w:t>
      </w:r>
      <w:r w:rsidRPr="00A41CE6">
        <w:rPr>
          <w:rFonts w:ascii="Times New Roman" w:eastAsia="仿宋" w:hAnsi="Times New Roman" w:cs="Times New Roman"/>
          <w:color w:val="000000"/>
          <w:sz w:val="28"/>
          <w:szCs w:val="28"/>
        </w:rPr>
        <w:t>逐年下降</w:t>
      </w:r>
      <w:r w:rsidRPr="00A41CE6">
        <w:rPr>
          <w:rFonts w:ascii="Times New Roman" w:eastAsia="仿宋" w:hAnsi="Times New Roman" w:cs="Times New Roman" w:hint="eastAsia"/>
          <w:color w:val="000000"/>
          <w:sz w:val="28"/>
          <w:szCs w:val="28"/>
        </w:rPr>
        <w:t>目标</w:t>
      </w:r>
      <w:r w:rsidRPr="00A41CE6">
        <w:rPr>
          <w:rFonts w:ascii="Times New Roman" w:eastAsia="仿宋" w:hAnsi="Times New Roman" w:cs="Times New Roman"/>
          <w:color w:val="000000"/>
          <w:sz w:val="28"/>
          <w:szCs w:val="28"/>
        </w:rPr>
        <w:t>。</w:t>
      </w:r>
      <w:r w:rsidRPr="00A41CE6">
        <w:rPr>
          <w:rFonts w:ascii="Times New Roman" w:eastAsia="仿宋" w:hAnsi="Times New Roman" w:cs="Times New Roman" w:hint="eastAsia"/>
          <w:color w:val="000000"/>
          <w:sz w:val="28"/>
          <w:szCs w:val="28"/>
        </w:rPr>
        <w:t>灵活采用政府投资、合同能源管理等建设模式，提高节能减排效益。</w:t>
      </w:r>
    </w:p>
    <w:p w:rsidR="005F5C78" w:rsidRPr="00A41CE6" w:rsidRDefault="005F5C78" w:rsidP="005F5C78">
      <w:pPr>
        <w:pStyle w:val="4"/>
        <w:spacing w:before="0" w:after="200" w:line="360" w:lineRule="auto"/>
        <w:ind w:firstLineChars="200" w:firstLine="562"/>
        <w:rPr>
          <w:rFonts w:ascii="Times New Roman" w:eastAsia="仿宋" w:hAnsi="Times New Roman"/>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i w:val="0"/>
          <w:color w:val="000000" w:themeColor="text1"/>
          <w:sz w:val="28"/>
          <w:szCs w:val="28"/>
        </w:rPr>
        <w:t>2</w:t>
      </w:r>
      <w:r w:rsidRPr="00A41CE6">
        <w:rPr>
          <w:rFonts w:ascii="Times New Roman" w:eastAsia="仿宋" w:hAnsi="Times New Roman" w:hint="eastAsia"/>
          <w:i w:val="0"/>
          <w:color w:val="000000" w:themeColor="text1"/>
          <w:sz w:val="28"/>
          <w:szCs w:val="28"/>
        </w:rPr>
        <w:t>）持续加强数字化能源监控</w:t>
      </w:r>
    </w:p>
    <w:p w:rsidR="005F5C78" w:rsidRPr="00A41CE6" w:rsidRDefault="005F5C78" w:rsidP="005F5C78">
      <w:pPr>
        <w:adjustRightInd w:val="0"/>
        <w:snapToGrid w:val="0"/>
        <w:spacing w:after="0" w:line="360" w:lineRule="auto"/>
        <w:ind w:firstLineChars="200" w:firstLine="560"/>
        <w:jc w:val="both"/>
        <w:rPr>
          <w:rFonts w:ascii="Times New Roman" w:eastAsia="仿宋" w:hAnsi="Times New Roman" w:cs="Times New Roman"/>
          <w:color w:val="000000"/>
          <w:sz w:val="28"/>
          <w:szCs w:val="28"/>
        </w:rPr>
      </w:pPr>
      <w:r w:rsidRPr="00A41CE6">
        <w:rPr>
          <w:rFonts w:ascii="Times New Roman" w:eastAsia="仿宋" w:hAnsi="Times New Roman" w:cs="Times New Roman" w:hint="eastAsia"/>
          <w:color w:val="000000"/>
          <w:sz w:val="28"/>
          <w:szCs w:val="28"/>
        </w:rPr>
        <w:t>继续推动国家机关办公建筑、国有资金参与投资建设的其他公共建筑、社会投资的大型公共建筑，以及既有公共建筑进行节能改造的</w:t>
      </w:r>
      <w:r w:rsidRPr="00A41CE6">
        <w:rPr>
          <w:rFonts w:ascii="Times New Roman" w:eastAsia="仿宋" w:hAnsi="Times New Roman" w:cs="Times New Roman" w:hint="eastAsia"/>
          <w:color w:val="000000"/>
          <w:sz w:val="28"/>
          <w:szCs w:val="28"/>
        </w:rPr>
        <w:lastRenderedPageBreak/>
        <w:t>项目安装建筑用能分项计量装置，与</w:t>
      </w:r>
      <w:r w:rsidRPr="00A41CE6">
        <w:rPr>
          <w:rFonts w:ascii="Times New Roman" w:eastAsia="仿宋" w:hAnsi="Times New Roman" w:cs="Times New Roman"/>
          <w:color w:val="000000"/>
          <w:sz w:val="28"/>
          <w:szCs w:val="28"/>
        </w:rPr>
        <w:t>海南省公共建筑能耗监测平台</w:t>
      </w:r>
      <w:r w:rsidRPr="00A41CE6">
        <w:rPr>
          <w:rFonts w:ascii="Times New Roman" w:eastAsia="仿宋" w:hAnsi="Times New Roman" w:cs="Times New Roman" w:hint="eastAsia"/>
          <w:color w:val="000000"/>
          <w:sz w:val="28"/>
          <w:szCs w:val="28"/>
        </w:rPr>
        <w:t>实施联网，确保建筑能耗数据稳定上传至平台。</w:t>
      </w:r>
    </w:p>
    <w:p w:rsidR="005F5C78" w:rsidRPr="00A41CE6" w:rsidRDefault="005F5C78" w:rsidP="005F5C78">
      <w:pPr>
        <w:pStyle w:val="3"/>
        <w:spacing w:before="0" w:after="200" w:line="360" w:lineRule="auto"/>
        <w:ind w:firstLineChars="200" w:firstLine="600"/>
        <w:rPr>
          <w:rFonts w:ascii="Times New Roman" w:eastAsia="黑体" w:hAnsi="Times New Roman"/>
          <w:b w:val="0"/>
          <w:color w:val="000000" w:themeColor="text1"/>
          <w:sz w:val="30"/>
          <w:szCs w:val="30"/>
        </w:rPr>
      </w:pPr>
      <w:r w:rsidRPr="00A41CE6">
        <w:rPr>
          <w:rFonts w:ascii="Times New Roman" w:eastAsia="黑体" w:hAnsi="Times New Roman" w:hint="eastAsia"/>
          <w:b w:val="0"/>
          <w:color w:val="000000" w:themeColor="text1"/>
          <w:sz w:val="30"/>
          <w:szCs w:val="30"/>
        </w:rPr>
        <w:t xml:space="preserve">5. </w:t>
      </w:r>
      <w:r w:rsidRPr="00A41CE6">
        <w:rPr>
          <w:rFonts w:ascii="Times New Roman" w:eastAsia="黑体" w:hAnsi="Times New Roman" w:hint="eastAsia"/>
          <w:b w:val="0"/>
          <w:color w:val="000000" w:themeColor="text1"/>
          <w:sz w:val="30"/>
          <w:szCs w:val="30"/>
        </w:rPr>
        <w:t>开展碳达峰碳中和研究及工程示范</w:t>
      </w:r>
    </w:p>
    <w:p w:rsidR="005F5C78" w:rsidRPr="00A41CE6" w:rsidRDefault="005F5C78" w:rsidP="005F5C78">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研究制定我市面向</w:t>
      </w:r>
      <w:r w:rsidRPr="00A41CE6">
        <w:rPr>
          <w:rFonts w:ascii="Times New Roman" w:eastAsia="仿宋" w:hAnsi="Times New Roman" w:hint="eastAsia"/>
          <w:color w:val="000000" w:themeColor="text1"/>
          <w:sz w:val="28"/>
          <w:szCs w:val="28"/>
        </w:rPr>
        <w:t>2030</w:t>
      </w:r>
      <w:r w:rsidRPr="00A41CE6">
        <w:rPr>
          <w:rFonts w:ascii="Times New Roman" w:eastAsia="仿宋" w:hAnsi="Times New Roman" w:hint="eastAsia"/>
          <w:color w:val="000000" w:themeColor="text1"/>
          <w:sz w:val="28"/>
          <w:szCs w:val="28"/>
        </w:rPr>
        <w:t>年、</w:t>
      </w:r>
      <w:r w:rsidRPr="00A41CE6">
        <w:rPr>
          <w:rFonts w:ascii="Times New Roman" w:eastAsia="仿宋" w:hAnsi="Times New Roman" w:hint="eastAsia"/>
          <w:color w:val="000000" w:themeColor="text1"/>
          <w:sz w:val="28"/>
          <w:szCs w:val="28"/>
        </w:rPr>
        <w:t>2060</w:t>
      </w:r>
      <w:r w:rsidRPr="00A41CE6">
        <w:rPr>
          <w:rFonts w:ascii="Times New Roman" w:eastAsia="仿宋" w:hAnsi="Times New Roman" w:hint="eastAsia"/>
          <w:color w:val="000000" w:themeColor="text1"/>
          <w:sz w:val="28"/>
          <w:szCs w:val="28"/>
        </w:rPr>
        <w:t>年的建筑行业碳达峰及碳中和发展路线图，并与年度计划、五年规划等做好衔接。鼓励在海口市重点建设项目中或者江东新区选取典型项目进行</w:t>
      </w:r>
      <w:r w:rsidRPr="00A41CE6">
        <w:rPr>
          <w:rFonts w:ascii="Times New Roman" w:eastAsia="仿宋" w:hAnsi="Times New Roman"/>
          <w:color w:val="000000" w:themeColor="text1"/>
          <w:sz w:val="28"/>
          <w:szCs w:val="28"/>
        </w:rPr>
        <w:t>近零能耗建筑、零能耗建筑</w:t>
      </w:r>
      <w:r w:rsidRPr="00A41CE6">
        <w:rPr>
          <w:rFonts w:ascii="Times New Roman" w:eastAsia="仿宋" w:hAnsi="Times New Roman" w:hint="eastAsia"/>
          <w:color w:val="000000" w:themeColor="text1"/>
          <w:sz w:val="28"/>
          <w:szCs w:val="28"/>
        </w:rPr>
        <w:t>、零碳建筑实践。针对</w:t>
      </w:r>
      <w:r w:rsidRPr="00A41CE6">
        <w:rPr>
          <w:rFonts w:ascii="Times New Roman" w:eastAsia="仿宋" w:hAnsi="Times New Roman"/>
          <w:color w:val="000000" w:themeColor="text1"/>
          <w:sz w:val="28"/>
          <w:szCs w:val="28"/>
        </w:rPr>
        <w:t>示范项目</w:t>
      </w:r>
      <w:r w:rsidRPr="00A41CE6">
        <w:rPr>
          <w:rFonts w:ascii="Times New Roman" w:eastAsia="仿宋" w:hAnsi="Times New Roman" w:hint="eastAsia"/>
          <w:color w:val="000000" w:themeColor="text1"/>
          <w:sz w:val="28"/>
          <w:szCs w:val="28"/>
        </w:rPr>
        <w:t>建设</w:t>
      </w:r>
      <w:r w:rsidRPr="00A41CE6">
        <w:rPr>
          <w:rFonts w:ascii="Times New Roman" w:eastAsia="仿宋" w:hAnsi="Times New Roman"/>
          <w:color w:val="000000" w:themeColor="text1"/>
          <w:sz w:val="28"/>
          <w:szCs w:val="28"/>
        </w:rPr>
        <w:t>和管理，</w:t>
      </w:r>
      <w:r w:rsidRPr="00A41CE6">
        <w:rPr>
          <w:rFonts w:ascii="Times New Roman" w:eastAsia="仿宋" w:hAnsi="Times New Roman" w:hint="eastAsia"/>
          <w:color w:val="000000" w:themeColor="text1"/>
          <w:sz w:val="28"/>
          <w:szCs w:val="28"/>
        </w:rPr>
        <w:t>完善</w:t>
      </w:r>
      <w:r w:rsidRPr="00A41CE6">
        <w:rPr>
          <w:rFonts w:ascii="Times New Roman" w:eastAsia="仿宋" w:hAnsi="Times New Roman"/>
          <w:color w:val="000000" w:themeColor="text1"/>
          <w:sz w:val="28"/>
          <w:szCs w:val="28"/>
        </w:rPr>
        <w:t>激励政策等相配套的保障工作。</w:t>
      </w:r>
      <w:r w:rsidRPr="00A41CE6">
        <w:rPr>
          <w:rFonts w:ascii="Times New Roman" w:eastAsia="仿宋" w:hAnsi="Times New Roman" w:hint="eastAsia"/>
          <w:color w:val="000000" w:themeColor="text1"/>
          <w:sz w:val="28"/>
          <w:szCs w:val="28"/>
        </w:rPr>
        <w:t>完善建筑规划、设计、建设、运行、改造过程中碳排放控制标准、技术及产业支撑体系，推动建筑行业低碳发展的制度创新、技术创新和工程创新。研究建筑活动碳排放清单编制方法，探索实施建筑碳排放评价标识制度。</w:t>
      </w:r>
    </w:p>
    <w:bookmarkEnd w:id="39"/>
    <w:p w:rsidR="005A1264" w:rsidRPr="00A41CE6" w:rsidRDefault="005C591D">
      <w:pPr>
        <w:rPr>
          <w:rFonts w:ascii="Times New Roman" w:eastAsia="黑体" w:hAnsi="Times New Roman"/>
          <w:color w:val="000000" w:themeColor="text1"/>
          <w:sz w:val="32"/>
          <w:szCs w:val="32"/>
        </w:rPr>
      </w:pPr>
      <w:r w:rsidRPr="00A41CE6">
        <w:rPr>
          <w:rFonts w:ascii="Times New Roman" w:eastAsia="黑体" w:hAnsi="Times New Roman"/>
          <w:color w:val="000000" w:themeColor="text1"/>
          <w:sz w:val="32"/>
          <w:szCs w:val="32"/>
        </w:rPr>
        <w:br w:type="page"/>
      </w:r>
    </w:p>
    <w:p w:rsidR="005A1264" w:rsidRPr="00A41CE6" w:rsidRDefault="005C591D">
      <w:pPr>
        <w:adjustRightInd w:val="0"/>
        <w:snapToGrid w:val="0"/>
        <w:spacing w:line="360" w:lineRule="auto"/>
        <w:ind w:firstLineChars="200" w:firstLine="640"/>
        <w:jc w:val="both"/>
        <w:outlineLvl w:val="1"/>
        <w:rPr>
          <w:rFonts w:ascii="Times New Roman" w:eastAsia="黑体" w:hAnsi="Times New Roman"/>
          <w:color w:val="000000" w:themeColor="text1"/>
          <w:sz w:val="32"/>
          <w:szCs w:val="32"/>
        </w:rPr>
      </w:pPr>
      <w:bookmarkStart w:id="40" w:name="_Toc136877100"/>
      <w:r w:rsidRPr="00A41CE6">
        <w:rPr>
          <w:rFonts w:ascii="Times New Roman" w:eastAsia="黑体" w:hAnsi="Times New Roman" w:hint="eastAsia"/>
          <w:color w:val="000000" w:themeColor="text1"/>
          <w:sz w:val="32"/>
          <w:szCs w:val="32"/>
        </w:rPr>
        <w:lastRenderedPageBreak/>
        <w:t>（二）开展绿色建筑量质齐升行动</w:t>
      </w:r>
      <w:bookmarkEnd w:id="40"/>
    </w:p>
    <w:p w:rsidR="0032519A" w:rsidRPr="00A41CE6" w:rsidRDefault="0032519A" w:rsidP="0032519A">
      <w:pPr>
        <w:pStyle w:val="4"/>
        <w:spacing w:before="0" w:after="200" w:line="360" w:lineRule="auto"/>
        <w:ind w:firstLineChars="200" w:firstLine="562"/>
        <w:rPr>
          <w:rFonts w:ascii="Times New Roman" w:eastAsia="仿宋" w:hAnsi="Times New Roman"/>
          <w:i w:val="0"/>
          <w:color w:val="000000" w:themeColor="text1"/>
          <w:sz w:val="28"/>
          <w:szCs w:val="28"/>
        </w:rPr>
      </w:pPr>
      <w:bookmarkStart w:id="41" w:name="_Toc136877101"/>
      <w:bookmarkStart w:id="42" w:name="_Toc90905113"/>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1</w:t>
      </w:r>
      <w:r w:rsidRPr="00A41CE6">
        <w:rPr>
          <w:rFonts w:ascii="Times New Roman" w:eastAsia="仿宋" w:hAnsi="Times New Roman" w:hint="eastAsia"/>
          <w:i w:val="0"/>
          <w:color w:val="000000" w:themeColor="text1"/>
          <w:sz w:val="28"/>
          <w:szCs w:val="28"/>
        </w:rPr>
        <w:t>）</w:t>
      </w:r>
      <w:bookmarkStart w:id="43" w:name="_Hlk139482117"/>
      <w:r w:rsidRPr="00A41CE6">
        <w:rPr>
          <w:rFonts w:ascii="Times New Roman" w:eastAsia="仿宋" w:hAnsi="Times New Roman" w:hint="eastAsia"/>
          <w:i w:val="0"/>
          <w:color w:val="000000" w:themeColor="text1"/>
          <w:sz w:val="28"/>
          <w:szCs w:val="28"/>
        </w:rPr>
        <w:t>全面实施绿色建筑标准</w:t>
      </w:r>
      <w:bookmarkEnd w:id="43"/>
    </w:p>
    <w:p w:rsidR="0032519A" w:rsidRPr="00A41CE6" w:rsidRDefault="0032519A" w:rsidP="0032519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推动海口市新建民用建筑按照绿色建筑基本级及以上的标准建设，新建工业建筑按照现行《海南省绿色工业建筑设计技术导则》等标准建设。提升星级绿色建筑的占比，推动国有资本和</w:t>
      </w:r>
      <w:r w:rsidRPr="00A41CE6">
        <w:rPr>
          <w:rFonts w:ascii="Times New Roman" w:eastAsia="仿宋" w:hAnsi="Times New Roman"/>
          <w:color w:val="000000" w:themeColor="text1"/>
          <w:sz w:val="28"/>
          <w:szCs w:val="28"/>
        </w:rPr>
        <w:t>政府</w:t>
      </w:r>
      <w:r w:rsidRPr="00A41CE6">
        <w:rPr>
          <w:rFonts w:ascii="Times New Roman" w:eastAsia="仿宋" w:hAnsi="Times New Roman" w:hint="eastAsia"/>
          <w:color w:val="000000" w:themeColor="text1"/>
          <w:sz w:val="28"/>
          <w:szCs w:val="28"/>
        </w:rPr>
        <w:t>投资的单体建筑面积</w:t>
      </w:r>
      <w:r w:rsidRPr="00A41CE6">
        <w:rPr>
          <w:rFonts w:ascii="Times New Roman" w:eastAsia="仿宋" w:hAnsi="Times New Roman" w:hint="eastAsia"/>
          <w:color w:val="000000" w:themeColor="text1"/>
          <w:sz w:val="28"/>
          <w:szCs w:val="28"/>
        </w:rPr>
        <w:t>2</w:t>
      </w:r>
      <w:r w:rsidRPr="00A41CE6">
        <w:rPr>
          <w:rFonts w:ascii="Times New Roman" w:eastAsia="仿宋" w:hAnsi="Times New Roman" w:hint="eastAsia"/>
          <w:color w:val="000000" w:themeColor="text1"/>
          <w:sz w:val="28"/>
          <w:szCs w:val="28"/>
        </w:rPr>
        <w:t>万平米以下的公共建筑，以及建筑面积大于</w:t>
      </w:r>
      <w:r w:rsidRPr="00A41CE6">
        <w:rPr>
          <w:rFonts w:ascii="Times New Roman" w:eastAsia="仿宋" w:hAnsi="Times New Roman" w:hint="eastAsia"/>
          <w:color w:val="000000" w:themeColor="text1"/>
          <w:sz w:val="28"/>
          <w:szCs w:val="28"/>
        </w:rPr>
        <w:t>10</w:t>
      </w:r>
      <w:r w:rsidRPr="00A41CE6">
        <w:rPr>
          <w:rFonts w:ascii="Times New Roman" w:eastAsia="仿宋" w:hAnsi="Times New Roman" w:hint="eastAsia"/>
          <w:color w:val="000000" w:themeColor="text1"/>
          <w:sz w:val="28"/>
          <w:szCs w:val="28"/>
        </w:rPr>
        <w:t>万平方米的住宅小区按照国家或省级绿色建筑一星级及以上标准建设和运行。推进高星级绿色建筑的规模化发展，全市单体建筑面积超过</w:t>
      </w:r>
      <w:r w:rsidRPr="00A41CE6">
        <w:rPr>
          <w:rFonts w:ascii="Times New Roman" w:eastAsia="仿宋" w:hAnsi="Times New Roman" w:hint="eastAsia"/>
          <w:color w:val="000000" w:themeColor="text1"/>
          <w:sz w:val="28"/>
          <w:szCs w:val="28"/>
        </w:rPr>
        <w:t>2</w:t>
      </w:r>
      <w:r w:rsidRPr="00A41CE6">
        <w:rPr>
          <w:rFonts w:ascii="Times New Roman" w:eastAsia="仿宋" w:hAnsi="Times New Roman" w:hint="eastAsia"/>
          <w:color w:val="000000" w:themeColor="text1"/>
          <w:sz w:val="28"/>
          <w:szCs w:val="28"/>
        </w:rPr>
        <w:t>万平方米的国家机关办公建筑、政府和国有资本投资的的大型公共建筑应满足国家或省级二星级以上的标准，江东新区、综合保税区以及国家高新技术开发区等重点区域内新建建筑面积大于</w:t>
      </w:r>
      <w:r w:rsidRPr="00A41CE6">
        <w:rPr>
          <w:rFonts w:ascii="Times New Roman" w:eastAsia="仿宋" w:hAnsi="Times New Roman" w:hint="eastAsia"/>
          <w:color w:val="000000" w:themeColor="text1"/>
          <w:sz w:val="28"/>
          <w:szCs w:val="28"/>
        </w:rPr>
        <w:t>10</w:t>
      </w:r>
      <w:r w:rsidRPr="00A41CE6">
        <w:rPr>
          <w:rFonts w:ascii="Times New Roman" w:eastAsia="仿宋" w:hAnsi="Times New Roman" w:hint="eastAsia"/>
          <w:color w:val="000000" w:themeColor="text1"/>
          <w:sz w:val="28"/>
          <w:szCs w:val="28"/>
        </w:rPr>
        <w:t>万平方米的住宅小区和新建建筑面积大于</w:t>
      </w:r>
      <w:r w:rsidRPr="00A41CE6">
        <w:rPr>
          <w:rFonts w:ascii="Times New Roman" w:eastAsia="仿宋" w:hAnsi="Times New Roman"/>
          <w:color w:val="000000" w:themeColor="text1"/>
          <w:sz w:val="28"/>
          <w:szCs w:val="28"/>
        </w:rPr>
        <w:t>2</w:t>
      </w:r>
      <w:r w:rsidRPr="00A41CE6">
        <w:rPr>
          <w:rFonts w:ascii="Times New Roman" w:eastAsia="仿宋" w:hAnsi="Times New Roman" w:hint="eastAsia"/>
          <w:color w:val="000000" w:themeColor="text1"/>
          <w:sz w:val="28"/>
          <w:szCs w:val="28"/>
        </w:rPr>
        <w:t>万平方米的</w:t>
      </w:r>
      <w:bookmarkStart w:id="44" w:name="_Hlk139482023"/>
      <w:r w:rsidRPr="00A41CE6">
        <w:rPr>
          <w:rFonts w:ascii="Times New Roman" w:eastAsia="仿宋" w:hAnsi="Times New Roman" w:hint="eastAsia"/>
          <w:color w:val="000000" w:themeColor="text1"/>
          <w:sz w:val="28"/>
          <w:szCs w:val="28"/>
        </w:rPr>
        <w:t>酒店、医院、商业综合体以及办公楼等公共建筑</w:t>
      </w:r>
      <w:bookmarkEnd w:id="44"/>
      <w:r w:rsidRPr="00A41CE6">
        <w:rPr>
          <w:rFonts w:ascii="Times New Roman" w:eastAsia="仿宋" w:hAnsi="Times New Roman" w:hint="eastAsia"/>
          <w:color w:val="000000" w:themeColor="text1"/>
          <w:sz w:val="28"/>
          <w:szCs w:val="28"/>
        </w:rPr>
        <w:t>应执行国家或省级绿色建筑二星级及以上的标准。鼓励农村农户建房执行绿色建筑标准和采用相关措施。</w:t>
      </w:r>
    </w:p>
    <w:p w:rsidR="0032519A" w:rsidRPr="00A41CE6" w:rsidRDefault="0032519A" w:rsidP="0032519A">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2</w:t>
      </w:r>
      <w:r w:rsidRPr="00A41CE6">
        <w:rPr>
          <w:rFonts w:ascii="Times New Roman" w:eastAsia="仿宋" w:hAnsi="Times New Roman" w:hint="eastAsia"/>
          <w:i w:val="0"/>
          <w:color w:val="000000" w:themeColor="text1"/>
          <w:sz w:val="28"/>
          <w:szCs w:val="28"/>
        </w:rPr>
        <w:t>）强化绿色建筑的质量监管</w:t>
      </w:r>
    </w:p>
    <w:p w:rsidR="0032519A" w:rsidRPr="00A41CE6" w:rsidRDefault="0032519A" w:rsidP="0032519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在建筑规划、设计、施工图审查、施工、竣工验收以及运行维护等环节明确绿色建筑规范标准的要求，推动绿色理念贯穿项目建设全过程，新建民用建筑项目的合同、招标文件、可行性研究报告或者项目申请报告应当明确绿色建筑等级、技术以及节能减排等内容，并将绿色建筑的相关费用纳入工程投资概预算。强化绿色建筑评价标识项目质量事中事后监管，规范各个职能部门各阶段的工作要求，严格把控工程建设各方主体对绿色建筑建设相关要求的落实情况，保证绿色建筑专篇的编制与落实。完善监管制度，建立健全涵盖绿色建筑全过程各阶段的闭合监管工作机制。加强绿色建筑的施工管理，提升监理</w:t>
      </w:r>
      <w:r w:rsidRPr="00A41CE6">
        <w:rPr>
          <w:rFonts w:ascii="Times New Roman" w:eastAsia="仿宋" w:hAnsi="Times New Roman" w:hint="eastAsia"/>
          <w:color w:val="000000" w:themeColor="text1"/>
          <w:sz w:val="28"/>
          <w:szCs w:val="28"/>
        </w:rPr>
        <w:lastRenderedPageBreak/>
        <w:t>单位的监管力度。强化绿色建筑运营管理，推广绿色物业管理模式，将绿色建筑日常运行的相关要求纳入物业管理的内容，提升物业管理单位的管理力度。积</w:t>
      </w:r>
      <w:r w:rsidRPr="00A41CE6">
        <w:rPr>
          <w:rFonts w:ascii="Times New Roman" w:eastAsia="仿宋" w:hAnsi="Times New Roman"/>
          <w:color w:val="000000" w:themeColor="text1"/>
          <w:sz w:val="28"/>
          <w:szCs w:val="28"/>
        </w:rPr>
        <w:t>极</w:t>
      </w:r>
      <w:r w:rsidRPr="00A41CE6">
        <w:rPr>
          <w:rFonts w:ascii="Times New Roman" w:eastAsia="仿宋" w:hAnsi="Times New Roman" w:hint="eastAsia"/>
          <w:color w:val="000000" w:themeColor="text1"/>
          <w:sz w:val="28"/>
          <w:szCs w:val="28"/>
        </w:rPr>
        <w:t>推进</w:t>
      </w:r>
      <w:r w:rsidRPr="00A41CE6">
        <w:rPr>
          <w:rFonts w:ascii="Times New Roman" w:eastAsia="仿宋" w:hAnsi="Times New Roman"/>
          <w:color w:val="000000" w:themeColor="text1"/>
          <w:sz w:val="28"/>
          <w:szCs w:val="28"/>
        </w:rPr>
        <w:t>绿色建筑</w:t>
      </w:r>
      <w:r w:rsidRPr="00A41CE6">
        <w:rPr>
          <w:rFonts w:ascii="Times New Roman" w:eastAsia="仿宋" w:hAnsi="Times New Roman" w:hint="eastAsia"/>
          <w:color w:val="000000" w:themeColor="text1"/>
          <w:sz w:val="28"/>
          <w:szCs w:val="28"/>
        </w:rPr>
        <w:t>的使用后</w:t>
      </w:r>
      <w:r w:rsidRPr="00A41CE6">
        <w:rPr>
          <w:rFonts w:ascii="Times New Roman" w:eastAsia="仿宋" w:hAnsi="Times New Roman"/>
          <w:color w:val="000000" w:themeColor="text1"/>
          <w:sz w:val="28"/>
          <w:szCs w:val="28"/>
        </w:rPr>
        <w:t>评估</w:t>
      </w:r>
      <w:r w:rsidRPr="00A41CE6">
        <w:rPr>
          <w:rFonts w:ascii="Times New Roman" w:eastAsia="仿宋" w:hAnsi="Times New Roman" w:hint="eastAsia"/>
          <w:color w:val="000000" w:themeColor="text1"/>
          <w:sz w:val="28"/>
          <w:szCs w:val="28"/>
        </w:rPr>
        <w:t>工作，构建绿色建筑运营后评估反馈机制，确保各项绿色建筑的相关技术措施的效果能够有效发挥。开展绿色建筑运行管理能力培训，提升绿色建筑运营水平和质量。</w:t>
      </w:r>
    </w:p>
    <w:p w:rsidR="0032519A" w:rsidRPr="00A41CE6" w:rsidRDefault="0032519A" w:rsidP="0032519A">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3</w:t>
      </w:r>
      <w:r w:rsidRPr="00A41CE6">
        <w:rPr>
          <w:rFonts w:ascii="Times New Roman" w:eastAsia="仿宋" w:hAnsi="Times New Roman" w:hint="eastAsia"/>
          <w:i w:val="0"/>
          <w:color w:val="000000" w:themeColor="text1"/>
          <w:sz w:val="28"/>
          <w:szCs w:val="28"/>
        </w:rPr>
        <w:t>）规范开展星级标识认定</w:t>
      </w:r>
    </w:p>
    <w:p w:rsidR="0032519A" w:rsidRPr="00A41CE6" w:rsidRDefault="0032519A" w:rsidP="0032519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落实海南省绿色建筑标识管理方法中的相关要求，做好一星级绿色建筑标识评价工作和二三星级绿色建筑标识的上报工作。强化对标识评价申报材料的审核力度以及工作过程的监管力度，核查绿色建筑项目各阶段提供的相应专篇中的内容落实情况，不定期地组织专家对标识证书持有单位和获得标识证书的项目进行抽查，对有违规行为的单位和项目予以相应的处罚。加强绿色建筑标识认证的信息化管理，对接国家绿色建筑标识管理平台，提高绿色建筑标识认证管理成效。</w:t>
      </w:r>
    </w:p>
    <w:p w:rsidR="0032519A" w:rsidRPr="00A41CE6" w:rsidRDefault="0032519A" w:rsidP="0032519A">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4</w:t>
      </w:r>
      <w:r w:rsidRPr="00A41CE6">
        <w:rPr>
          <w:rFonts w:ascii="Times New Roman" w:eastAsia="仿宋" w:hAnsi="Times New Roman" w:hint="eastAsia"/>
          <w:i w:val="0"/>
          <w:color w:val="000000" w:themeColor="text1"/>
          <w:sz w:val="28"/>
          <w:szCs w:val="28"/>
        </w:rPr>
        <w:t>）推进绿色建筑技术研究运用</w:t>
      </w:r>
    </w:p>
    <w:p w:rsidR="0032519A" w:rsidRPr="00A41CE6" w:rsidRDefault="0032519A" w:rsidP="0032519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加强对海南热带海洋岛屿环境条件下的建筑绿色低碳关键技术及共性技术体系的研究，积极引进绿色建筑领域的新技术以及新产品，制定推动政策措施，强化绿色建筑技术在海口市的普及与应用，加快推广集光伏发电、储能、智慧用电为一体的新型绿色建筑。鼓励海口市高等院校、建筑设计及施工公司、建材设备生产企业和科研机构等单位结合地域特色开展适宜的绿色建筑技术研究工作，以实现绿色建筑因地制宜的特征。探索人工智能、</w:t>
      </w:r>
      <w:r w:rsidRPr="00A41CE6">
        <w:rPr>
          <w:rFonts w:ascii="Times New Roman" w:eastAsia="仿宋" w:hAnsi="Times New Roman" w:hint="eastAsia"/>
          <w:color w:val="000000" w:themeColor="text1"/>
          <w:sz w:val="28"/>
          <w:szCs w:val="28"/>
        </w:rPr>
        <w:t>5G</w:t>
      </w:r>
      <w:r w:rsidRPr="00A41CE6">
        <w:rPr>
          <w:rFonts w:ascii="Times New Roman" w:eastAsia="仿宋" w:hAnsi="Times New Roman" w:hint="eastAsia"/>
          <w:color w:val="000000" w:themeColor="text1"/>
          <w:sz w:val="28"/>
          <w:szCs w:val="28"/>
        </w:rPr>
        <w:t>以及物联网等在工程建设领域的应用，拓展绿色建筑的内涵和技术要求，推动绿色建筑向深层次发展。</w:t>
      </w:r>
      <w:r w:rsidRPr="00A41CE6">
        <w:rPr>
          <w:rFonts w:ascii="Times New Roman" w:eastAsia="仿宋" w:hAnsi="Times New Roman" w:hint="eastAsia"/>
          <w:color w:val="000000" w:themeColor="text1"/>
          <w:sz w:val="28"/>
          <w:szCs w:val="28"/>
        </w:rPr>
        <w:t xml:space="preserve"> </w:t>
      </w:r>
      <w:r w:rsidRPr="00A41CE6">
        <w:rPr>
          <w:rFonts w:ascii="Times New Roman" w:eastAsia="仿宋" w:hAnsi="Times New Roman" w:hint="eastAsia"/>
          <w:color w:val="000000" w:themeColor="text1"/>
          <w:sz w:val="28"/>
          <w:szCs w:val="28"/>
        </w:rPr>
        <w:t>在政府投资项目以及海南自由贸易港重点园区内的社会投资</w:t>
      </w:r>
      <w:r w:rsidRPr="00A41CE6">
        <w:rPr>
          <w:rFonts w:ascii="Times New Roman" w:eastAsia="仿宋" w:hAnsi="Times New Roman" w:hint="eastAsia"/>
          <w:color w:val="000000" w:themeColor="text1"/>
          <w:sz w:val="28"/>
          <w:szCs w:val="28"/>
        </w:rPr>
        <w:lastRenderedPageBreak/>
        <w:t>项目中，鼓励优先采用获得绿色认证的部品部件，选择有条件的区域开展热带地区绿色低碳技术的集成示范，打造具有海南热带岛屿特色的绿色建筑。</w:t>
      </w:r>
    </w:p>
    <w:p w:rsidR="0032519A" w:rsidRPr="00A41CE6" w:rsidRDefault="0032519A" w:rsidP="0032519A">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5</w:t>
      </w:r>
      <w:r w:rsidRPr="00A41CE6">
        <w:rPr>
          <w:rFonts w:ascii="Times New Roman" w:eastAsia="仿宋" w:hAnsi="Times New Roman" w:hint="eastAsia"/>
          <w:i w:val="0"/>
          <w:color w:val="000000" w:themeColor="text1"/>
          <w:sz w:val="28"/>
          <w:szCs w:val="28"/>
        </w:rPr>
        <w:t>）大力推行绿色建造</w:t>
      </w:r>
    </w:p>
    <w:p w:rsidR="0032519A" w:rsidRPr="00A41CE6" w:rsidRDefault="0032519A" w:rsidP="0032519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推广绿色建造在城镇建筑中的应用，将绿色发展理念融入工程策划、设计、施工、交付等建造全过程。根据住建部发布的《绿色建造技术导则（试行）》等标准，优先选取政府投资为主的工程或单体建筑面积</w:t>
      </w:r>
      <w:r w:rsidRPr="00A41CE6">
        <w:rPr>
          <w:rFonts w:ascii="Times New Roman" w:eastAsia="仿宋" w:hAnsi="Times New Roman" w:hint="eastAsia"/>
          <w:color w:val="000000" w:themeColor="text1"/>
          <w:sz w:val="28"/>
          <w:szCs w:val="28"/>
        </w:rPr>
        <w:t>2</w:t>
      </w:r>
      <w:r w:rsidRPr="00A41CE6">
        <w:rPr>
          <w:rFonts w:ascii="Times New Roman" w:eastAsia="仿宋" w:hAnsi="Times New Roman" w:hint="eastAsia"/>
          <w:color w:val="000000" w:themeColor="text1"/>
          <w:sz w:val="28"/>
          <w:szCs w:val="28"/>
        </w:rPr>
        <w:t>万平米以上的公共建筑开展试点工作，制定符合本地特色的绿色建造技术导则和评价体系。推广绿色化、工业化、信息化、集约化、产业化建造方式，利用新技术实现精细化设计和施工。建立健全工作机制，明确绿色建造实施过程中各方单位的责任，加强过程监管，构建管理体系。新开工的建筑工程，全面推行绿色施工模式，相关费用列入工程造价。</w:t>
      </w:r>
    </w:p>
    <w:p w:rsidR="0032519A" w:rsidRPr="00A41CE6" w:rsidRDefault="0032519A" w:rsidP="0032519A">
      <w:pPr>
        <w:pStyle w:val="4"/>
        <w:spacing w:before="0" w:after="200" w:line="360" w:lineRule="auto"/>
        <w:ind w:firstLineChars="200" w:firstLine="562"/>
        <w:rPr>
          <w:rFonts w:ascii="Times New Roman" w:eastAsia="仿宋" w:hAnsi="Times New Roman"/>
          <w:i w:val="0"/>
          <w:color w:val="000000"/>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6</w:t>
      </w:r>
      <w:r w:rsidRPr="00A41CE6">
        <w:rPr>
          <w:rFonts w:ascii="Times New Roman" w:eastAsia="仿宋" w:hAnsi="Times New Roman" w:hint="eastAsia"/>
          <w:i w:val="0"/>
          <w:color w:val="000000" w:themeColor="text1"/>
          <w:sz w:val="28"/>
          <w:szCs w:val="28"/>
        </w:rPr>
        <w:t>）落实绿色住宅使用者监督机制</w:t>
      </w:r>
    </w:p>
    <w:p w:rsidR="0032519A" w:rsidRPr="00A41CE6" w:rsidRDefault="0032519A" w:rsidP="0032519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根据现行《绿色住宅购房人验房要点》向购房人提供房屋绿色性能和全装修质量验收方法，正确指导购房人进行验房工作。引导全市开发建设单位在新建住宅交付使用时将住宅绿色性能和全装修质量等相关内容和指标纳入到商品房买卖合同、住宅质量保证书和住宅使用说明书中，明确质量保修责任和纠纷处理方式。</w:t>
      </w:r>
    </w:p>
    <w:p w:rsidR="0032519A" w:rsidRPr="00A41CE6" w:rsidRDefault="0032519A" w:rsidP="0032519A">
      <w:pPr>
        <w:pStyle w:val="3"/>
        <w:spacing w:before="0" w:after="200" w:line="360" w:lineRule="auto"/>
        <w:ind w:firstLineChars="200" w:firstLine="600"/>
        <w:rPr>
          <w:rFonts w:ascii="Times New Roman" w:eastAsia="黑体" w:hAnsi="Times New Roman"/>
          <w:b w:val="0"/>
          <w:color w:val="000000" w:themeColor="text1"/>
          <w:sz w:val="30"/>
          <w:szCs w:val="30"/>
        </w:rPr>
      </w:pPr>
      <w:r w:rsidRPr="00A41CE6">
        <w:rPr>
          <w:rFonts w:ascii="Times New Roman" w:eastAsia="黑体" w:hAnsi="Times New Roman" w:hint="eastAsia"/>
          <w:b w:val="0"/>
          <w:color w:val="000000" w:themeColor="text1"/>
          <w:sz w:val="30"/>
          <w:szCs w:val="30"/>
        </w:rPr>
        <w:t xml:space="preserve">2. </w:t>
      </w:r>
      <w:r w:rsidRPr="00A41CE6">
        <w:rPr>
          <w:rFonts w:ascii="Times New Roman" w:eastAsia="黑体" w:hAnsi="Times New Roman" w:hint="eastAsia"/>
          <w:b w:val="0"/>
          <w:color w:val="000000" w:themeColor="text1"/>
          <w:sz w:val="30"/>
          <w:szCs w:val="30"/>
        </w:rPr>
        <w:t>推动绿色建筑区域化建设</w:t>
      </w:r>
    </w:p>
    <w:p w:rsidR="0032519A" w:rsidRPr="00A41CE6" w:rsidRDefault="0032519A" w:rsidP="0032519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探索海口市从单体建筑向区域空间内土地利用、生态环境、产业、交通、人文等方面的绿色建设模式，根据《海南省绿色建筑专项规划导则》编制全市及各区专项规划文件，推动绿色建筑由单体发展向城市建设绿色发展转变。明确全市各区域绿色建筑星级空间布局的要求，</w:t>
      </w:r>
      <w:r w:rsidRPr="00A41CE6">
        <w:rPr>
          <w:rFonts w:ascii="Times New Roman" w:eastAsia="仿宋" w:hAnsi="Times New Roman" w:hint="eastAsia"/>
          <w:color w:val="000000" w:themeColor="text1"/>
          <w:sz w:val="28"/>
          <w:szCs w:val="28"/>
        </w:rPr>
        <w:lastRenderedPageBreak/>
        <w:t>对重点发展片区内高星级建筑比例提出更高的要求，引导全市重要功能区和重点园区基于绿色、低碳和生态理念制定区域规划，</w:t>
      </w:r>
      <w:r w:rsidRPr="00A41CE6">
        <w:rPr>
          <w:rFonts w:ascii="Times New Roman" w:eastAsia="仿宋" w:hAnsi="Times New Roman"/>
          <w:color w:val="000000" w:themeColor="text1"/>
          <w:sz w:val="28"/>
          <w:szCs w:val="28"/>
        </w:rPr>
        <w:t>提升绿色建筑综合发展水平。</w:t>
      </w:r>
      <w:r w:rsidRPr="00A41CE6">
        <w:rPr>
          <w:rFonts w:ascii="Times New Roman" w:eastAsia="仿宋" w:hAnsi="Times New Roman" w:hint="eastAsia"/>
          <w:color w:val="000000" w:themeColor="text1"/>
          <w:sz w:val="28"/>
          <w:szCs w:val="28"/>
        </w:rPr>
        <w:t>对其他地区绿色生态城区的建设经验进行梳理和推广，鼓励建设项目开展绿色低碳技术和方法的区域集成实践。</w:t>
      </w:r>
    </w:p>
    <w:p w:rsidR="0032519A" w:rsidRPr="00A41CE6" w:rsidRDefault="0032519A" w:rsidP="0032519A">
      <w:pPr>
        <w:pStyle w:val="3"/>
        <w:spacing w:before="0" w:after="200" w:line="360" w:lineRule="auto"/>
        <w:ind w:firstLineChars="200" w:firstLine="600"/>
        <w:rPr>
          <w:rFonts w:ascii="Times New Roman" w:eastAsia="黑体" w:hAnsi="Times New Roman"/>
          <w:b w:val="0"/>
          <w:color w:val="000000" w:themeColor="text1"/>
          <w:sz w:val="30"/>
          <w:szCs w:val="30"/>
        </w:rPr>
      </w:pPr>
      <w:r w:rsidRPr="00A41CE6">
        <w:rPr>
          <w:rFonts w:ascii="Times New Roman" w:eastAsia="黑体" w:hAnsi="Times New Roman" w:hint="eastAsia"/>
          <w:b w:val="0"/>
          <w:color w:val="000000" w:themeColor="text1"/>
          <w:sz w:val="30"/>
          <w:szCs w:val="30"/>
        </w:rPr>
        <w:t xml:space="preserve">3. </w:t>
      </w:r>
      <w:r w:rsidRPr="00A41CE6">
        <w:rPr>
          <w:rFonts w:ascii="Times New Roman" w:eastAsia="黑体" w:hAnsi="Times New Roman" w:hint="eastAsia"/>
          <w:b w:val="0"/>
          <w:color w:val="000000" w:themeColor="text1"/>
          <w:sz w:val="30"/>
          <w:szCs w:val="30"/>
        </w:rPr>
        <w:t>促进建材的绿色化发展</w:t>
      </w:r>
    </w:p>
    <w:p w:rsidR="0032519A" w:rsidRPr="00A41CE6" w:rsidRDefault="0032519A" w:rsidP="0032519A">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1</w:t>
      </w:r>
      <w:r w:rsidRPr="00A41CE6">
        <w:rPr>
          <w:rFonts w:ascii="Times New Roman" w:eastAsia="仿宋" w:hAnsi="Times New Roman" w:hint="eastAsia"/>
          <w:i w:val="0"/>
          <w:color w:val="000000" w:themeColor="text1"/>
          <w:sz w:val="28"/>
          <w:szCs w:val="28"/>
        </w:rPr>
        <w:t>）</w:t>
      </w:r>
      <w:bookmarkStart w:id="45" w:name="_Hlk139482513"/>
      <w:r w:rsidRPr="00A41CE6">
        <w:rPr>
          <w:rFonts w:ascii="Times New Roman" w:eastAsia="仿宋" w:hAnsi="Times New Roman" w:hint="eastAsia"/>
          <w:i w:val="0"/>
          <w:color w:val="000000" w:themeColor="text1"/>
          <w:sz w:val="28"/>
          <w:szCs w:val="28"/>
        </w:rPr>
        <w:t>推动绿色建材的发展应用</w:t>
      </w:r>
    </w:p>
    <w:bookmarkEnd w:id="45"/>
    <w:p w:rsidR="0032519A" w:rsidRPr="00A41CE6" w:rsidRDefault="0032519A" w:rsidP="0032519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建立健全全市绿色建材生产及推广应用等工作机制，结合海口市的地方特点，制定绿色建材推广应用方案，引导企业和项目业主科学合理地选择使用绿色建材。加强技术研究和成果应用，鼓励开展适宜的绿色建材产品关键技术的研发工作，积极引进适合海口市环境要求的优质绿色建材，提高建材研究、设计和生产企业之间的联动，鼓励建筑企业选用绿色建材，推动建筑企业的绿色转型升级。逐步提高城镇及农村新建建筑中绿色建材应用比例，积极推进绿色建材在绿色建筑和装配式建筑中的应用，鼓励政府投资工程、社会投资的大型公共建筑以及江东新区等重点园区内的项目率先使用绿色建材。</w:t>
      </w:r>
    </w:p>
    <w:p w:rsidR="0032519A" w:rsidRPr="00A41CE6" w:rsidRDefault="0032519A" w:rsidP="0032519A">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2</w:t>
      </w:r>
      <w:r w:rsidRPr="00A41CE6">
        <w:rPr>
          <w:rFonts w:ascii="Times New Roman" w:eastAsia="仿宋" w:hAnsi="Times New Roman" w:hint="eastAsia"/>
          <w:i w:val="0"/>
          <w:color w:val="000000" w:themeColor="text1"/>
          <w:sz w:val="28"/>
          <w:szCs w:val="28"/>
        </w:rPr>
        <w:t>）加强建筑垃圾资源化利用</w:t>
      </w:r>
    </w:p>
    <w:p w:rsidR="0032519A" w:rsidRPr="00A41CE6" w:rsidRDefault="0032519A" w:rsidP="0032519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完善海口市建筑垃圾资源化利用体制，明确建设工程各方主体在建筑垃圾处理过程中的责任，采用源头计量和进厂承重等措施对建筑垃圾种类和数量进行统计，提升全市建筑垃圾规范化管理力度。施工单位应按现行《海南省建筑垃圾资源化利用技术标准》中的要求，加强建筑垃圾分类收集，减小资源化、无害化处理的难度，提高建筑垃圾回收利用率，采用分类循环利用的处理方式，保证建筑垃圾处理全过程的规范化。加强科技创新和技术升级，鼓励相关企业开展垃圾资源化利用的新技术、新工艺和新设备的研发工作，进一步提升建筑垃</w:t>
      </w:r>
      <w:r w:rsidRPr="00A41CE6">
        <w:rPr>
          <w:rFonts w:ascii="Times New Roman" w:eastAsia="仿宋" w:hAnsi="Times New Roman" w:hint="eastAsia"/>
          <w:color w:val="000000" w:themeColor="text1"/>
          <w:sz w:val="28"/>
          <w:szCs w:val="28"/>
        </w:rPr>
        <w:lastRenderedPageBreak/>
        <w:t>圾资源化利用水平。推动建筑垃圾再生产品的应用，引导社会投资项目优先采用建筑垃圾再生产品。强化建筑垃圾领域的执法打击力度，对建筑垃圾处理中有违规行为的单位予以处罚。</w:t>
      </w:r>
    </w:p>
    <w:p w:rsidR="005A1264" w:rsidRPr="00A41CE6" w:rsidRDefault="005C591D">
      <w:pPr>
        <w:adjustRightInd w:val="0"/>
        <w:snapToGrid w:val="0"/>
        <w:spacing w:line="360" w:lineRule="auto"/>
        <w:jc w:val="both"/>
        <w:outlineLvl w:val="1"/>
        <w:rPr>
          <w:rFonts w:ascii="Times New Roman" w:eastAsia="黑体" w:hAnsi="Times New Roman"/>
          <w:color w:val="000000" w:themeColor="text1"/>
          <w:sz w:val="32"/>
          <w:szCs w:val="32"/>
        </w:rPr>
      </w:pPr>
      <w:bookmarkStart w:id="46" w:name="_Toc136877112"/>
      <w:bookmarkEnd w:id="41"/>
      <w:r w:rsidRPr="00A41CE6">
        <w:rPr>
          <w:rFonts w:ascii="Times New Roman" w:eastAsia="黑体" w:hAnsi="Times New Roman" w:hint="eastAsia"/>
          <w:color w:val="000000" w:themeColor="text1"/>
          <w:sz w:val="32"/>
          <w:szCs w:val="32"/>
        </w:rPr>
        <w:t>（三）全面推广装配式建筑</w:t>
      </w:r>
      <w:bookmarkEnd w:id="46"/>
    </w:p>
    <w:p w:rsidR="00E078FA" w:rsidRPr="00A41CE6" w:rsidRDefault="00E078FA" w:rsidP="00E078FA">
      <w:pPr>
        <w:pStyle w:val="3"/>
        <w:spacing w:before="0" w:after="200" w:line="360" w:lineRule="auto"/>
        <w:ind w:firstLineChars="200" w:firstLine="600"/>
        <w:rPr>
          <w:rFonts w:ascii="Times New Roman" w:eastAsia="黑体" w:hAnsi="Times New Roman"/>
          <w:b w:val="0"/>
          <w:color w:val="000000" w:themeColor="text1"/>
          <w:sz w:val="30"/>
          <w:szCs w:val="30"/>
        </w:rPr>
      </w:pPr>
      <w:bookmarkStart w:id="47" w:name="_Toc136877113"/>
      <w:bookmarkEnd w:id="42"/>
      <w:r w:rsidRPr="00A41CE6">
        <w:rPr>
          <w:rFonts w:ascii="Times New Roman" w:eastAsia="黑体" w:hAnsi="Times New Roman" w:hint="eastAsia"/>
          <w:b w:val="0"/>
          <w:color w:val="000000" w:themeColor="text1"/>
          <w:sz w:val="30"/>
          <w:szCs w:val="30"/>
        </w:rPr>
        <w:t>1.</w:t>
      </w:r>
      <w:r w:rsidRPr="00A41CE6">
        <w:rPr>
          <w:rFonts w:ascii="Times New Roman" w:eastAsia="黑体" w:hAnsi="Times New Roman" w:hint="eastAsia"/>
          <w:b w:val="0"/>
          <w:color w:val="000000" w:themeColor="text1"/>
          <w:sz w:val="30"/>
          <w:szCs w:val="30"/>
        </w:rPr>
        <w:t>推动装配式建筑深入发展</w:t>
      </w:r>
    </w:p>
    <w:p w:rsidR="00E078FA" w:rsidRPr="00A41CE6" w:rsidRDefault="00E078FA" w:rsidP="00E078FA">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1</w:t>
      </w:r>
      <w:r w:rsidRPr="00A41CE6">
        <w:rPr>
          <w:rFonts w:ascii="Times New Roman" w:eastAsia="仿宋" w:hAnsi="Times New Roman" w:hint="eastAsia"/>
          <w:i w:val="0"/>
          <w:color w:val="000000" w:themeColor="text1"/>
          <w:sz w:val="28"/>
          <w:szCs w:val="28"/>
        </w:rPr>
        <w:t>）推进高质量发展进程</w:t>
      </w:r>
    </w:p>
    <w:p w:rsidR="00E078FA" w:rsidRPr="00A41CE6" w:rsidRDefault="00E078FA" w:rsidP="00E078F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推广装配式建筑适宜技术体系应用，根据项目建设规模、类型等要素出台相适应的发展提升行动方案；建立健全预制部品部件生产、施工、监督机制，在重点园区开展示范项目建设，完善部品部件集成化应用，促进新型装配式建筑技术体系实施。鼓励企业优先采用新型装配化技术、新工艺、新材料应用。</w:t>
      </w:r>
    </w:p>
    <w:p w:rsidR="00E078FA" w:rsidRPr="00A41CE6" w:rsidRDefault="00E078FA" w:rsidP="00E078FA">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2</w:t>
      </w:r>
      <w:r w:rsidRPr="00A41CE6">
        <w:rPr>
          <w:rFonts w:ascii="Times New Roman" w:eastAsia="仿宋" w:hAnsi="Times New Roman" w:hint="eastAsia"/>
          <w:i w:val="0"/>
          <w:color w:val="000000" w:themeColor="text1"/>
          <w:sz w:val="28"/>
          <w:szCs w:val="28"/>
        </w:rPr>
        <w:t>）加强建筑工业化与信息化融合发展</w:t>
      </w:r>
    </w:p>
    <w:p w:rsidR="00E078FA" w:rsidRPr="00A41CE6" w:rsidRDefault="00E078FA" w:rsidP="00E078F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进一步加强信息技术的集成应用，鼓励预制构件生产基地引入工业化生产系统，预制构件生产过程融合信息化技术。依托勘察设计成果数字化交付与审查系统、装配式建筑部品部件质量可追溯系统，推进装配式建筑全过程信息化</w:t>
      </w:r>
      <w:r w:rsidRPr="00A41CE6">
        <w:rPr>
          <w:rFonts w:ascii="Times New Roman" w:eastAsia="仿宋" w:hAnsi="Times New Roman" w:hint="eastAsia"/>
          <w:color w:val="000000" w:themeColor="text1"/>
          <w:sz w:val="28"/>
          <w:szCs w:val="28"/>
        </w:rPr>
        <w:t>CIM</w:t>
      </w:r>
      <w:r w:rsidRPr="00A41CE6">
        <w:rPr>
          <w:rFonts w:ascii="Times New Roman" w:eastAsia="仿宋" w:hAnsi="Times New Roman" w:hint="eastAsia"/>
          <w:color w:val="000000" w:themeColor="text1"/>
          <w:sz w:val="28"/>
          <w:szCs w:val="28"/>
        </w:rPr>
        <w:t>平台及监管体系建设。在政府投资建设的大型公共建筑项目中全面应用</w:t>
      </w:r>
      <w:r w:rsidRPr="00A41CE6">
        <w:rPr>
          <w:rFonts w:ascii="Times New Roman" w:eastAsia="仿宋" w:hAnsi="Times New Roman" w:hint="eastAsia"/>
          <w:color w:val="000000" w:themeColor="text1"/>
          <w:sz w:val="28"/>
          <w:szCs w:val="28"/>
        </w:rPr>
        <w:t>B</w:t>
      </w:r>
      <w:r w:rsidRPr="00A41CE6">
        <w:rPr>
          <w:rFonts w:ascii="Times New Roman" w:eastAsia="仿宋" w:hAnsi="Times New Roman"/>
          <w:color w:val="000000" w:themeColor="text1"/>
          <w:sz w:val="28"/>
          <w:szCs w:val="28"/>
        </w:rPr>
        <w:t>IM</w:t>
      </w:r>
      <w:r w:rsidRPr="00A41CE6">
        <w:rPr>
          <w:rFonts w:ascii="Times New Roman" w:eastAsia="仿宋" w:hAnsi="Times New Roman" w:hint="eastAsia"/>
          <w:color w:val="000000" w:themeColor="text1"/>
          <w:sz w:val="28"/>
          <w:szCs w:val="28"/>
        </w:rPr>
        <w:t>技术，实现从招投标管理、勘察设计、构件生产、施工安装、竣工验收各环节的闭环，促进装配式建筑工业化与信息化充分融合。</w:t>
      </w:r>
    </w:p>
    <w:p w:rsidR="00E078FA" w:rsidRPr="00A41CE6" w:rsidRDefault="00E078FA" w:rsidP="00E078FA">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3</w:t>
      </w:r>
      <w:r w:rsidRPr="00A41CE6">
        <w:rPr>
          <w:rFonts w:ascii="Times New Roman" w:eastAsia="仿宋" w:hAnsi="Times New Roman" w:hint="eastAsia"/>
          <w:i w:val="0"/>
          <w:color w:val="000000" w:themeColor="text1"/>
          <w:sz w:val="28"/>
          <w:szCs w:val="28"/>
        </w:rPr>
        <w:t>）提高标准化应用水平</w:t>
      </w:r>
    </w:p>
    <w:p w:rsidR="00E078FA" w:rsidRPr="00A41CE6" w:rsidRDefault="00E078FA" w:rsidP="00E078F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落实海南省装配式标准化设计标准，在居住类建筑中提高同类型部品部件应用比例，按照通用化、模数化、标准化的要求，以少规格、多组合的原则进行设计。推进建筑结构、机电管网与装饰装修一体化</w:t>
      </w:r>
      <w:r w:rsidRPr="00A41CE6">
        <w:rPr>
          <w:rFonts w:ascii="Times New Roman" w:eastAsia="仿宋" w:hAnsi="Times New Roman" w:hint="eastAsia"/>
          <w:color w:val="000000" w:themeColor="text1"/>
          <w:sz w:val="28"/>
          <w:szCs w:val="28"/>
        </w:rPr>
        <w:lastRenderedPageBreak/>
        <w:t>应用，积极推广应用装配式内装修技术和标准产品；严格执行标准化设计标准，逐步提高装配式建筑标准化程度，发挥规模效应。在保障性住房、安居房项目中开展标准化设计试点应用，</w:t>
      </w:r>
      <w:r w:rsidRPr="00A41CE6">
        <w:rPr>
          <w:rFonts w:ascii="Times New Roman" w:eastAsia="仿宋" w:hAnsi="Times New Roman"/>
          <w:color w:val="000000" w:themeColor="text1"/>
          <w:sz w:val="28"/>
          <w:szCs w:val="28"/>
        </w:rPr>
        <w:t>打造不少于</w:t>
      </w:r>
      <w:r w:rsidRPr="00A41CE6">
        <w:rPr>
          <w:rFonts w:ascii="Times New Roman" w:eastAsia="仿宋" w:hAnsi="Times New Roman" w:hint="eastAsia"/>
          <w:color w:val="000000" w:themeColor="text1"/>
          <w:sz w:val="28"/>
          <w:szCs w:val="28"/>
        </w:rPr>
        <w:t>3</w:t>
      </w:r>
      <w:r w:rsidRPr="00A41CE6">
        <w:rPr>
          <w:rFonts w:ascii="Times New Roman" w:eastAsia="仿宋" w:hAnsi="Times New Roman" w:hint="eastAsia"/>
          <w:color w:val="000000" w:themeColor="text1"/>
          <w:sz w:val="28"/>
          <w:szCs w:val="28"/>
        </w:rPr>
        <w:t>个装配式标准化设计样板工程。</w:t>
      </w:r>
    </w:p>
    <w:p w:rsidR="00E078FA" w:rsidRPr="00A41CE6" w:rsidRDefault="00E078FA" w:rsidP="00E078FA">
      <w:pPr>
        <w:pStyle w:val="3"/>
        <w:spacing w:before="0" w:after="200" w:line="360" w:lineRule="auto"/>
        <w:ind w:firstLineChars="200" w:firstLine="600"/>
        <w:rPr>
          <w:rFonts w:ascii="Times New Roman" w:eastAsia="黑体" w:hAnsi="Times New Roman"/>
          <w:b w:val="0"/>
          <w:color w:val="000000" w:themeColor="text1"/>
          <w:sz w:val="30"/>
          <w:szCs w:val="30"/>
        </w:rPr>
      </w:pPr>
      <w:r w:rsidRPr="00A41CE6">
        <w:rPr>
          <w:rFonts w:ascii="Times New Roman" w:eastAsia="黑体" w:hAnsi="Times New Roman" w:hint="eastAsia"/>
          <w:b w:val="0"/>
          <w:color w:val="000000" w:themeColor="text1"/>
          <w:sz w:val="30"/>
          <w:szCs w:val="30"/>
        </w:rPr>
        <w:t>2.</w:t>
      </w:r>
      <w:r w:rsidRPr="00A41CE6">
        <w:rPr>
          <w:rFonts w:ascii="Times New Roman" w:eastAsia="黑体" w:hAnsi="Times New Roman" w:hint="eastAsia"/>
          <w:b w:val="0"/>
          <w:color w:val="000000" w:themeColor="text1"/>
          <w:sz w:val="30"/>
          <w:szCs w:val="30"/>
        </w:rPr>
        <w:t>强化建设管理能力</w:t>
      </w:r>
    </w:p>
    <w:p w:rsidR="00E078FA" w:rsidRPr="00A41CE6" w:rsidRDefault="00E078FA" w:rsidP="00E078FA">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1</w:t>
      </w:r>
      <w:r w:rsidRPr="00A41CE6">
        <w:rPr>
          <w:rFonts w:ascii="Times New Roman" w:eastAsia="仿宋" w:hAnsi="Times New Roman" w:hint="eastAsia"/>
          <w:i w:val="0"/>
          <w:color w:val="000000" w:themeColor="text1"/>
          <w:sz w:val="28"/>
          <w:szCs w:val="28"/>
        </w:rPr>
        <w:t>）健全装配式建筑质量安全监管机制</w:t>
      </w:r>
    </w:p>
    <w:p w:rsidR="00E078FA" w:rsidRPr="00A41CE6" w:rsidRDefault="00E078FA" w:rsidP="00E078F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完善装配式建筑监管服务机制，加强信息化动态监管，落实工程质量终身责任制。开展对图审机构专项检查，确保设计质量和责任落到实处；完善施工安全管理制度，明确各方主体责任和义务；完善预制构件进场验收制度建设，强化事前事中事后监管。加大现场巡查、抽查及专项检查频次，严控构件现场吊装</w:t>
      </w:r>
      <w:r w:rsidRPr="00A41CE6">
        <w:rPr>
          <w:rFonts w:ascii="Times New Roman" w:eastAsia="仿宋" w:hAnsi="Times New Roman"/>
          <w:color w:val="000000" w:themeColor="text1"/>
          <w:sz w:val="28"/>
          <w:szCs w:val="28"/>
        </w:rPr>
        <w:t>施工质量</w:t>
      </w:r>
      <w:r w:rsidRPr="00A41CE6">
        <w:rPr>
          <w:rFonts w:ascii="Times New Roman" w:eastAsia="仿宋" w:hAnsi="Times New Roman" w:hint="eastAsia"/>
          <w:color w:val="000000" w:themeColor="text1"/>
          <w:sz w:val="28"/>
          <w:szCs w:val="28"/>
        </w:rPr>
        <w:t>，尤其是构件连接节点的施工质量。</w:t>
      </w:r>
    </w:p>
    <w:p w:rsidR="00E078FA" w:rsidRPr="00A41CE6" w:rsidRDefault="00E078FA" w:rsidP="00E078FA">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2</w:t>
      </w:r>
      <w:r w:rsidRPr="00A41CE6">
        <w:rPr>
          <w:rFonts w:ascii="Times New Roman" w:eastAsia="仿宋" w:hAnsi="Times New Roman" w:hint="eastAsia"/>
          <w:i w:val="0"/>
          <w:color w:val="000000" w:themeColor="text1"/>
          <w:sz w:val="28"/>
          <w:szCs w:val="28"/>
        </w:rPr>
        <w:t>）推行工程总承包及全过程咨询</w:t>
      </w:r>
    </w:p>
    <w:p w:rsidR="00E078FA" w:rsidRPr="00A41CE6" w:rsidRDefault="00E078FA" w:rsidP="00E078F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在装配式建筑项目中积极推行</w:t>
      </w:r>
      <w:r w:rsidRPr="00A41CE6">
        <w:rPr>
          <w:rFonts w:ascii="Times New Roman" w:eastAsia="仿宋" w:hAnsi="Times New Roman" w:hint="eastAsia"/>
          <w:color w:val="000000" w:themeColor="text1"/>
          <w:sz w:val="28"/>
          <w:szCs w:val="28"/>
        </w:rPr>
        <w:t>E</w:t>
      </w:r>
      <w:r w:rsidRPr="00A41CE6">
        <w:rPr>
          <w:rFonts w:ascii="Times New Roman" w:eastAsia="仿宋" w:hAnsi="Times New Roman"/>
          <w:color w:val="000000" w:themeColor="text1"/>
          <w:sz w:val="28"/>
          <w:szCs w:val="28"/>
        </w:rPr>
        <w:t>PC</w:t>
      </w:r>
      <w:r w:rsidRPr="00A41CE6">
        <w:rPr>
          <w:rFonts w:ascii="Times New Roman" w:eastAsia="仿宋" w:hAnsi="Times New Roman" w:hint="eastAsia"/>
          <w:color w:val="000000" w:themeColor="text1"/>
          <w:sz w:val="28"/>
          <w:szCs w:val="28"/>
        </w:rPr>
        <w:t>工程总承包项目管理模式，促进设计、生产、施工深度融合，尤其是政府投资建设的标准化程度高的保障性住房、安居房等住宅项目应率先采用工程总承包模式。鼓励政府投资建设的装配式建筑项目开展全过程咨询，委托咨询单位提供招标代理、勘察、设计、监理、造价、项目管理等全过程咨询服务，增强工程建设过程的协同性。</w:t>
      </w:r>
    </w:p>
    <w:p w:rsidR="00E078FA" w:rsidRPr="00A41CE6" w:rsidRDefault="00E078FA" w:rsidP="00E078FA">
      <w:pPr>
        <w:pStyle w:val="3"/>
        <w:spacing w:before="0" w:after="200" w:line="360" w:lineRule="auto"/>
        <w:ind w:firstLineChars="200" w:firstLine="600"/>
        <w:rPr>
          <w:rFonts w:ascii="Times New Roman" w:eastAsia="黑体" w:hAnsi="Times New Roman"/>
          <w:b w:val="0"/>
          <w:color w:val="000000" w:themeColor="text1"/>
          <w:sz w:val="30"/>
          <w:szCs w:val="30"/>
        </w:rPr>
      </w:pPr>
      <w:r w:rsidRPr="00A41CE6">
        <w:rPr>
          <w:rFonts w:ascii="Times New Roman" w:eastAsia="黑体" w:hAnsi="Times New Roman" w:hint="eastAsia"/>
          <w:b w:val="0"/>
          <w:color w:val="000000" w:themeColor="text1"/>
          <w:sz w:val="30"/>
          <w:szCs w:val="30"/>
        </w:rPr>
        <w:lastRenderedPageBreak/>
        <w:t>3.</w:t>
      </w:r>
      <w:r w:rsidRPr="00A41CE6">
        <w:rPr>
          <w:rFonts w:ascii="Times New Roman" w:eastAsia="黑体" w:hAnsi="Times New Roman" w:hint="eastAsia"/>
          <w:b w:val="0"/>
          <w:color w:val="000000" w:themeColor="text1"/>
          <w:sz w:val="30"/>
          <w:szCs w:val="30"/>
        </w:rPr>
        <w:t>提升产业发展水平</w:t>
      </w:r>
    </w:p>
    <w:p w:rsidR="00E078FA" w:rsidRPr="00A41CE6" w:rsidRDefault="00E078FA" w:rsidP="00E078FA">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1</w:t>
      </w:r>
      <w:r w:rsidRPr="00A41CE6">
        <w:rPr>
          <w:rFonts w:ascii="Times New Roman" w:eastAsia="仿宋" w:hAnsi="Times New Roman" w:hint="eastAsia"/>
          <w:i w:val="0"/>
          <w:color w:val="000000" w:themeColor="text1"/>
          <w:sz w:val="28"/>
          <w:szCs w:val="28"/>
        </w:rPr>
        <w:t>）增强预制构件生产管理能力</w:t>
      </w:r>
    </w:p>
    <w:p w:rsidR="00E078FA" w:rsidRPr="00A41CE6" w:rsidRDefault="00E078FA" w:rsidP="00E078F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逐步提升现有预制构件生产基地生产能力，鼓励基地开展现代化管理，提高生产效率和产能覆盖率，落实海南省混凝土预制构件和钢结构在海口市的产能规划布局。</w:t>
      </w:r>
    </w:p>
    <w:p w:rsidR="00E078FA" w:rsidRPr="00A41CE6" w:rsidRDefault="00E078FA" w:rsidP="00E078FA">
      <w:pPr>
        <w:pStyle w:val="4"/>
        <w:spacing w:before="0" w:after="200" w:line="360" w:lineRule="auto"/>
        <w:ind w:firstLineChars="200" w:firstLine="562"/>
        <w:rPr>
          <w:rFonts w:ascii="Times New Roman" w:eastAsia="仿宋" w:hAnsi="Times New Roman"/>
          <w:i w:val="0"/>
          <w:color w:val="000000" w:themeColor="text1"/>
          <w:sz w:val="28"/>
          <w:szCs w:val="28"/>
        </w:rPr>
      </w:pPr>
      <w:r w:rsidRPr="00A41CE6">
        <w:rPr>
          <w:rFonts w:ascii="Times New Roman" w:eastAsia="仿宋" w:hAnsi="Times New Roman" w:hint="eastAsia"/>
          <w:i w:val="0"/>
          <w:color w:val="000000" w:themeColor="text1"/>
          <w:sz w:val="28"/>
          <w:szCs w:val="28"/>
        </w:rPr>
        <w:t>（</w:t>
      </w:r>
      <w:r w:rsidRPr="00A41CE6">
        <w:rPr>
          <w:rFonts w:ascii="Times New Roman" w:eastAsia="仿宋" w:hAnsi="Times New Roman" w:hint="eastAsia"/>
          <w:i w:val="0"/>
          <w:color w:val="000000" w:themeColor="text1"/>
          <w:sz w:val="28"/>
          <w:szCs w:val="28"/>
        </w:rPr>
        <w:t>2</w:t>
      </w:r>
      <w:r w:rsidRPr="00A41CE6">
        <w:rPr>
          <w:rFonts w:ascii="Times New Roman" w:eastAsia="仿宋" w:hAnsi="Times New Roman" w:hint="eastAsia"/>
          <w:i w:val="0"/>
          <w:color w:val="000000" w:themeColor="text1"/>
          <w:sz w:val="28"/>
          <w:szCs w:val="28"/>
        </w:rPr>
        <w:t>）创建综合性产业基地</w:t>
      </w:r>
    </w:p>
    <w:p w:rsidR="00E078FA" w:rsidRPr="00A41CE6" w:rsidRDefault="00E078FA" w:rsidP="00E078FA">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推进装配式建筑产业基地建设，保障装配式建筑其他配套设施用地供应。引导科研、设计、施工、检测、咨询等核心产业在本市落地，以科技创新引领，开展装配式新技术、新材料研究</w:t>
      </w:r>
      <w:r w:rsidRPr="00A41CE6">
        <w:rPr>
          <w:rFonts w:ascii="Times New Roman" w:eastAsia="仿宋" w:hAnsi="Times New Roman"/>
          <w:color w:val="000000" w:themeColor="text1"/>
          <w:sz w:val="28"/>
          <w:szCs w:val="28"/>
        </w:rPr>
        <w:t>，促进现有支撑产业向各装配系统产业综合发展。</w:t>
      </w:r>
    </w:p>
    <w:bookmarkEnd w:id="47"/>
    <w:p w:rsidR="005A1264" w:rsidRPr="00A41CE6" w:rsidRDefault="005A1264">
      <w:pPr>
        <w:adjustRightInd w:val="0"/>
        <w:snapToGrid w:val="0"/>
        <w:spacing w:line="360" w:lineRule="auto"/>
        <w:ind w:firstLineChars="200" w:firstLine="560"/>
        <w:rPr>
          <w:rFonts w:ascii="Times New Roman" w:eastAsia="仿宋" w:hAnsi="Times New Roman"/>
          <w:color w:val="000000" w:themeColor="text1"/>
          <w:sz w:val="28"/>
          <w:szCs w:val="28"/>
        </w:rPr>
      </w:pPr>
    </w:p>
    <w:p w:rsidR="005A1264" w:rsidRPr="00A41CE6" w:rsidRDefault="005C591D">
      <w:pPr>
        <w:spacing w:after="0" w:line="240" w:lineRule="auto"/>
        <w:rPr>
          <w:rFonts w:ascii="Times New Roman" w:eastAsia="黑体" w:hAnsi="Times New Roman"/>
          <w:color w:val="000000" w:themeColor="text1"/>
          <w:sz w:val="32"/>
          <w:szCs w:val="32"/>
        </w:rPr>
      </w:pPr>
      <w:r w:rsidRPr="00A41CE6">
        <w:rPr>
          <w:rFonts w:ascii="Times New Roman" w:eastAsia="黑体" w:hAnsi="Times New Roman"/>
          <w:color w:val="000000" w:themeColor="text1"/>
          <w:sz w:val="32"/>
          <w:szCs w:val="32"/>
        </w:rPr>
        <w:br w:type="page"/>
      </w:r>
    </w:p>
    <w:p w:rsidR="005A1264" w:rsidRPr="00A41CE6" w:rsidRDefault="005C591D">
      <w:pPr>
        <w:adjustRightInd w:val="0"/>
        <w:snapToGrid w:val="0"/>
        <w:spacing w:line="360" w:lineRule="auto"/>
        <w:jc w:val="center"/>
        <w:outlineLvl w:val="0"/>
        <w:rPr>
          <w:rFonts w:ascii="Times New Roman" w:eastAsia="黑体" w:hAnsi="Times New Roman"/>
          <w:color w:val="000000" w:themeColor="text1"/>
          <w:sz w:val="36"/>
          <w:szCs w:val="36"/>
        </w:rPr>
      </w:pPr>
      <w:bookmarkStart w:id="48" w:name="_Toc87945364"/>
      <w:bookmarkStart w:id="49" w:name="_Toc136877123"/>
      <w:bookmarkEnd w:id="36"/>
      <w:bookmarkEnd w:id="37"/>
      <w:bookmarkEnd w:id="38"/>
      <w:r w:rsidRPr="00A41CE6">
        <w:rPr>
          <w:rFonts w:ascii="Times New Roman" w:eastAsia="黑体" w:hAnsi="Times New Roman" w:hint="eastAsia"/>
          <w:color w:val="000000" w:themeColor="text1"/>
          <w:sz w:val="36"/>
          <w:szCs w:val="36"/>
        </w:rPr>
        <w:lastRenderedPageBreak/>
        <w:t>第四章</w:t>
      </w:r>
      <w:r w:rsidRPr="00A41CE6">
        <w:rPr>
          <w:rFonts w:ascii="Times New Roman" w:eastAsia="黑体" w:hAnsi="Times New Roman" w:hint="eastAsia"/>
          <w:color w:val="000000" w:themeColor="text1"/>
          <w:sz w:val="36"/>
          <w:szCs w:val="36"/>
        </w:rPr>
        <w:t xml:space="preserve"> </w:t>
      </w:r>
      <w:r w:rsidRPr="00A41CE6">
        <w:rPr>
          <w:rFonts w:ascii="Times New Roman" w:eastAsia="黑体" w:hAnsi="Times New Roman" w:hint="eastAsia"/>
          <w:color w:val="000000" w:themeColor="text1"/>
          <w:sz w:val="36"/>
          <w:szCs w:val="36"/>
        </w:rPr>
        <w:t>保障措施</w:t>
      </w:r>
      <w:bookmarkEnd w:id="48"/>
      <w:bookmarkEnd w:id="49"/>
    </w:p>
    <w:p w:rsidR="00905716" w:rsidRPr="00A41CE6" w:rsidRDefault="00905716" w:rsidP="00905716">
      <w:pPr>
        <w:adjustRightInd w:val="0"/>
        <w:snapToGrid w:val="0"/>
        <w:spacing w:after="0" w:line="360" w:lineRule="auto"/>
        <w:ind w:firstLineChars="200" w:firstLine="640"/>
        <w:jc w:val="both"/>
        <w:outlineLvl w:val="1"/>
        <w:rPr>
          <w:rFonts w:ascii="Times New Roman" w:eastAsia="黑体" w:hAnsi="Times New Roman"/>
          <w:color w:val="000000" w:themeColor="text1"/>
          <w:sz w:val="32"/>
          <w:szCs w:val="32"/>
        </w:rPr>
      </w:pPr>
      <w:bookmarkStart w:id="50" w:name="_Toc87945365"/>
      <w:bookmarkStart w:id="51" w:name="_Toc136877124"/>
      <w:r w:rsidRPr="00A41CE6">
        <w:rPr>
          <w:rFonts w:ascii="Times New Roman" w:eastAsia="黑体" w:hAnsi="Times New Roman" w:hint="eastAsia"/>
          <w:color w:val="000000" w:themeColor="text1"/>
          <w:sz w:val="32"/>
          <w:szCs w:val="32"/>
        </w:rPr>
        <w:t>（一）完善政策制度</w:t>
      </w:r>
      <w:bookmarkEnd w:id="50"/>
      <w:bookmarkEnd w:id="51"/>
    </w:p>
    <w:p w:rsidR="00905716" w:rsidRPr="00A41CE6" w:rsidRDefault="00905716" w:rsidP="00905716">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完善配套政策和推进措施，大力推广实践过程中被证明切实可行的方法和措施。进一步强化建筑节能与绿色建筑（装配式建筑）的设计、验收审查，完善规划、设计、施工、验收、运营管理等全过程闭合监管措施。严格落实法律法规确定的各项规定和要求，加大对违法违规行为的惩戒力度，对有违法违规行为的单位和个人进行处罚。</w:t>
      </w:r>
    </w:p>
    <w:p w:rsidR="00905716" w:rsidRPr="00A41CE6" w:rsidRDefault="00905716" w:rsidP="00905716">
      <w:pPr>
        <w:adjustRightInd w:val="0"/>
        <w:snapToGrid w:val="0"/>
        <w:spacing w:after="0" w:line="360" w:lineRule="auto"/>
        <w:ind w:firstLineChars="200" w:firstLine="640"/>
        <w:jc w:val="both"/>
        <w:outlineLvl w:val="1"/>
        <w:rPr>
          <w:rFonts w:ascii="Times New Roman" w:eastAsia="黑体" w:hAnsi="Times New Roman"/>
          <w:color w:val="000000" w:themeColor="text1"/>
          <w:sz w:val="32"/>
          <w:szCs w:val="32"/>
        </w:rPr>
      </w:pPr>
      <w:bookmarkStart w:id="52" w:name="_Toc87945366"/>
      <w:bookmarkStart w:id="53" w:name="_Toc136877125"/>
      <w:r w:rsidRPr="00A41CE6">
        <w:rPr>
          <w:rFonts w:ascii="Times New Roman" w:eastAsia="黑体" w:hAnsi="Times New Roman" w:hint="eastAsia"/>
          <w:color w:val="000000" w:themeColor="text1"/>
          <w:sz w:val="32"/>
          <w:szCs w:val="32"/>
        </w:rPr>
        <w:t>（二）加强组织协调</w:t>
      </w:r>
      <w:bookmarkEnd w:id="52"/>
      <w:bookmarkEnd w:id="53"/>
    </w:p>
    <w:p w:rsidR="00905716" w:rsidRPr="00A41CE6" w:rsidRDefault="00905716" w:rsidP="00905716">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健全协同管理机制，创新工作方法，协调参与本市建筑节能与绿色建筑（装配式建筑）建设的各级主管部门合理分工，形成工作合力，共同推进相关工作有序开展。强化对土地出让、规划审批、设计审查、施工管理、竣工验收和运营管理等环节涉及的各有关部门的协同管控。将发展目标任务落实到各区、园区有关部门，定期对任务落实情况进行检查，检查结果及时向社会公开，充分发挥监督作用。</w:t>
      </w:r>
    </w:p>
    <w:p w:rsidR="00905716" w:rsidRPr="00A41CE6" w:rsidRDefault="00905716" w:rsidP="00905716">
      <w:pPr>
        <w:adjustRightInd w:val="0"/>
        <w:snapToGrid w:val="0"/>
        <w:spacing w:after="0" w:line="360" w:lineRule="auto"/>
        <w:ind w:firstLineChars="200" w:firstLine="640"/>
        <w:jc w:val="both"/>
        <w:outlineLvl w:val="1"/>
        <w:rPr>
          <w:rFonts w:ascii="Times New Roman" w:eastAsia="黑体" w:hAnsi="Times New Roman"/>
          <w:color w:val="000000" w:themeColor="text1"/>
          <w:sz w:val="32"/>
          <w:szCs w:val="32"/>
        </w:rPr>
      </w:pPr>
      <w:bookmarkStart w:id="54" w:name="_Toc87945367"/>
      <w:bookmarkStart w:id="55" w:name="_Toc136877126"/>
      <w:r w:rsidRPr="00A41CE6">
        <w:rPr>
          <w:rFonts w:ascii="Times New Roman" w:eastAsia="黑体" w:hAnsi="Times New Roman" w:hint="eastAsia"/>
          <w:color w:val="000000" w:themeColor="text1"/>
          <w:sz w:val="32"/>
          <w:szCs w:val="32"/>
        </w:rPr>
        <w:t>（三）制定激励政策</w:t>
      </w:r>
      <w:bookmarkEnd w:id="54"/>
      <w:bookmarkEnd w:id="55"/>
    </w:p>
    <w:p w:rsidR="00905716" w:rsidRPr="00A41CE6" w:rsidRDefault="00905716" w:rsidP="00905716">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color w:val="000000" w:themeColor="text1"/>
          <w:sz w:val="28"/>
          <w:szCs w:val="28"/>
        </w:rPr>
        <w:t>全面贯彻落实国家</w:t>
      </w:r>
      <w:r w:rsidRPr="00A41CE6">
        <w:rPr>
          <w:rFonts w:ascii="Times New Roman" w:eastAsia="仿宋" w:hAnsi="Times New Roman" w:hint="eastAsia"/>
          <w:color w:val="000000" w:themeColor="text1"/>
          <w:sz w:val="28"/>
          <w:szCs w:val="28"/>
        </w:rPr>
        <w:t>和海南省相关</w:t>
      </w:r>
      <w:r w:rsidRPr="00A41CE6">
        <w:rPr>
          <w:rFonts w:ascii="Times New Roman" w:eastAsia="仿宋" w:hAnsi="Times New Roman"/>
          <w:color w:val="000000" w:themeColor="text1"/>
          <w:sz w:val="28"/>
          <w:szCs w:val="28"/>
        </w:rPr>
        <w:t>激励政策</w:t>
      </w:r>
      <w:r w:rsidRPr="00A41CE6">
        <w:rPr>
          <w:rFonts w:ascii="Times New Roman" w:eastAsia="仿宋" w:hAnsi="Times New Roman" w:hint="eastAsia"/>
          <w:color w:val="000000" w:themeColor="text1"/>
          <w:sz w:val="28"/>
          <w:szCs w:val="28"/>
        </w:rPr>
        <w:t>，出台符合海口市地方特点的建筑节能与绿色建筑（装配式建筑）扶持办法。江东新区、综合保税区、复兴城互联网信息产业园、国家高新技术产业开发区主管部门应结合本地实际情况，制定激励政策并实施，推动节能与绿色建筑、装配式建筑专项规划落实，支持绿色产业发展。</w:t>
      </w:r>
    </w:p>
    <w:p w:rsidR="00905716" w:rsidRPr="00A41CE6" w:rsidRDefault="00905716" w:rsidP="00905716">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w:t>
      </w:r>
      <w:r w:rsidRPr="00A41CE6">
        <w:rPr>
          <w:rFonts w:ascii="Times New Roman" w:eastAsia="仿宋" w:hAnsi="Times New Roman" w:hint="eastAsia"/>
          <w:color w:val="000000" w:themeColor="text1"/>
          <w:sz w:val="28"/>
          <w:szCs w:val="28"/>
        </w:rPr>
        <w:t>1</w:t>
      </w:r>
      <w:r w:rsidRPr="00A41CE6">
        <w:rPr>
          <w:rFonts w:ascii="Times New Roman" w:eastAsia="仿宋" w:hAnsi="Times New Roman" w:hint="eastAsia"/>
          <w:color w:val="000000" w:themeColor="text1"/>
          <w:sz w:val="28"/>
          <w:szCs w:val="28"/>
        </w:rPr>
        <w:t>）开展创新奖励活动，用于建筑节能与绿色建筑（装配式建筑）等方面的新技术、新工艺、新材料和新设备研发的费用可按照国家有关规定享受税前加计扣除等优惠，降低技术研发工作开展的难度。</w:t>
      </w:r>
    </w:p>
    <w:p w:rsidR="00905716" w:rsidRPr="00A41CE6" w:rsidRDefault="00905716" w:rsidP="00905716">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lastRenderedPageBreak/>
        <w:t>（</w:t>
      </w:r>
      <w:r w:rsidRPr="00A41CE6">
        <w:rPr>
          <w:rFonts w:ascii="Times New Roman" w:eastAsia="仿宋" w:hAnsi="Times New Roman" w:hint="eastAsia"/>
          <w:color w:val="000000" w:themeColor="text1"/>
          <w:sz w:val="28"/>
          <w:szCs w:val="28"/>
        </w:rPr>
        <w:t>2</w:t>
      </w:r>
      <w:r w:rsidRPr="00A41CE6">
        <w:rPr>
          <w:rFonts w:ascii="Times New Roman" w:eastAsia="仿宋" w:hAnsi="Times New Roman" w:hint="eastAsia"/>
          <w:color w:val="000000" w:themeColor="text1"/>
          <w:sz w:val="28"/>
          <w:szCs w:val="28"/>
        </w:rPr>
        <w:t>）</w:t>
      </w:r>
      <w:r w:rsidRPr="00A41CE6">
        <w:rPr>
          <w:rFonts w:ascii="Times New Roman" w:eastAsia="仿宋" w:hAnsi="Times New Roman" w:hint="eastAsia"/>
          <w:color w:val="000000" w:themeColor="text1"/>
          <w:sz w:val="28"/>
          <w:szCs w:val="28"/>
        </w:rPr>
        <w:t>2023-2024</w:t>
      </w:r>
      <w:r w:rsidRPr="00A41CE6">
        <w:rPr>
          <w:rFonts w:ascii="Times New Roman" w:eastAsia="仿宋" w:hAnsi="Times New Roman" w:hint="eastAsia"/>
          <w:color w:val="000000" w:themeColor="text1"/>
          <w:sz w:val="28"/>
          <w:szCs w:val="28"/>
        </w:rPr>
        <w:t>年按装配式方式建造的商品房项目，且满足《装配式建筑评价标准》</w:t>
      </w:r>
      <w:r w:rsidRPr="00A41CE6">
        <w:rPr>
          <w:rFonts w:ascii="Times New Roman" w:eastAsia="仿宋" w:hAnsi="Times New Roman"/>
          <w:color w:val="000000" w:themeColor="text1"/>
          <w:sz w:val="28"/>
          <w:szCs w:val="28"/>
        </w:rPr>
        <w:t>GB/T 51129</w:t>
      </w:r>
      <w:r w:rsidRPr="00A41CE6">
        <w:rPr>
          <w:rFonts w:ascii="Times New Roman" w:eastAsia="仿宋" w:hAnsi="Times New Roman" w:hint="eastAsia"/>
          <w:color w:val="000000" w:themeColor="text1"/>
          <w:sz w:val="28"/>
          <w:szCs w:val="28"/>
        </w:rPr>
        <w:t>和《海南省装配式建筑装配率计算规则》（</w:t>
      </w:r>
      <w:r w:rsidRPr="00A41CE6">
        <w:rPr>
          <w:rFonts w:ascii="Times New Roman" w:eastAsia="仿宋" w:hAnsi="Times New Roman" w:hint="eastAsia"/>
          <w:color w:val="000000" w:themeColor="text1"/>
          <w:sz w:val="28"/>
          <w:szCs w:val="28"/>
        </w:rPr>
        <w:t>2021</w:t>
      </w:r>
      <w:r w:rsidRPr="00A41CE6">
        <w:rPr>
          <w:rFonts w:ascii="Times New Roman" w:eastAsia="仿宋" w:hAnsi="Times New Roman" w:hint="eastAsia"/>
          <w:color w:val="000000" w:themeColor="text1"/>
          <w:sz w:val="28"/>
          <w:szCs w:val="28"/>
        </w:rPr>
        <w:t>年修改版）的要求，建设单位可申请不超过地上采用装配式建造的建筑面积</w:t>
      </w:r>
      <w:r w:rsidRPr="00A41CE6">
        <w:rPr>
          <w:rFonts w:ascii="Times New Roman" w:eastAsia="仿宋" w:hAnsi="Times New Roman"/>
          <w:color w:val="000000" w:themeColor="text1"/>
          <w:sz w:val="28"/>
          <w:szCs w:val="28"/>
        </w:rPr>
        <w:t>3%</w:t>
      </w:r>
      <w:r w:rsidRPr="00A41CE6">
        <w:rPr>
          <w:rFonts w:ascii="Times New Roman" w:eastAsia="仿宋" w:hAnsi="Times New Roman" w:hint="eastAsia"/>
          <w:color w:val="000000" w:themeColor="text1"/>
          <w:sz w:val="28"/>
          <w:szCs w:val="28"/>
        </w:rPr>
        <w:t>的奖励，奖励面积不计入容积率核算。</w:t>
      </w:r>
    </w:p>
    <w:p w:rsidR="00905716" w:rsidRPr="00A41CE6" w:rsidRDefault="00905716" w:rsidP="00905716">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w:t>
      </w:r>
      <w:r w:rsidRPr="00A41CE6">
        <w:rPr>
          <w:rFonts w:ascii="Times New Roman" w:eastAsia="仿宋" w:hAnsi="Times New Roman" w:hint="eastAsia"/>
          <w:color w:val="000000" w:themeColor="text1"/>
          <w:sz w:val="28"/>
          <w:szCs w:val="28"/>
        </w:rPr>
        <w:t>3</w:t>
      </w:r>
      <w:r w:rsidRPr="00A41CE6">
        <w:rPr>
          <w:rFonts w:ascii="Times New Roman" w:eastAsia="仿宋" w:hAnsi="Times New Roman" w:hint="eastAsia"/>
          <w:color w:val="000000" w:themeColor="text1"/>
          <w:sz w:val="28"/>
          <w:szCs w:val="28"/>
        </w:rPr>
        <w:t>）使用住房公积金贷款购买一星级及以上绿色建筑或装配式建筑自住住房的，可优先放贷。</w:t>
      </w:r>
    </w:p>
    <w:p w:rsidR="00905716" w:rsidRPr="00A41CE6" w:rsidRDefault="00905716" w:rsidP="00905716">
      <w:pPr>
        <w:adjustRightInd w:val="0"/>
        <w:snapToGrid w:val="0"/>
        <w:spacing w:after="0" w:line="360" w:lineRule="auto"/>
        <w:ind w:firstLineChars="200" w:firstLine="640"/>
        <w:jc w:val="both"/>
        <w:outlineLvl w:val="1"/>
        <w:rPr>
          <w:rFonts w:ascii="Times New Roman" w:eastAsia="黑体" w:hAnsi="Times New Roman"/>
          <w:color w:val="000000" w:themeColor="text1"/>
          <w:sz w:val="32"/>
          <w:szCs w:val="32"/>
        </w:rPr>
      </w:pPr>
      <w:bookmarkStart w:id="56" w:name="_Toc87945368"/>
      <w:bookmarkStart w:id="57" w:name="_Toc136877127"/>
      <w:r w:rsidRPr="00A41CE6">
        <w:rPr>
          <w:rFonts w:ascii="Times New Roman" w:eastAsia="黑体" w:hAnsi="Times New Roman" w:hint="eastAsia"/>
          <w:color w:val="000000" w:themeColor="text1"/>
          <w:sz w:val="32"/>
          <w:szCs w:val="32"/>
        </w:rPr>
        <w:t>（四）推动市场发展</w:t>
      </w:r>
      <w:bookmarkEnd w:id="56"/>
      <w:bookmarkEnd w:id="57"/>
    </w:p>
    <w:p w:rsidR="00905716" w:rsidRPr="00A41CE6" w:rsidRDefault="00905716" w:rsidP="00905716">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发挥市场和政府协同作用，构建完整的推广网络。加强政府引导，发挥市场在资源配置中的核心作用，推进市场运作机制的创新，构建市场化服务模式和平台，形成有利机制。重点发展和扶持专业化技术服务公司，促进市场主体积极参与和协同配合，形成良好的市场环境。加快推进合同能源管理模式，鼓励采用政府和社会资本合作的模式来推广海口市建筑节能与绿色建筑（装配式建筑）的应用。健全涵盖法律、财政、行政、金融以及技术标准等的支撑体系，强化市场保障机制和动力机制。建立市场诚信体系，对诚信记录较好的企业进行表彰。鼓励社会资本流入到建筑绿色发展当中，会同相关部门将绿色投资、绿色信贷、绿色金融和绿色保险等运用到实际项目中，引导银行加大信贷支持，将符合要求的项目纳入绿色信贷的支持范围。</w:t>
      </w:r>
      <w:r w:rsidRPr="00A41CE6">
        <w:rPr>
          <w:rFonts w:ascii="Times New Roman" w:eastAsia="仿宋" w:hAnsi="Times New Roman"/>
          <w:color w:val="000000" w:themeColor="text1"/>
          <w:sz w:val="28"/>
          <w:szCs w:val="28"/>
        </w:rPr>
        <w:t xml:space="preserve"> </w:t>
      </w:r>
    </w:p>
    <w:p w:rsidR="00905716" w:rsidRPr="00A41CE6" w:rsidRDefault="00905716" w:rsidP="00905716">
      <w:pPr>
        <w:adjustRightInd w:val="0"/>
        <w:snapToGrid w:val="0"/>
        <w:spacing w:after="0" w:line="360" w:lineRule="auto"/>
        <w:ind w:firstLineChars="200" w:firstLine="640"/>
        <w:jc w:val="both"/>
        <w:outlineLvl w:val="1"/>
        <w:rPr>
          <w:rFonts w:ascii="Times New Roman" w:eastAsia="黑体" w:hAnsi="Times New Roman"/>
          <w:color w:val="000000" w:themeColor="text1"/>
          <w:sz w:val="32"/>
          <w:szCs w:val="32"/>
        </w:rPr>
      </w:pPr>
      <w:bookmarkStart w:id="58" w:name="_Toc136877128"/>
      <w:r w:rsidRPr="00A41CE6">
        <w:rPr>
          <w:rFonts w:ascii="Times New Roman" w:eastAsia="黑体" w:hAnsi="Times New Roman" w:hint="eastAsia"/>
          <w:color w:val="000000" w:themeColor="text1"/>
          <w:sz w:val="32"/>
          <w:szCs w:val="32"/>
        </w:rPr>
        <w:t>（五）强化人才培养</w:t>
      </w:r>
      <w:bookmarkEnd w:id="58"/>
    </w:p>
    <w:p w:rsidR="00905716" w:rsidRPr="00A41CE6" w:rsidRDefault="00905716" w:rsidP="00905716">
      <w:pPr>
        <w:adjustRightInd w:val="0"/>
        <w:snapToGrid w:val="0"/>
        <w:spacing w:after="0" w:line="360" w:lineRule="auto"/>
        <w:ind w:firstLineChars="200" w:firstLine="560"/>
        <w:rPr>
          <w:rFonts w:ascii="Times New Roman" w:eastAsia="仿宋" w:hAnsi="Times New Roman"/>
          <w:color w:val="000000" w:themeColor="text1"/>
          <w:sz w:val="28"/>
          <w:szCs w:val="28"/>
        </w:rPr>
      </w:pPr>
      <w:r w:rsidRPr="00A41CE6">
        <w:rPr>
          <w:rFonts w:ascii="Times New Roman" w:eastAsia="仿宋" w:hAnsi="Times New Roman" w:hint="eastAsia"/>
          <w:color w:val="000000" w:themeColor="text1"/>
          <w:sz w:val="28"/>
          <w:szCs w:val="28"/>
        </w:rPr>
        <w:t>加强专业技术人员队伍建设，提高建筑节能与绿色建筑和装配式建筑专业技术技能。各区、园区主管部门要积极引导高等院校、大型建筑企业和科研院所与国内外技术机构进行合作，形成“产、学、研、用”的技术交流平台。鼓励校企合作</w:t>
      </w:r>
      <w:r w:rsidRPr="00A41CE6">
        <w:rPr>
          <w:rFonts w:ascii="Times New Roman" w:eastAsia="仿宋" w:hAnsi="Times New Roman"/>
          <w:color w:val="000000" w:themeColor="text1"/>
          <w:sz w:val="28"/>
          <w:szCs w:val="28"/>
        </w:rPr>
        <w:t>，加大对新兴职业（</w:t>
      </w:r>
      <w:r w:rsidRPr="00A41CE6">
        <w:rPr>
          <w:rFonts w:ascii="Times New Roman" w:eastAsia="仿宋" w:hAnsi="Times New Roman" w:hint="eastAsia"/>
          <w:color w:val="000000" w:themeColor="text1"/>
          <w:sz w:val="28"/>
          <w:szCs w:val="28"/>
        </w:rPr>
        <w:t>工种</w:t>
      </w:r>
      <w:r w:rsidRPr="00A41CE6">
        <w:rPr>
          <w:rFonts w:ascii="Times New Roman" w:eastAsia="仿宋" w:hAnsi="Times New Roman"/>
          <w:color w:val="000000" w:themeColor="text1"/>
          <w:sz w:val="28"/>
          <w:szCs w:val="28"/>
        </w:rPr>
        <w:t>）</w:t>
      </w:r>
      <w:r w:rsidRPr="00A41CE6">
        <w:rPr>
          <w:rFonts w:ascii="Times New Roman" w:eastAsia="仿宋" w:hAnsi="Times New Roman" w:hint="eastAsia"/>
          <w:color w:val="000000" w:themeColor="text1"/>
          <w:sz w:val="28"/>
          <w:szCs w:val="28"/>
        </w:rPr>
        <w:t>建筑人才</w:t>
      </w:r>
      <w:r w:rsidRPr="00A41CE6">
        <w:rPr>
          <w:rFonts w:ascii="Times New Roman" w:eastAsia="仿宋" w:hAnsi="Times New Roman"/>
          <w:color w:val="000000" w:themeColor="text1"/>
          <w:sz w:val="28"/>
          <w:szCs w:val="28"/>
        </w:rPr>
        <w:t>培养，</w:t>
      </w:r>
      <w:r w:rsidRPr="00A41CE6">
        <w:rPr>
          <w:rFonts w:ascii="Times New Roman" w:eastAsia="仿宋" w:hAnsi="Times New Roman" w:hint="eastAsia"/>
          <w:color w:val="000000" w:themeColor="text1"/>
          <w:sz w:val="28"/>
          <w:szCs w:val="28"/>
        </w:rPr>
        <w:t>支持</w:t>
      </w:r>
      <w:r w:rsidRPr="00A41CE6">
        <w:rPr>
          <w:rFonts w:ascii="Times New Roman" w:eastAsia="仿宋" w:hAnsi="Times New Roman"/>
          <w:color w:val="000000" w:themeColor="text1"/>
          <w:sz w:val="28"/>
          <w:szCs w:val="28"/>
        </w:rPr>
        <w:t>企业和院校共建产教融合实训基地，</w:t>
      </w:r>
      <w:r w:rsidRPr="00A41CE6">
        <w:rPr>
          <w:rFonts w:ascii="Times New Roman" w:eastAsia="仿宋" w:hAnsi="Times New Roman" w:hint="eastAsia"/>
          <w:color w:val="000000" w:themeColor="text1"/>
          <w:sz w:val="28"/>
          <w:szCs w:val="28"/>
        </w:rPr>
        <w:t>开展岗位实操培训，推动学科发展，加强建筑规划、设计、图审、施工、监理、运维</w:t>
      </w:r>
      <w:r w:rsidRPr="00A41CE6">
        <w:rPr>
          <w:rFonts w:ascii="Times New Roman" w:eastAsia="仿宋" w:hAnsi="Times New Roman" w:hint="eastAsia"/>
          <w:color w:val="000000" w:themeColor="text1"/>
          <w:sz w:val="28"/>
          <w:szCs w:val="28"/>
        </w:rPr>
        <w:lastRenderedPageBreak/>
        <w:t>和评估人员的相关专业知识和技能的培训，将超低能耗建筑、绿色建筑、装配式建筑和</w:t>
      </w:r>
      <w:r w:rsidRPr="00A41CE6">
        <w:rPr>
          <w:rFonts w:ascii="Times New Roman" w:eastAsia="仿宋" w:hAnsi="Times New Roman"/>
          <w:color w:val="000000" w:themeColor="text1"/>
          <w:sz w:val="28"/>
          <w:szCs w:val="28"/>
        </w:rPr>
        <w:t>建筑信息模型（</w:t>
      </w:r>
      <w:r w:rsidRPr="00A41CE6">
        <w:rPr>
          <w:rFonts w:ascii="Times New Roman" w:eastAsia="仿宋" w:hAnsi="Times New Roman" w:hint="eastAsia"/>
          <w:color w:val="000000" w:themeColor="text1"/>
          <w:sz w:val="28"/>
          <w:szCs w:val="28"/>
        </w:rPr>
        <w:t>BIM</w:t>
      </w:r>
      <w:r w:rsidRPr="00A41CE6">
        <w:rPr>
          <w:rFonts w:ascii="Times New Roman" w:eastAsia="仿宋" w:hAnsi="Times New Roman" w:hint="eastAsia"/>
          <w:color w:val="000000" w:themeColor="text1"/>
          <w:sz w:val="28"/>
          <w:szCs w:val="28"/>
        </w:rPr>
        <w:t>）技能列为重点培训内容，提高海口市相关从业人员的专业水平。组织专家在市内开展专题讲座和项目指导，组织从业人员赴发达地区学习，进一步加强人才建设。</w:t>
      </w:r>
    </w:p>
    <w:p w:rsidR="00905716" w:rsidRPr="00A41CE6" w:rsidRDefault="00905716" w:rsidP="00905716">
      <w:pPr>
        <w:adjustRightInd w:val="0"/>
        <w:snapToGrid w:val="0"/>
        <w:spacing w:after="0" w:line="360" w:lineRule="auto"/>
        <w:ind w:firstLineChars="200" w:firstLine="640"/>
        <w:jc w:val="both"/>
        <w:outlineLvl w:val="1"/>
        <w:rPr>
          <w:rFonts w:ascii="Times New Roman" w:eastAsia="黑体" w:hAnsi="Times New Roman"/>
          <w:color w:val="000000" w:themeColor="text1"/>
          <w:sz w:val="32"/>
          <w:szCs w:val="32"/>
        </w:rPr>
      </w:pPr>
      <w:bookmarkStart w:id="59" w:name="_Toc87945370"/>
      <w:bookmarkStart w:id="60" w:name="_Toc136877129"/>
      <w:r w:rsidRPr="00A41CE6">
        <w:rPr>
          <w:rFonts w:ascii="Times New Roman" w:eastAsia="黑体" w:hAnsi="Times New Roman" w:hint="eastAsia"/>
          <w:color w:val="000000" w:themeColor="text1"/>
          <w:sz w:val="32"/>
          <w:szCs w:val="32"/>
        </w:rPr>
        <w:t>（六）做好宣传教育</w:t>
      </w:r>
      <w:bookmarkEnd w:id="59"/>
      <w:bookmarkEnd w:id="60"/>
      <w:r w:rsidRPr="00A41CE6">
        <w:rPr>
          <w:rFonts w:ascii="Times New Roman" w:eastAsia="黑体" w:hAnsi="Times New Roman"/>
          <w:color w:val="000000" w:themeColor="text1"/>
          <w:sz w:val="32"/>
          <w:szCs w:val="32"/>
        </w:rPr>
        <w:fldChar w:fldCharType="begin"/>
      </w:r>
      <w:r w:rsidRPr="00A41CE6">
        <w:rPr>
          <w:rFonts w:ascii="Times New Roman" w:eastAsia="黑体" w:hAnsi="Times New Roman"/>
          <w:color w:val="000000" w:themeColor="text1"/>
          <w:sz w:val="32"/>
          <w:szCs w:val="32"/>
        </w:rPr>
        <w:instrText xml:space="preserve"> TOC \o "1-2" \h \z \u </w:instrText>
      </w:r>
      <w:r w:rsidRPr="00A41CE6">
        <w:rPr>
          <w:rFonts w:ascii="Times New Roman" w:eastAsia="黑体" w:hAnsi="Times New Roman"/>
          <w:color w:val="000000" w:themeColor="text1"/>
          <w:sz w:val="32"/>
          <w:szCs w:val="32"/>
        </w:rPr>
        <w:fldChar w:fldCharType="separate"/>
      </w:r>
    </w:p>
    <w:p w:rsidR="00905716" w:rsidRPr="00A41CE6" w:rsidRDefault="00905716" w:rsidP="00905716">
      <w:pPr>
        <w:adjustRightInd w:val="0"/>
        <w:snapToGrid w:val="0"/>
        <w:spacing w:after="0" w:line="360" w:lineRule="auto"/>
        <w:ind w:firstLineChars="200" w:firstLine="600"/>
        <w:rPr>
          <w:rFonts w:ascii="Times New Roman" w:eastAsia="仿宋" w:hAnsi="Times New Roman"/>
          <w:color w:val="000000" w:themeColor="text1"/>
          <w:sz w:val="28"/>
          <w:szCs w:val="28"/>
        </w:rPr>
      </w:pPr>
      <w:r w:rsidRPr="00A41CE6">
        <w:rPr>
          <w:rFonts w:ascii="Times New Roman" w:eastAsia="黑体" w:hAnsi="Times New Roman"/>
          <w:color w:val="000000" w:themeColor="text1"/>
          <w:sz w:val="30"/>
          <w:szCs w:val="30"/>
        </w:rPr>
        <w:fldChar w:fldCharType="end"/>
      </w:r>
      <w:r w:rsidRPr="00A41CE6">
        <w:rPr>
          <w:rFonts w:ascii="Times New Roman" w:eastAsia="仿宋" w:hAnsi="Times New Roman" w:hint="eastAsia"/>
          <w:color w:val="000000" w:themeColor="text1"/>
          <w:sz w:val="28"/>
          <w:szCs w:val="28"/>
        </w:rPr>
        <w:t>各区、园区主管部门要积极推进超低能耗建筑、绿色建筑、装配式建筑示范项目和示范基地的建设工作，定期组织示范观摩活动，及时总结优秀项目的经验做法，形成比、学、赶、帮的热潮。充分发挥政府、企事业单位、行业学会协会和产业联盟的作用，鼓励开展科技活动周、节能宣传周、技术宣贯会和博览会等活动，并结合电视、官方网站、微信公众号等多种媒体形成立体化的宣传体系来推广建筑节能与绿色建筑（装配式建筑）的基本知识、政策措施、法律法规、创新经验、实践经验以及典型案例。对建筑节能与绿色建筑（装配式建筑）工作做出重大贡献的企业单位与个人予以表扬。大力倡导节能低碳生活和绿色消费方式，提高全社会节能意识。</w:t>
      </w:r>
    </w:p>
    <w:p w:rsidR="00980710" w:rsidRPr="00A41CE6" w:rsidRDefault="00980710">
      <w:pPr>
        <w:spacing w:after="0" w:line="240" w:lineRule="auto"/>
        <w:rPr>
          <w:rFonts w:ascii="Times New Roman" w:eastAsia="仿宋" w:hAnsi="Times New Roman"/>
          <w:color w:val="000000" w:themeColor="text1"/>
          <w:sz w:val="28"/>
          <w:szCs w:val="28"/>
        </w:rPr>
      </w:pPr>
      <w:r w:rsidRPr="00A41CE6">
        <w:rPr>
          <w:rFonts w:ascii="Times New Roman" w:eastAsia="仿宋" w:hAnsi="Times New Roman"/>
          <w:color w:val="000000" w:themeColor="text1"/>
          <w:sz w:val="28"/>
          <w:szCs w:val="28"/>
        </w:rPr>
        <w:br w:type="page"/>
      </w:r>
    </w:p>
    <w:p w:rsidR="00D157CC" w:rsidRPr="00A41CE6" w:rsidRDefault="00D157CC" w:rsidP="006166C2">
      <w:pPr>
        <w:spacing w:after="0" w:line="360" w:lineRule="auto"/>
        <w:rPr>
          <w:rFonts w:ascii="Times New Roman" w:eastAsia="黑体" w:hAnsi="Times New Roman"/>
          <w:color w:val="000000" w:themeColor="text1"/>
          <w:sz w:val="28"/>
          <w:szCs w:val="28"/>
        </w:rPr>
      </w:pPr>
      <w:r w:rsidRPr="00A41CE6">
        <w:rPr>
          <w:rFonts w:ascii="Times New Roman" w:eastAsia="黑体" w:hAnsi="Times New Roman" w:hint="eastAsia"/>
          <w:color w:val="000000" w:themeColor="text1"/>
          <w:sz w:val="28"/>
          <w:szCs w:val="28"/>
        </w:rPr>
        <w:lastRenderedPageBreak/>
        <w:t>附件</w:t>
      </w:r>
      <w:r w:rsidRPr="00A41CE6">
        <w:rPr>
          <w:rFonts w:ascii="Times New Roman" w:eastAsia="黑体" w:hAnsi="Times New Roman"/>
          <w:color w:val="000000" w:themeColor="text1"/>
          <w:sz w:val="28"/>
          <w:szCs w:val="28"/>
        </w:rPr>
        <w:t>1</w:t>
      </w:r>
      <w:r w:rsidRPr="00A41CE6">
        <w:rPr>
          <w:rFonts w:ascii="Times New Roman" w:eastAsia="黑体" w:hAnsi="Times New Roman" w:hint="eastAsia"/>
          <w:color w:val="000000" w:themeColor="text1"/>
          <w:sz w:val="28"/>
          <w:szCs w:val="28"/>
        </w:rPr>
        <w:t>：符合条件的新建建筑采用装配式建造方式的比例＞</w:t>
      </w:r>
      <w:r w:rsidRPr="00A41CE6">
        <w:rPr>
          <w:rFonts w:ascii="Times New Roman" w:eastAsia="黑体" w:hAnsi="Times New Roman"/>
          <w:color w:val="000000" w:themeColor="text1"/>
          <w:sz w:val="28"/>
          <w:szCs w:val="28"/>
        </w:rPr>
        <w:t>80%</w:t>
      </w:r>
      <w:r w:rsidR="006166C2" w:rsidRPr="00A41CE6">
        <w:rPr>
          <w:rFonts w:ascii="Times New Roman" w:eastAsia="黑体" w:hAnsi="Times New Roman" w:hint="eastAsia"/>
          <w:color w:val="000000" w:themeColor="text1"/>
          <w:sz w:val="28"/>
          <w:szCs w:val="28"/>
        </w:rPr>
        <w:t>。</w:t>
      </w:r>
    </w:p>
    <w:p w:rsidR="00D157CC" w:rsidRDefault="00D157CC" w:rsidP="00D157CC">
      <w:pPr>
        <w:ind w:firstLineChars="200" w:firstLine="560"/>
        <w:rPr>
          <w:rFonts w:ascii="Times New Roman" w:eastAsiaTheme="minorEastAsia" w:hAnsi="Times New Roman" w:hint="eastAsia"/>
          <w:color w:val="000000"/>
          <w:sz w:val="28"/>
          <w:szCs w:val="28"/>
        </w:rPr>
      </w:pPr>
      <w:r w:rsidRPr="00A41CE6">
        <w:rPr>
          <w:rFonts w:ascii="Times New Roman" w:eastAsiaTheme="minorEastAsia" w:hAnsi="Times New Roman"/>
          <w:sz w:val="28"/>
          <w:szCs w:val="28"/>
        </w:rPr>
        <w:t>根据《</w:t>
      </w:r>
      <w:r w:rsidRPr="00A41CE6">
        <w:rPr>
          <w:rFonts w:ascii="Times New Roman" w:eastAsiaTheme="minorEastAsia" w:hAnsi="Times New Roman" w:hint="eastAsia"/>
          <w:sz w:val="28"/>
          <w:szCs w:val="28"/>
        </w:rPr>
        <w:t>海南省绿色建筑（装配式建筑）“十四五”规划（</w:t>
      </w:r>
      <w:r w:rsidRPr="00A41CE6">
        <w:rPr>
          <w:rFonts w:ascii="Times New Roman" w:eastAsiaTheme="minorEastAsia" w:hAnsi="Times New Roman" w:hint="eastAsia"/>
          <w:sz w:val="28"/>
          <w:szCs w:val="28"/>
        </w:rPr>
        <w:t>2021-2025</w:t>
      </w:r>
      <w:r w:rsidRPr="00A41CE6">
        <w:rPr>
          <w:rFonts w:ascii="Times New Roman" w:eastAsiaTheme="minorEastAsia" w:hAnsi="Times New Roman" w:hint="eastAsia"/>
          <w:sz w:val="28"/>
          <w:szCs w:val="28"/>
        </w:rPr>
        <w:t>）</w:t>
      </w:r>
      <w:r w:rsidRPr="00A41CE6">
        <w:rPr>
          <w:rFonts w:ascii="Times New Roman" w:eastAsiaTheme="minorEastAsia" w:hAnsi="Times New Roman"/>
          <w:sz w:val="28"/>
          <w:szCs w:val="28"/>
        </w:rPr>
        <w:t>》发展目标中对装配式建筑发展要求，</w:t>
      </w:r>
      <w:r w:rsidRPr="00A41CE6">
        <w:rPr>
          <w:rFonts w:ascii="Times New Roman" w:eastAsiaTheme="minorEastAsia" w:hAnsi="Times New Roman" w:hint="eastAsia"/>
          <w:color w:val="000000"/>
          <w:sz w:val="28"/>
          <w:szCs w:val="28"/>
        </w:rPr>
        <w:t>到</w:t>
      </w:r>
      <w:r w:rsidRPr="00A41CE6">
        <w:rPr>
          <w:rFonts w:ascii="Times New Roman" w:eastAsiaTheme="minorEastAsia" w:hAnsi="Times New Roman" w:hint="eastAsia"/>
          <w:color w:val="000000"/>
          <w:sz w:val="28"/>
          <w:szCs w:val="28"/>
        </w:rPr>
        <w:t>2025</w:t>
      </w:r>
      <w:r w:rsidRPr="00A41CE6">
        <w:rPr>
          <w:rFonts w:ascii="Times New Roman" w:eastAsiaTheme="minorEastAsia" w:hAnsi="Times New Roman" w:hint="eastAsia"/>
          <w:color w:val="000000"/>
          <w:sz w:val="28"/>
          <w:szCs w:val="28"/>
        </w:rPr>
        <w:t>年末，装配式建筑占新建建筑比例大于</w:t>
      </w:r>
      <w:r w:rsidRPr="00A41CE6">
        <w:rPr>
          <w:rFonts w:ascii="Times New Roman" w:eastAsiaTheme="minorEastAsia" w:hAnsi="Times New Roman" w:hint="eastAsia"/>
          <w:color w:val="000000"/>
          <w:sz w:val="28"/>
          <w:szCs w:val="28"/>
        </w:rPr>
        <w:t>80%</w:t>
      </w:r>
      <w:r w:rsidRPr="00A41CE6">
        <w:rPr>
          <w:rFonts w:ascii="Times New Roman" w:eastAsiaTheme="minorEastAsia" w:hAnsi="Times New Roman" w:hint="eastAsia"/>
          <w:color w:val="000000"/>
          <w:sz w:val="28"/>
          <w:szCs w:val="28"/>
        </w:rPr>
        <w:t>。</w:t>
      </w:r>
    </w:p>
    <w:p w:rsidR="00833730" w:rsidRPr="00A41CE6" w:rsidRDefault="00833730" w:rsidP="00D157CC">
      <w:pPr>
        <w:ind w:firstLineChars="200" w:firstLine="560"/>
        <w:rPr>
          <w:rFonts w:ascii="Times New Roman" w:eastAsiaTheme="minorEastAsia" w:hAnsi="Times New Roman"/>
          <w:color w:val="000000"/>
          <w:sz w:val="28"/>
          <w:szCs w:val="28"/>
        </w:rPr>
      </w:pPr>
    </w:p>
    <w:p w:rsidR="00D157CC" w:rsidRPr="00A41CE6" w:rsidRDefault="00D157CC" w:rsidP="006166C2">
      <w:pPr>
        <w:spacing w:after="0" w:line="360" w:lineRule="auto"/>
        <w:rPr>
          <w:rFonts w:ascii="Times New Roman" w:eastAsia="黑体" w:hAnsi="Times New Roman"/>
          <w:color w:val="000000" w:themeColor="text1"/>
          <w:sz w:val="28"/>
          <w:szCs w:val="28"/>
        </w:rPr>
      </w:pPr>
      <w:r w:rsidRPr="00A41CE6">
        <w:rPr>
          <w:rFonts w:ascii="Times New Roman" w:eastAsia="黑体" w:hAnsi="Times New Roman" w:hint="eastAsia"/>
          <w:color w:val="000000" w:themeColor="text1"/>
          <w:sz w:val="28"/>
          <w:szCs w:val="28"/>
        </w:rPr>
        <w:t>附件</w:t>
      </w:r>
      <w:r w:rsidRPr="00A41CE6">
        <w:rPr>
          <w:rFonts w:ascii="Times New Roman" w:eastAsia="黑体" w:hAnsi="Times New Roman"/>
          <w:color w:val="000000" w:themeColor="text1"/>
          <w:sz w:val="28"/>
          <w:szCs w:val="28"/>
        </w:rPr>
        <w:t>2</w:t>
      </w:r>
      <w:r w:rsidRPr="00A41CE6">
        <w:rPr>
          <w:rFonts w:ascii="Times New Roman" w:eastAsia="黑体" w:hAnsi="Times New Roman" w:hint="eastAsia"/>
          <w:color w:val="000000" w:themeColor="text1"/>
          <w:sz w:val="28"/>
          <w:szCs w:val="28"/>
        </w:rPr>
        <w:t>：公共建筑钢结构实施比例达</w:t>
      </w:r>
      <w:r w:rsidRPr="00A41CE6">
        <w:rPr>
          <w:rFonts w:ascii="Times New Roman" w:eastAsia="黑体" w:hAnsi="Times New Roman"/>
          <w:color w:val="000000" w:themeColor="text1"/>
          <w:sz w:val="28"/>
          <w:szCs w:val="28"/>
        </w:rPr>
        <w:t>30%</w:t>
      </w:r>
      <w:r w:rsidR="008D05E1">
        <w:rPr>
          <w:rFonts w:ascii="Times New Roman" w:eastAsia="黑体" w:hAnsi="Times New Roman" w:hint="eastAsia"/>
          <w:color w:val="000000" w:themeColor="text1"/>
          <w:sz w:val="28"/>
          <w:szCs w:val="28"/>
        </w:rPr>
        <w:t>。</w:t>
      </w:r>
    </w:p>
    <w:p w:rsidR="00D157CC" w:rsidRDefault="00D157CC" w:rsidP="00D157CC">
      <w:pPr>
        <w:ind w:firstLineChars="200" w:firstLine="560"/>
        <w:rPr>
          <w:rFonts w:ascii="Times New Roman" w:eastAsiaTheme="minorEastAsia" w:hAnsi="Times New Roman" w:hint="eastAsia"/>
          <w:sz w:val="28"/>
          <w:szCs w:val="28"/>
        </w:rPr>
      </w:pPr>
      <w:r w:rsidRPr="00A41CE6">
        <w:rPr>
          <w:rFonts w:ascii="Times New Roman" w:eastAsiaTheme="minorEastAsia" w:hAnsi="Times New Roman"/>
          <w:sz w:val="28"/>
          <w:szCs w:val="28"/>
        </w:rPr>
        <w:t>依据来源：</w:t>
      </w:r>
      <w:r w:rsidRPr="00A41CE6">
        <w:rPr>
          <w:rFonts w:ascii="Times New Roman" w:eastAsiaTheme="minorEastAsia" w:hAnsi="Times New Roman" w:hint="eastAsia"/>
          <w:sz w:val="28"/>
          <w:szCs w:val="28"/>
        </w:rPr>
        <w:t>2</w:t>
      </w:r>
      <w:r w:rsidRPr="00A41CE6">
        <w:rPr>
          <w:rFonts w:ascii="Times New Roman" w:eastAsiaTheme="minorEastAsia" w:hAnsi="Times New Roman"/>
          <w:sz w:val="28"/>
          <w:szCs w:val="28"/>
        </w:rPr>
        <w:t>022</w:t>
      </w:r>
      <w:r w:rsidRPr="00A41CE6">
        <w:rPr>
          <w:rFonts w:ascii="Times New Roman" w:eastAsiaTheme="minorEastAsia" w:hAnsi="Times New Roman"/>
          <w:sz w:val="28"/>
          <w:szCs w:val="28"/>
        </w:rPr>
        <w:t>年装配式钢结构占装配式建筑应用比例约为</w:t>
      </w:r>
      <w:r w:rsidRPr="00A41CE6">
        <w:rPr>
          <w:rFonts w:ascii="Times New Roman" w:eastAsiaTheme="minorEastAsia" w:hAnsi="Times New Roman" w:hint="eastAsia"/>
          <w:sz w:val="28"/>
          <w:szCs w:val="28"/>
        </w:rPr>
        <w:t>1</w:t>
      </w:r>
      <w:r w:rsidRPr="00A41CE6">
        <w:rPr>
          <w:rFonts w:ascii="Times New Roman" w:eastAsiaTheme="minorEastAsia" w:hAnsi="Times New Roman"/>
          <w:sz w:val="28"/>
          <w:szCs w:val="28"/>
        </w:rPr>
        <w:t>0%</w:t>
      </w:r>
      <w:r w:rsidRPr="00A41CE6">
        <w:rPr>
          <w:rFonts w:ascii="Times New Roman" w:eastAsiaTheme="minorEastAsia" w:hAnsi="Times New Roman"/>
          <w:sz w:val="28"/>
          <w:szCs w:val="28"/>
        </w:rPr>
        <w:t>，根据《</w:t>
      </w:r>
      <w:r w:rsidRPr="00A41CE6">
        <w:rPr>
          <w:rFonts w:ascii="Times New Roman" w:eastAsiaTheme="minorEastAsia" w:hAnsi="Times New Roman" w:hint="eastAsia"/>
          <w:sz w:val="28"/>
          <w:szCs w:val="28"/>
        </w:rPr>
        <w:t>海南省绿色建筑（装配式建筑）“十四五”规划（</w:t>
      </w:r>
      <w:r w:rsidRPr="00A41CE6">
        <w:rPr>
          <w:rFonts w:ascii="Times New Roman" w:eastAsiaTheme="minorEastAsia" w:hAnsi="Times New Roman" w:hint="eastAsia"/>
          <w:sz w:val="28"/>
          <w:szCs w:val="28"/>
        </w:rPr>
        <w:t>2021-2025</w:t>
      </w:r>
      <w:r w:rsidRPr="00A41CE6">
        <w:rPr>
          <w:rFonts w:ascii="Times New Roman" w:eastAsiaTheme="minorEastAsia" w:hAnsi="Times New Roman" w:hint="eastAsia"/>
          <w:sz w:val="28"/>
          <w:szCs w:val="28"/>
        </w:rPr>
        <w:t>）</w:t>
      </w:r>
      <w:r w:rsidRPr="00A41CE6">
        <w:rPr>
          <w:rFonts w:ascii="Times New Roman" w:eastAsiaTheme="minorEastAsia" w:hAnsi="Times New Roman"/>
          <w:sz w:val="28"/>
          <w:szCs w:val="28"/>
        </w:rPr>
        <w:t>》及海南省人民政府办公厅印发的《关于加快推进装配式建筑发展的通知》（琼府办函</w:t>
      </w:r>
      <w:r w:rsidRPr="00A41CE6">
        <w:rPr>
          <w:rFonts w:ascii="Times New Roman" w:eastAsiaTheme="minorEastAsia" w:hAnsi="Times New Roman" w:hint="eastAsia"/>
          <w:sz w:val="28"/>
          <w:szCs w:val="28"/>
        </w:rPr>
        <w:t>[</w:t>
      </w:r>
      <w:r w:rsidRPr="00A41CE6">
        <w:rPr>
          <w:rFonts w:ascii="Times New Roman" w:eastAsiaTheme="minorEastAsia" w:hAnsi="Times New Roman"/>
          <w:sz w:val="28"/>
          <w:szCs w:val="28"/>
        </w:rPr>
        <w:t>2020]127</w:t>
      </w:r>
      <w:r w:rsidRPr="00A41CE6">
        <w:rPr>
          <w:rFonts w:ascii="Times New Roman" w:eastAsiaTheme="minorEastAsia" w:hAnsi="Times New Roman"/>
          <w:sz w:val="28"/>
          <w:szCs w:val="28"/>
        </w:rPr>
        <w:t>号），鼓励图书馆、展览馆、工业厂房及机场，办公楼、学校、医院等公共建筑，以及抗震设防烈度</w:t>
      </w:r>
      <w:r w:rsidRPr="00A41CE6">
        <w:rPr>
          <w:rFonts w:ascii="Times New Roman" w:eastAsiaTheme="minorEastAsia" w:hAnsi="Times New Roman" w:hint="eastAsia"/>
          <w:sz w:val="28"/>
          <w:szCs w:val="28"/>
        </w:rPr>
        <w:t>8</w:t>
      </w:r>
      <w:r w:rsidRPr="00A41CE6">
        <w:rPr>
          <w:rFonts w:ascii="Times New Roman" w:eastAsiaTheme="minorEastAsia" w:hAnsi="Times New Roman" w:hint="eastAsia"/>
          <w:sz w:val="28"/>
          <w:szCs w:val="28"/>
        </w:rPr>
        <w:t>度区内的超高层建筑优先采用钢结构装配式方式建造。结合发展趋势，钢结构实施比例逐年提高，预期</w:t>
      </w:r>
      <w:r w:rsidRPr="00A41CE6">
        <w:rPr>
          <w:rFonts w:ascii="Times New Roman" w:eastAsiaTheme="minorEastAsia" w:hAnsi="Times New Roman" w:hint="eastAsia"/>
          <w:sz w:val="28"/>
          <w:szCs w:val="28"/>
        </w:rPr>
        <w:t>2</w:t>
      </w:r>
      <w:r w:rsidRPr="00A41CE6">
        <w:rPr>
          <w:rFonts w:ascii="Times New Roman" w:eastAsiaTheme="minorEastAsia" w:hAnsi="Times New Roman"/>
          <w:sz w:val="28"/>
          <w:szCs w:val="28"/>
        </w:rPr>
        <w:t>025</w:t>
      </w:r>
      <w:r w:rsidRPr="00A41CE6">
        <w:rPr>
          <w:rFonts w:ascii="Times New Roman" w:eastAsiaTheme="minorEastAsia" w:hAnsi="Times New Roman"/>
          <w:sz w:val="28"/>
          <w:szCs w:val="28"/>
        </w:rPr>
        <w:t>年装配式钢结构占装配式建筑应用比例约为</w:t>
      </w:r>
      <w:r w:rsidRPr="00A41CE6">
        <w:rPr>
          <w:rFonts w:ascii="Times New Roman" w:eastAsiaTheme="minorEastAsia" w:hAnsi="Times New Roman"/>
          <w:sz w:val="28"/>
          <w:szCs w:val="28"/>
        </w:rPr>
        <w:t>30%</w:t>
      </w:r>
      <w:r w:rsidRPr="00A41CE6">
        <w:rPr>
          <w:rFonts w:ascii="Times New Roman" w:eastAsiaTheme="minorEastAsia" w:hAnsi="Times New Roman"/>
          <w:sz w:val="28"/>
          <w:szCs w:val="28"/>
        </w:rPr>
        <w:t>。</w:t>
      </w:r>
    </w:p>
    <w:p w:rsidR="00833730" w:rsidRPr="00A41CE6" w:rsidRDefault="00833730" w:rsidP="00D157CC">
      <w:pPr>
        <w:ind w:firstLineChars="200" w:firstLine="560"/>
        <w:rPr>
          <w:rFonts w:ascii="Times New Roman" w:eastAsiaTheme="minorEastAsia" w:hAnsi="Times New Roman"/>
          <w:sz w:val="28"/>
          <w:szCs w:val="28"/>
        </w:rPr>
      </w:pPr>
    </w:p>
    <w:p w:rsidR="00D1055B" w:rsidRDefault="00D1055B">
      <w:pPr>
        <w:spacing w:after="0" w:line="240" w:lineRule="auto"/>
        <w:rPr>
          <w:rFonts w:ascii="Times New Roman" w:eastAsia="黑体" w:hAnsi="Times New Roman"/>
          <w:color w:val="000000" w:themeColor="text1"/>
          <w:sz w:val="28"/>
          <w:szCs w:val="28"/>
        </w:rPr>
      </w:pPr>
      <w:r>
        <w:rPr>
          <w:rFonts w:ascii="Times New Roman" w:eastAsia="黑体" w:hAnsi="Times New Roman"/>
          <w:color w:val="000000" w:themeColor="text1"/>
          <w:sz w:val="28"/>
          <w:szCs w:val="28"/>
        </w:rPr>
        <w:br w:type="page"/>
      </w:r>
    </w:p>
    <w:p w:rsidR="00D157CC" w:rsidRPr="00A41CE6" w:rsidRDefault="00D157CC" w:rsidP="006166C2">
      <w:pPr>
        <w:spacing w:after="0" w:line="360" w:lineRule="auto"/>
        <w:rPr>
          <w:rFonts w:ascii="Times New Roman" w:eastAsia="黑体" w:hAnsi="Times New Roman"/>
          <w:color w:val="000000" w:themeColor="text1"/>
          <w:sz w:val="28"/>
          <w:szCs w:val="28"/>
        </w:rPr>
      </w:pPr>
      <w:r w:rsidRPr="00A41CE6">
        <w:rPr>
          <w:rFonts w:ascii="Times New Roman" w:eastAsia="黑体" w:hAnsi="Times New Roman" w:hint="eastAsia"/>
          <w:color w:val="000000" w:themeColor="text1"/>
          <w:sz w:val="28"/>
          <w:szCs w:val="28"/>
        </w:rPr>
        <w:lastRenderedPageBreak/>
        <w:t>附件</w:t>
      </w:r>
      <w:r w:rsidRPr="00A41CE6">
        <w:rPr>
          <w:rFonts w:ascii="Times New Roman" w:eastAsia="黑体" w:hAnsi="Times New Roman"/>
          <w:color w:val="000000" w:themeColor="text1"/>
          <w:sz w:val="28"/>
          <w:szCs w:val="28"/>
        </w:rPr>
        <w:t>3</w:t>
      </w:r>
      <w:r w:rsidRPr="00A41CE6">
        <w:rPr>
          <w:rFonts w:ascii="Times New Roman" w:eastAsia="黑体" w:hAnsi="Times New Roman" w:hint="eastAsia"/>
          <w:color w:val="000000" w:themeColor="text1"/>
          <w:sz w:val="28"/>
          <w:szCs w:val="28"/>
        </w:rPr>
        <w:t>：住宅全装修项目比例达</w:t>
      </w:r>
      <w:r w:rsidRPr="00A41CE6">
        <w:rPr>
          <w:rFonts w:ascii="Times New Roman" w:eastAsia="黑体" w:hAnsi="Times New Roman"/>
          <w:color w:val="000000" w:themeColor="text1"/>
          <w:sz w:val="28"/>
          <w:szCs w:val="28"/>
        </w:rPr>
        <w:t>100%</w:t>
      </w:r>
      <w:r w:rsidR="008D05E1">
        <w:rPr>
          <w:rFonts w:ascii="Times New Roman" w:eastAsia="黑体" w:hAnsi="Times New Roman" w:hint="eastAsia"/>
          <w:color w:val="000000" w:themeColor="text1"/>
          <w:sz w:val="28"/>
          <w:szCs w:val="28"/>
        </w:rPr>
        <w:t>。</w:t>
      </w:r>
    </w:p>
    <w:p w:rsidR="00D157CC" w:rsidRDefault="00D157CC" w:rsidP="00D157CC">
      <w:pPr>
        <w:ind w:firstLineChars="200" w:firstLine="560"/>
        <w:rPr>
          <w:rFonts w:ascii="Times New Roman" w:eastAsiaTheme="minorEastAsia" w:hAnsi="Times New Roman" w:hint="eastAsia"/>
          <w:sz w:val="28"/>
          <w:szCs w:val="28"/>
        </w:rPr>
      </w:pPr>
      <w:r w:rsidRPr="00A41CE6">
        <w:rPr>
          <w:rFonts w:ascii="Times New Roman" w:eastAsiaTheme="minorEastAsia" w:hAnsi="Times New Roman"/>
          <w:sz w:val="28"/>
          <w:szCs w:val="28"/>
        </w:rPr>
        <w:t>依据来源：根据</w:t>
      </w:r>
      <w:r w:rsidRPr="00A41CE6">
        <w:rPr>
          <w:rFonts w:ascii="Times New Roman" w:eastAsiaTheme="minorEastAsia" w:hAnsi="Times New Roman" w:hint="eastAsia"/>
          <w:sz w:val="28"/>
          <w:szCs w:val="28"/>
        </w:rPr>
        <w:t>海南省住房和城乡建设厅关于印发《海南省商品住宅全装修管理办法》（试行）要求，</w:t>
      </w:r>
      <w:r w:rsidRPr="00A41CE6">
        <w:rPr>
          <w:rFonts w:ascii="Times New Roman" w:eastAsiaTheme="minorEastAsia" w:hAnsi="Times New Roman" w:hint="eastAsia"/>
          <w:sz w:val="28"/>
          <w:szCs w:val="28"/>
        </w:rPr>
        <w:t>2017</w:t>
      </w:r>
      <w:r w:rsidRPr="00A41CE6">
        <w:rPr>
          <w:rFonts w:ascii="Times New Roman" w:eastAsiaTheme="minorEastAsia" w:hAnsi="Times New Roman" w:hint="eastAsia"/>
          <w:sz w:val="28"/>
          <w:szCs w:val="28"/>
        </w:rPr>
        <w:t>年</w:t>
      </w:r>
      <w:r w:rsidRPr="00A41CE6">
        <w:rPr>
          <w:rFonts w:ascii="Times New Roman" w:eastAsiaTheme="minorEastAsia" w:hAnsi="Times New Roman" w:hint="eastAsia"/>
          <w:sz w:val="28"/>
          <w:szCs w:val="28"/>
        </w:rPr>
        <w:t>7</w:t>
      </w:r>
      <w:r w:rsidRPr="00A41CE6">
        <w:rPr>
          <w:rFonts w:ascii="Times New Roman" w:eastAsiaTheme="minorEastAsia" w:hAnsi="Times New Roman" w:hint="eastAsia"/>
          <w:sz w:val="28"/>
          <w:szCs w:val="28"/>
        </w:rPr>
        <w:t>月</w:t>
      </w:r>
      <w:r w:rsidRPr="00A41CE6">
        <w:rPr>
          <w:rFonts w:ascii="Times New Roman" w:eastAsiaTheme="minorEastAsia" w:hAnsi="Times New Roman" w:hint="eastAsia"/>
          <w:sz w:val="28"/>
          <w:szCs w:val="28"/>
        </w:rPr>
        <w:t>1</w:t>
      </w:r>
      <w:r w:rsidRPr="00A41CE6">
        <w:rPr>
          <w:rFonts w:ascii="Times New Roman" w:eastAsiaTheme="minorEastAsia" w:hAnsi="Times New Roman" w:hint="eastAsia"/>
          <w:sz w:val="28"/>
          <w:szCs w:val="28"/>
        </w:rPr>
        <w:t>日（含）后取得施工许可证的商品住宅工程实行全装修交付。随着《海南省全装修住宅工程质量分户验收管理办法》</w:t>
      </w:r>
      <w:r w:rsidRPr="00A41CE6">
        <w:rPr>
          <w:rFonts w:ascii="Times New Roman" w:eastAsiaTheme="minorEastAsia" w:hAnsi="Times New Roman" w:hint="eastAsia"/>
          <w:sz w:val="28"/>
          <w:szCs w:val="28"/>
        </w:rPr>
        <w:t>(</w:t>
      </w:r>
      <w:r w:rsidRPr="00A41CE6">
        <w:rPr>
          <w:rFonts w:ascii="Times New Roman" w:eastAsiaTheme="minorEastAsia" w:hAnsi="Times New Roman" w:hint="eastAsia"/>
          <w:sz w:val="28"/>
          <w:szCs w:val="28"/>
        </w:rPr>
        <w:t>琼建规〔</w:t>
      </w:r>
      <w:r w:rsidRPr="00A41CE6">
        <w:rPr>
          <w:rFonts w:ascii="Times New Roman" w:eastAsiaTheme="minorEastAsia" w:hAnsi="Times New Roman" w:hint="eastAsia"/>
          <w:sz w:val="28"/>
          <w:szCs w:val="28"/>
        </w:rPr>
        <w:t>2020</w:t>
      </w:r>
      <w:r w:rsidRPr="00A41CE6">
        <w:rPr>
          <w:rFonts w:ascii="Times New Roman" w:eastAsiaTheme="minorEastAsia" w:hAnsi="Times New Roman" w:hint="eastAsia"/>
          <w:sz w:val="28"/>
          <w:szCs w:val="28"/>
        </w:rPr>
        <w:t>〕</w:t>
      </w:r>
      <w:r w:rsidRPr="00A41CE6">
        <w:rPr>
          <w:rFonts w:ascii="Times New Roman" w:eastAsiaTheme="minorEastAsia" w:hAnsi="Times New Roman" w:hint="eastAsia"/>
          <w:sz w:val="28"/>
          <w:szCs w:val="28"/>
        </w:rPr>
        <w:t>6</w:t>
      </w:r>
      <w:r w:rsidRPr="00A41CE6">
        <w:rPr>
          <w:rFonts w:ascii="Times New Roman" w:eastAsiaTheme="minorEastAsia" w:hAnsi="Times New Roman" w:hint="eastAsia"/>
          <w:sz w:val="28"/>
          <w:szCs w:val="28"/>
        </w:rPr>
        <w:t>号</w:t>
      </w:r>
      <w:r w:rsidRPr="00A41CE6">
        <w:rPr>
          <w:rFonts w:ascii="Times New Roman" w:eastAsiaTheme="minorEastAsia" w:hAnsi="Times New Roman" w:hint="eastAsia"/>
          <w:sz w:val="28"/>
          <w:szCs w:val="28"/>
        </w:rPr>
        <w:t>)</w:t>
      </w:r>
      <w:r w:rsidRPr="00A41CE6">
        <w:rPr>
          <w:rFonts w:ascii="Times New Roman" w:eastAsiaTheme="minorEastAsia" w:hAnsi="Times New Roman" w:hint="eastAsia"/>
          <w:sz w:val="28"/>
          <w:szCs w:val="28"/>
        </w:rPr>
        <w:t>、《海南省全装修住宅室内装修设计标准》</w:t>
      </w:r>
      <w:r w:rsidRPr="00A41CE6">
        <w:rPr>
          <w:rFonts w:ascii="Times New Roman" w:eastAsiaTheme="minorEastAsia" w:hAnsi="Times New Roman" w:hint="eastAsia"/>
          <w:sz w:val="28"/>
          <w:szCs w:val="28"/>
        </w:rPr>
        <w:t>(DBJ 46-042-2017)</w:t>
      </w:r>
      <w:r w:rsidRPr="00A41CE6">
        <w:rPr>
          <w:rFonts w:ascii="Times New Roman" w:eastAsiaTheme="minorEastAsia" w:hAnsi="Times New Roman" w:hint="eastAsia"/>
          <w:sz w:val="28"/>
          <w:szCs w:val="28"/>
        </w:rPr>
        <w:t>、《海南省全装修住宅装修施工图设计文件图审要点》</w:t>
      </w:r>
      <w:r w:rsidRPr="00A41CE6">
        <w:rPr>
          <w:rFonts w:ascii="Times New Roman" w:eastAsiaTheme="minorEastAsia" w:hAnsi="Times New Roman" w:hint="eastAsia"/>
          <w:sz w:val="28"/>
          <w:szCs w:val="28"/>
        </w:rPr>
        <w:t>(</w:t>
      </w:r>
      <w:r w:rsidRPr="00A41CE6">
        <w:rPr>
          <w:rFonts w:ascii="Times New Roman" w:eastAsiaTheme="minorEastAsia" w:hAnsi="Times New Roman" w:hint="eastAsia"/>
          <w:sz w:val="28"/>
          <w:szCs w:val="28"/>
        </w:rPr>
        <w:t>琼建定〔</w:t>
      </w:r>
      <w:r w:rsidRPr="00A41CE6">
        <w:rPr>
          <w:rFonts w:ascii="Times New Roman" w:eastAsiaTheme="minorEastAsia" w:hAnsi="Times New Roman" w:hint="eastAsia"/>
          <w:sz w:val="28"/>
          <w:szCs w:val="28"/>
        </w:rPr>
        <w:t>2017</w:t>
      </w:r>
      <w:r w:rsidRPr="00A41CE6">
        <w:rPr>
          <w:rFonts w:ascii="Times New Roman" w:eastAsiaTheme="minorEastAsia" w:hAnsi="Times New Roman" w:hint="eastAsia"/>
          <w:sz w:val="28"/>
          <w:szCs w:val="28"/>
        </w:rPr>
        <w:t>〕</w:t>
      </w:r>
      <w:r w:rsidRPr="00A41CE6">
        <w:rPr>
          <w:rFonts w:ascii="Times New Roman" w:eastAsiaTheme="minorEastAsia" w:hAnsi="Times New Roman" w:hint="eastAsia"/>
          <w:sz w:val="28"/>
          <w:szCs w:val="28"/>
        </w:rPr>
        <w:t>156</w:t>
      </w:r>
      <w:r w:rsidRPr="00A41CE6">
        <w:rPr>
          <w:rFonts w:ascii="Times New Roman" w:eastAsiaTheme="minorEastAsia" w:hAnsi="Times New Roman" w:hint="eastAsia"/>
          <w:sz w:val="28"/>
          <w:szCs w:val="28"/>
        </w:rPr>
        <w:t>号</w:t>
      </w:r>
      <w:r w:rsidRPr="00A41CE6">
        <w:rPr>
          <w:rFonts w:ascii="Times New Roman" w:eastAsiaTheme="minorEastAsia" w:hAnsi="Times New Roman" w:hint="eastAsia"/>
          <w:sz w:val="28"/>
          <w:szCs w:val="28"/>
        </w:rPr>
        <w:t>)</w:t>
      </w:r>
      <w:r w:rsidRPr="00A41CE6">
        <w:rPr>
          <w:rFonts w:ascii="Times New Roman" w:eastAsiaTheme="minorEastAsia" w:hAnsi="Times New Roman" w:hint="eastAsia"/>
          <w:sz w:val="28"/>
          <w:szCs w:val="28"/>
        </w:rPr>
        <w:t>、《海南省全装修住宅装修工程质量验收规范》（</w:t>
      </w:r>
      <w:r w:rsidRPr="00A41CE6">
        <w:rPr>
          <w:rFonts w:ascii="Times New Roman" w:eastAsiaTheme="minorEastAsia" w:hAnsi="Times New Roman"/>
          <w:sz w:val="28"/>
          <w:szCs w:val="28"/>
        </w:rPr>
        <w:t>DBJ 46-043-2017</w:t>
      </w:r>
      <w:r w:rsidRPr="00A41CE6">
        <w:rPr>
          <w:rFonts w:ascii="Times New Roman" w:eastAsiaTheme="minorEastAsia" w:hAnsi="Times New Roman" w:hint="eastAsia"/>
          <w:sz w:val="28"/>
          <w:szCs w:val="28"/>
        </w:rPr>
        <w:t>）、《</w:t>
      </w:r>
      <w:r w:rsidRPr="00A41CE6">
        <w:rPr>
          <w:rFonts w:ascii="Times New Roman" w:eastAsiaTheme="minorEastAsia" w:hAnsi="Times New Roman" w:hint="eastAsia"/>
          <w:sz w:val="28"/>
          <w:szCs w:val="28"/>
        </w:rPr>
        <w:t>2021</w:t>
      </w:r>
      <w:r w:rsidRPr="00A41CE6">
        <w:rPr>
          <w:rFonts w:ascii="Times New Roman" w:eastAsiaTheme="minorEastAsia" w:hAnsi="Times New Roman" w:hint="eastAsia"/>
          <w:sz w:val="28"/>
          <w:szCs w:val="28"/>
        </w:rPr>
        <w:t>海南省装配式内装修工程综合定额（试行）》、</w:t>
      </w:r>
      <w:r w:rsidRPr="00A41CE6">
        <w:rPr>
          <w:rFonts w:ascii="Times New Roman" w:eastAsiaTheme="minorEastAsia" w:hAnsi="Times New Roman"/>
          <w:sz w:val="28"/>
          <w:szCs w:val="28"/>
        </w:rPr>
        <w:t> </w:t>
      </w:r>
      <w:r w:rsidRPr="00A41CE6">
        <w:rPr>
          <w:rFonts w:ascii="Times New Roman" w:eastAsiaTheme="minorEastAsia" w:hAnsi="Times New Roman" w:hint="eastAsia"/>
          <w:sz w:val="28"/>
          <w:szCs w:val="28"/>
        </w:rPr>
        <w:t>《海南省装配式内装修技术标准》（</w:t>
      </w:r>
      <w:r w:rsidRPr="00A41CE6">
        <w:rPr>
          <w:rFonts w:ascii="Times New Roman" w:eastAsiaTheme="minorEastAsia" w:hAnsi="Times New Roman"/>
          <w:sz w:val="28"/>
          <w:szCs w:val="28"/>
        </w:rPr>
        <w:t>DBJ46-063-2022</w:t>
      </w:r>
      <w:r w:rsidRPr="00A41CE6">
        <w:rPr>
          <w:rFonts w:ascii="Times New Roman" w:eastAsiaTheme="minorEastAsia" w:hAnsi="Times New Roman" w:hint="eastAsia"/>
          <w:sz w:val="28"/>
          <w:szCs w:val="28"/>
        </w:rPr>
        <w:t>）等配套文件陆续实施，住宅全装修项目比例可达</w:t>
      </w:r>
      <w:r w:rsidRPr="00A41CE6">
        <w:rPr>
          <w:rFonts w:ascii="Times New Roman" w:eastAsiaTheme="minorEastAsia" w:hAnsi="Times New Roman" w:hint="eastAsia"/>
          <w:sz w:val="28"/>
          <w:szCs w:val="28"/>
        </w:rPr>
        <w:t>1</w:t>
      </w:r>
      <w:r w:rsidRPr="00A41CE6">
        <w:rPr>
          <w:rFonts w:ascii="Times New Roman" w:eastAsiaTheme="minorEastAsia" w:hAnsi="Times New Roman"/>
          <w:sz w:val="28"/>
          <w:szCs w:val="28"/>
        </w:rPr>
        <w:t>00%</w:t>
      </w:r>
      <w:r w:rsidRPr="00A41CE6">
        <w:rPr>
          <w:rFonts w:ascii="Times New Roman" w:eastAsiaTheme="minorEastAsia" w:hAnsi="Times New Roman"/>
          <w:sz w:val="28"/>
          <w:szCs w:val="28"/>
        </w:rPr>
        <w:t>。</w:t>
      </w:r>
    </w:p>
    <w:p w:rsidR="00D1055B" w:rsidRDefault="00D1055B">
      <w:pPr>
        <w:spacing w:after="0" w:line="240" w:lineRule="auto"/>
        <w:rPr>
          <w:rFonts w:ascii="Times New Roman" w:eastAsia="黑体" w:hAnsi="Times New Roman"/>
          <w:color w:val="000000" w:themeColor="text1"/>
          <w:sz w:val="28"/>
          <w:szCs w:val="28"/>
        </w:rPr>
      </w:pPr>
      <w:r>
        <w:rPr>
          <w:rFonts w:ascii="Times New Roman" w:eastAsia="黑体" w:hAnsi="Times New Roman"/>
          <w:color w:val="000000" w:themeColor="text1"/>
          <w:sz w:val="28"/>
          <w:szCs w:val="28"/>
        </w:rPr>
        <w:br w:type="page"/>
      </w:r>
      <w:bookmarkStart w:id="61" w:name="_GoBack"/>
      <w:bookmarkEnd w:id="61"/>
    </w:p>
    <w:p w:rsidR="00133AF3" w:rsidRPr="00A41CE6" w:rsidRDefault="00133AF3" w:rsidP="006166C2">
      <w:pPr>
        <w:spacing w:after="0" w:line="360" w:lineRule="auto"/>
        <w:rPr>
          <w:rFonts w:ascii="Times New Roman" w:eastAsia="黑体" w:hAnsi="Times New Roman"/>
          <w:color w:val="000000" w:themeColor="text1"/>
          <w:sz w:val="28"/>
          <w:szCs w:val="28"/>
        </w:rPr>
      </w:pPr>
      <w:r w:rsidRPr="00A41CE6">
        <w:rPr>
          <w:rFonts w:ascii="Times New Roman" w:eastAsia="黑体" w:hAnsi="Times New Roman" w:hint="eastAsia"/>
          <w:color w:val="000000" w:themeColor="text1"/>
          <w:sz w:val="28"/>
          <w:szCs w:val="28"/>
        </w:rPr>
        <w:lastRenderedPageBreak/>
        <w:t>附件</w:t>
      </w:r>
      <w:r w:rsidRPr="00A41CE6">
        <w:rPr>
          <w:rFonts w:ascii="Times New Roman" w:eastAsia="黑体" w:hAnsi="Times New Roman" w:hint="eastAsia"/>
          <w:color w:val="000000" w:themeColor="text1"/>
          <w:sz w:val="28"/>
          <w:szCs w:val="28"/>
        </w:rPr>
        <w:t>4</w:t>
      </w:r>
      <w:r w:rsidRPr="00A41CE6">
        <w:rPr>
          <w:rFonts w:ascii="Times New Roman" w:eastAsia="黑体" w:hAnsi="Times New Roman"/>
          <w:color w:val="000000" w:themeColor="text1"/>
          <w:sz w:val="28"/>
          <w:szCs w:val="28"/>
        </w:rPr>
        <w:t>.</w:t>
      </w:r>
      <w:r w:rsidRPr="00A41CE6">
        <w:rPr>
          <w:rFonts w:ascii="Times New Roman" w:eastAsia="黑体" w:hAnsi="Times New Roman" w:hint="eastAsia"/>
          <w:color w:val="000000" w:themeColor="text1"/>
          <w:sz w:val="28"/>
          <w:szCs w:val="28"/>
        </w:rPr>
        <w:t>全市新建</w:t>
      </w:r>
      <w:r w:rsidRPr="00A41CE6">
        <w:rPr>
          <w:rFonts w:ascii="Times New Roman" w:eastAsia="黑体" w:hAnsi="Times New Roman"/>
          <w:color w:val="000000" w:themeColor="text1"/>
          <w:sz w:val="28"/>
          <w:szCs w:val="28"/>
        </w:rPr>
        <w:t>绿色建筑面积比例</w:t>
      </w:r>
      <w:r w:rsidRPr="00A41CE6">
        <w:rPr>
          <w:rFonts w:ascii="Times New Roman" w:eastAsia="黑体" w:hAnsi="Times New Roman" w:hint="eastAsia"/>
          <w:color w:val="000000" w:themeColor="text1"/>
          <w:sz w:val="28"/>
          <w:szCs w:val="28"/>
        </w:rPr>
        <w:t>目标值计算</w:t>
      </w:r>
    </w:p>
    <w:p w:rsidR="00825AB7" w:rsidRPr="00A41CE6" w:rsidRDefault="00825AB7" w:rsidP="00D1055B">
      <w:pPr>
        <w:pStyle w:val="af6"/>
        <w:numPr>
          <w:ilvl w:val="0"/>
          <w:numId w:val="2"/>
        </w:numPr>
        <w:ind w:firstLineChars="0"/>
        <w:rPr>
          <w:rFonts w:ascii="Times New Roman" w:eastAsia="黑体" w:hAnsi="Times New Roman"/>
          <w:b/>
          <w:bCs/>
          <w:sz w:val="28"/>
          <w:szCs w:val="28"/>
        </w:rPr>
      </w:pPr>
      <w:r w:rsidRPr="00A41CE6">
        <w:rPr>
          <w:rFonts w:ascii="Times New Roman" w:eastAsia="黑体" w:hAnsi="Times New Roman" w:hint="eastAsia"/>
          <w:b/>
          <w:bCs/>
          <w:sz w:val="28"/>
          <w:szCs w:val="28"/>
        </w:rPr>
        <w:t>计算思路</w:t>
      </w:r>
    </w:p>
    <w:p w:rsidR="00825AB7" w:rsidRPr="00A41CE6" w:rsidRDefault="00825AB7" w:rsidP="00D1055B">
      <w:pPr>
        <w:spacing w:after="0" w:line="360" w:lineRule="auto"/>
        <w:ind w:firstLineChars="200" w:firstLine="560"/>
        <w:rPr>
          <w:rFonts w:ascii="Times New Roman" w:hAnsi="Times New Roman"/>
          <w:sz w:val="28"/>
          <w:szCs w:val="28"/>
        </w:rPr>
      </w:pPr>
      <w:r w:rsidRPr="00A41CE6">
        <w:rPr>
          <w:rFonts w:ascii="Times New Roman" w:hAnsi="Times New Roman" w:hint="eastAsia"/>
          <w:sz w:val="28"/>
          <w:szCs w:val="28"/>
        </w:rPr>
        <w:t>2</w:t>
      </w:r>
      <w:r w:rsidRPr="00A41CE6">
        <w:rPr>
          <w:rFonts w:ascii="Times New Roman" w:hAnsi="Times New Roman"/>
          <w:sz w:val="28"/>
          <w:szCs w:val="28"/>
        </w:rPr>
        <w:t>021</w:t>
      </w:r>
      <w:r w:rsidRPr="00A41CE6">
        <w:rPr>
          <w:rFonts w:ascii="Times New Roman" w:hAnsi="Times New Roman" w:hint="eastAsia"/>
          <w:sz w:val="28"/>
          <w:szCs w:val="28"/>
        </w:rPr>
        <w:t>年</w:t>
      </w:r>
      <w:r w:rsidRPr="00A41CE6">
        <w:rPr>
          <w:rFonts w:ascii="Times New Roman" w:hAnsi="Times New Roman" w:hint="eastAsia"/>
          <w:sz w:val="28"/>
          <w:szCs w:val="28"/>
        </w:rPr>
        <w:t>6</w:t>
      </w:r>
      <w:r w:rsidRPr="00A41CE6">
        <w:rPr>
          <w:rFonts w:ascii="Times New Roman" w:hAnsi="Times New Roman" w:hint="eastAsia"/>
          <w:sz w:val="28"/>
          <w:szCs w:val="28"/>
        </w:rPr>
        <w:t>月</w:t>
      </w:r>
      <w:r w:rsidRPr="00A41CE6">
        <w:rPr>
          <w:rFonts w:ascii="Times New Roman" w:hAnsi="Times New Roman" w:hint="eastAsia"/>
          <w:sz w:val="28"/>
          <w:szCs w:val="28"/>
        </w:rPr>
        <w:t>2</w:t>
      </w:r>
      <w:r w:rsidRPr="00A41CE6">
        <w:rPr>
          <w:rFonts w:ascii="Times New Roman" w:hAnsi="Times New Roman"/>
          <w:sz w:val="28"/>
          <w:szCs w:val="28"/>
        </w:rPr>
        <w:t>4</w:t>
      </w:r>
      <w:r w:rsidRPr="00A41CE6">
        <w:rPr>
          <w:rFonts w:ascii="Times New Roman" w:hAnsi="Times New Roman" w:hint="eastAsia"/>
          <w:sz w:val="28"/>
          <w:szCs w:val="28"/>
        </w:rPr>
        <w:t>日，海南省发布了《海南省“绿色建筑（装配式）“十四五”规划（</w:t>
      </w:r>
      <w:r w:rsidRPr="00A41CE6">
        <w:rPr>
          <w:rFonts w:ascii="Times New Roman" w:hAnsi="Times New Roman" w:hint="eastAsia"/>
          <w:sz w:val="28"/>
          <w:szCs w:val="28"/>
        </w:rPr>
        <w:t>2</w:t>
      </w:r>
      <w:r w:rsidRPr="00A41CE6">
        <w:rPr>
          <w:rFonts w:ascii="Times New Roman" w:hAnsi="Times New Roman"/>
          <w:sz w:val="28"/>
          <w:szCs w:val="28"/>
        </w:rPr>
        <w:t>021-2025</w:t>
      </w:r>
      <w:r w:rsidRPr="00A41CE6">
        <w:rPr>
          <w:rFonts w:ascii="Times New Roman" w:hAnsi="Times New Roman" w:hint="eastAsia"/>
          <w:sz w:val="28"/>
          <w:szCs w:val="28"/>
        </w:rPr>
        <w:t>）》，当中规定“十四五”期间，绿色建筑在新建建筑中的占比需达到</w:t>
      </w:r>
      <w:r w:rsidRPr="00A41CE6">
        <w:rPr>
          <w:rFonts w:ascii="Times New Roman" w:hAnsi="Times New Roman" w:hint="eastAsia"/>
          <w:sz w:val="28"/>
          <w:szCs w:val="28"/>
        </w:rPr>
        <w:t>8</w:t>
      </w:r>
      <w:r w:rsidRPr="00A41CE6">
        <w:rPr>
          <w:rFonts w:ascii="Times New Roman" w:hAnsi="Times New Roman"/>
          <w:sz w:val="28"/>
          <w:szCs w:val="28"/>
        </w:rPr>
        <w:t>0%</w:t>
      </w:r>
      <w:r w:rsidRPr="00A41CE6">
        <w:rPr>
          <w:rFonts w:ascii="Times New Roman" w:hAnsi="Times New Roman" w:hint="eastAsia"/>
          <w:sz w:val="28"/>
          <w:szCs w:val="28"/>
        </w:rPr>
        <w:t>及以上。本报告根据</w:t>
      </w:r>
      <w:r w:rsidRPr="00A41CE6">
        <w:rPr>
          <w:rFonts w:ascii="Times New Roman" w:hAnsi="Times New Roman" w:hint="eastAsia"/>
          <w:sz w:val="28"/>
          <w:szCs w:val="28"/>
        </w:rPr>
        <w:t>2</w:t>
      </w:r>
      <w:r w:rsidRPr="00A41CE6">
        <w:rPr>
          <w:rFonts w:ascii="Times New Roman" w:hAnsi="Times New Roman"/>
          <w:sz w:val="28"/>
          <w:szCs w:val="28"/>
        </w:rPr>
        <w:t>021-2022</w:t>
      </w:r>
      <w:r w:rsidRPr="00A41CE6">
        <w:rPr>
          <w:rFonts w:ascii="Times New Roman" w:hAnsi="Times New Roman" w:hint="eastAsia"/>
          <w:sz w:val="28"/>
          <w:szCs w:val="28"/>
        </w:rPr>
        <w:t>年海南省全省新建建筑规模及绿色建筑占比实际情况，结合同期海口市全市的实际数据，测算出海口市绿色建筑在全省的平均占比。随后，假定海南省“十四五“末刚好实现新建绿色建筑占比</w:t>
      </w:r>
      <w:r w:rsidRPr="00A41CE6">
        <w:rPr>
          <w:rFonts w:ascii="Times New Roman" w:hAnsi="Times New Roman" w:hint="eastAsia"/>
          <w:sz w:val="28"/>
          <w:szCs w:val="28"/>
        </w:rPr>
        <w:t>8</w:t>
      </w:r>
      <w:r w:rsidRPr="00A41CE6">
        <w:rPr>
          <w:rFonts w:ascii="Times New Roman" w:hAnsi="Times New Roman"/>
          <w:sz w:val="28"/>
          <w:szCs w:val="28"/>
        </w:rPr>
        <w:t>0%</w:t>
      </w:r>
      <w:r w:rsidRPr="00A41CE6">
        <w:rPr>
          <w:rFonts w:ascii="Times New Roman" w:hAnsi="Times New Roman" w:hint="eastAsia"/>
          <w:sz w:val="28"/>
          <w:szCs w:val="28"/>
        </w:rPr>
        <w:t>的目标，计算出</w:t>
      </w:r>
      <w:r w:rsidRPr="00A41CE6">
        <w:rPr>
          <w:rFonts w:ascii="Times New Roman" w:hAnsi="Times New Roman" w:hint="eastAsia"/>
          <w:sz w:val="28"/>
          <w:szCs w:val="28"/>
        </w:rPr>
        <w:t>2</w:t>
      </w:r>
      <w:r w:rsidRPr="00A41CE6">
        <w:rPr>
          <w:rFonts w:ascii="Times New Roman" w:hAnsi="Times New Roman"/>
          <w:sz w:val="28"/>
          <w:szCs w:val="28"/>
        </w:rPr>
        <w:t>023-2025</w:t>
      </w:r>
      <w:r w:rsidRPr="00A41CE6">
        <w:rPr>
          <w:rFonts w:ascii="Times New Roman" w:hAnsi="Times New Roman" w:hint="eastAsia"/>
          <w:sz w:val="28"/>
          <w:szCs w:val="28"/>
        </w:rPr>
        <w:t>年海口市绿色建筑的规模数量，与预测的全市新建建筑规模相比，得出最低面积比例指标。</w:t>
      </w:r>
    </w:p>
    <w:p w:rsidR="00825AB7" w:rsidRPr="00A41CE6" w:rsidRDefault="00825AB7" w:rsidP="00D1055B">
      <w:pPr>
        <w:pStyle w:val="af6"/>
        <w:numPr>
          <w:ilvl w:val="0"/>
          <w:numId w:val="2"/>
        </w:numPr>
        <w:ind w:firstLineChars="0"/>
        <w:rPr>
          <w:rFonts w:ascii="Times New Roman" w:eastAsia="黑体" w:hAnsi="Times New Roman"/>
          <w:b/>
          <w:bCs/>
          <w:sz w:val="28"/>
          <w:szCs w:val="28"/>
        </w:rPr>
      </w:pPr>
      <w:r w:rsidRPr="00A41CE6">
        <w:rPr>
          <w:rFonts w:ascii="Times New Roman" w:eastAsia="黑体" w:hAnsi="Times New Roman" w:hint="eastAsia"/>
          <w:b/>
          <w:bCs/>
          <w:sz w:val="28"/>
          <w:szCs w:val="28"/>
        </w:rPr>
        <w:t>计算过程</w:t>
      </w:r>
    </w:p>
    <w:p w:rsidR="00825AB7" w:rsidRPr="00A41CE6" w:rsidRDefault="00825AB7" w:rsidP="00D1055B">
      <w:pPr>
        <w:spacing w:after="0" w:line="360" w:lineRule="auto"/>
        <w:ind w:firstLineChars="200" w:firstLine="560"/>
        <w:rPr>
          <w:rFonts w:ascii="Times New Roman" w:hAnsi="Times New Roman"/>
          <w:sz w:val="28"/>
          <w:szCs w:val="28"/>
        </w:rPr>
      </w:pPr>
      <w:r w:rsidRPr="00A41CE6">
        <w:rPr>
          <w:rFonts w:ascii="Times New Roman" w:hAnsi="Times New Roman" w:hint="eastAsia"/>
          <w:sz w:val="28"/>
          <w:szCs w:val="28"/>
        </w:rPr>
        <w:t>表</w:t>
      </w:r>
      <w:r w:rsidR="00D1055B">
        <w:rPr>
          <w:rFonts w:ascii="Times New Roman" w:hAnsi="Times New Roman" w:hint="eastAsia"/>
          <w:sz w:val="28"/>
          <w:szCs w:val="28"/>
        </w:rPr>
        <w:t>4-1</w:t>
      </w:r>
      <w:r w:rsidRPr="00A41CE6">
        <w:rPr>
          <w:rFonts w:ascii="Times New Roman" w:hAnsi="Times New Roman" w:hint="eastAsia"/>
          <w:sz w:val="28"/>
          <w:szCs w:val="28"/>
        </w:rPr>
        <w:t>反映了海南省“十四五”期间建筑建设情况，由表可以看出，</w:t>
      </w:r>
      <w:r w:rsidRPr="00A41CE6">
        <w:rPr>
          <w:rFonts w:ascii="Times New Roman" w:hAnsi="Times New Roman" w:hint="eastAsia"/>
          <w:sz w:val="28"/>
          <w:szCs w:val="28"/>
        </w:rPr>
        <w:t>2</w:t>
      </w:r>
      <w:r w:rsidRPr="00A41CE6">
        <w:rPr>
          <w:rFonts w:ascii="Times New Roman" w:hAnsi="Times New Roman"/>
          <w:sz w:val="28"/>
          <w:szCs w:val="28"/>
        </w:rPr>
        <w:t>021-2022</w:t>
      </w:r>
      <w:r w:rsidRPr="00A41CE6">
        <w:rPr>
          <w:rFonts w:ascii="Times New Roman" w:hAnsi="Times New Roman" w:hint="eastAsia"/>
          <w:sz w:val="28"/>
          <w:szCs w:val="28"/>
        </w:rPr>
        <w:t>年海南省全省新建绿色建筑占比已超过</w:t>
      </w:r>
      <w:r w:rsidRPr="00A41CE6">
        <w:rPr>
          <w:rFonts w:ascii="Times New Roman" w:hAnsi="Times New Roman" w:hint="eastAsia"/>
          <w:sz w:val="28"/>
          <w:szCs w:val="28"/>
        </w:rPr>
        <w:t>8</w:t>
      </w:r>
      <w:r w:rsidRPr="00A41CE6">
        <w:rPr>
          <w:rFonts w:ascii="Times New Roman" w:hAnsi="Times New Roman"/>
          <w:sz w:val="28"/>
          <w:szCs w:val="28"/>
        </w:rPr>
        <w:t>0%</w:t>
      </w:r>
      <w:r w:rsidRPr="00A41CE6">
        <w:rPr>
          <w:rFonts w:ascii="Times New Roman" w:hAnsi="Times New Roman" w:hint="eastAsia"/>
          <w:sz w:val="28"/>
          <w:szCs w:val="28"/>
        </w:rPr>
        <w:t>。若</w:t>
      </w:r>
      <w:r w:rsidRPr="00A41CE6">
        <w:rPr>
          <w:rFonts w:ascii="Times New Roman" w:hAnsi="Times New Roman" w:hint="eastAsia"/>
          <w:sz w:val="28"/>
          <w:szCs w:val="28"/>
        </w:rPr>
        <w:t>2</w:t>
      </w:r>
      <w:r w:rsidRPr="00A41CE6">
        <w:rPr>
          <w:rFonts w:ascii="Times New Roman" w:hAnsi="Times New Roman"/>
          <w:sz w:val="28"/>
          <w:szCs w:val="28"/>
        </w:rPr>
        <w:t>025</w:t>
      </w:r>
      <w:r w:rsidRPr="00A41CE6">
        <w:rPr>
          <w:rFonts w:ascii="Times New Roman" w:hAnsi="Times New Roman" w:hint="eastAsia"/>
          <w:sz w:val="28"/>
          <w:szCs w:val="28"/>
        </w:rPr>
        <w:t>年占比刚好到</w:t>
      </w:r>
      <w:r w:rsidRPr="00A41CE6">
        <w:rPr>
          <w:rFonts w:ascii="Times New Roman" w:hAnsi="Times New Roman" w:hint="eastAsia"/>
          <w:sz w:val="28"/>
          <w:szCs w:val="28"/>
        </w:rPr>
        <w:t>8</w:t>
      </w:r>
      <w:r w:rsidRPr="00A41CE6">
        <w:rPr>
          <w:rFonts w:ascii="Times New Roman" w:hAnsi="Times New Roman"/>
          <w:sz w:val="28"/>
          <w:szCs w:val="28"/>
        </w:rPr>
        <w:t>0%</w:t>
      </w:r>
      <w:r w:rsidRPr="00A41CE6">
        <w:rPr>
          <w:rFonts w:ascii="Times New Roman" w:hAnsi="Times New Roman" w:hint="eastAsia"/>
          <w:sz w:val="28"/>
          <w:szCs w:val="28"/>
        </w:rPr>
        <w:t>，结合预测值，可以计算出</w:t>
      </w:r>
      <w:r w:rsidRPr="00A41CE6">
        <w:rPr>
          <w:rFonts w:ascii="Times New Roman" w:hAnsi="Times New Roman" w:hint="eastAsia"/>
          <w:sz w:val="28"/>
          <w:szCs w:val="28"/>
        </w:rPr>
        <w:t>2</w:t>
      </w:r>
      <w:r w:rsidRPr="00A41CE6">
        <w:rPr>
          <w:rFonts w:ascii="Times New Roman" w:hAnsi="Times New Roman"/>
          <w:sz w:val="28"/>
          <w:szCs w:val="28"/>
        </w:rPr>
        <w:t>023</w:t>
      </w:r>
      <w:r w:rsidRPr="00A41CE6">
        <w:rPr>
          <w:rFonts w:ascii="Times New Roman" w:hAnsi="Times New Roman" w:hint="eastAsia"/>
          <w:sz w:val="28"/>
          <w:szCs w:val="28"/>
        </w:rPr>
        <w:t>年</w:t>
      </w:r>
      <w:r w:rsidRPr="00A41CE6">
        <w:rPr>
          <w:rFonts w:ascii="Times New Roman" w:hAnsi="Times New Roman" w:hint="eastAsia"/>
          <w:sz w:val="28"/>
          <w:szCs w:val="28"/>
        </w:rPr>
        <w:t>-</w:t>
      </w:r>
      <w:r w:rsidRPr="00A41CE6">
        <w:rPr>
          <w:rFonts w:ascii="Times New Roman" w:hAnsi="Times New Roman"/>
          <w:sz w:val="28"/>
          <w:szCs w:val="28"/>
        </w:rPr>
        <w:t>2025</w:t>
      </w:r>
      <w:r w:rsidRPr="00A41CE6">
        <w:rPr>
          <w:rFonts w:ascii="Times New Roman" w:hAnsi="Times New Roman" w:hint="eastAsia"/>
          <w:sz w:val="28"/>
          <w:szCs w:val="28"/>
        </w:rPr>
        <w:t>年绿色建筑总面积需要达到</w:t>
      </w:r>
      <w:r w:rsidRPr="00A41CE6">
        <w:rPr>
          <w:rFonts w:ascii="Times New Roman" w:hAnsi="Times New Roman" w:hint="eastAsia"/>
          <w:sz w:val="28"/>
          <w:szCs w:val="28"/>
        </w:rPr>
        <w:t>4</w:t>
      </w:r>
      <w:r w:rsidRPr="00A41CE6">
        <w:rPr>
          <w:rFonts w:ascii="Times New Roman" w:hAnsi="Times New Roman"/>
          <w:sz w:val="28"/>
          <w:szCs w:val="28"/>
        </w:rPr>
        <w:t>661.78</w:t>
      </w:r>
      <w:r w:rsidRPr="00A41CE6">
        <w:rPr>
          <w:rFonts w:ascii="Times New Roman" w:hAnsi="Times New Roman" w:hint="eastAsia"/>
          <w:sz w:val="28"/>
          <w:szCs w:val="28"/>
        </w:rPr>
        <w:t>万平方米，按比例分摊到逐年的计算结果如表</w:t>
      </w:r>
      <w:r w:rsidR="00D1055B">
        <w:rPr>
          <w:rFonts w:ascii="Times New Roman" w:hAnsi="Times New Roman" w:hint="eastAsia"/>
          <w:sz w:val="28"/>
          <w:szCs w:val="28"/>
        </w:rPr>
        <w:t>4-1</w:t>
      </w:r>
      <w:r w:rsidRPr="00A41CE6">
        <w:rPr>
          <w:rFonts w:ascii="Times New Roman" w:hAnsi="Times New Roman" w:hint="eastAsia"/>
          <w:sz w:val="28"/>
          <w:szCs w:val="28"/>
        </w:rPr>
        <w:t>所示。</w:t>
      </w:r>
    </w:p>
    <w:p w:rsidR="00825AB7" w:rsidRPr="0012401D" w:rsidRDefault="00825AB7" w:rsidP="00D1055B">
      <w:pPr>
        <w:spacing w:after="0"/>
        <w:ind w:firstLineChars="200" w:firstLine="482"/>
        <w:jc w:val="center"/>
        <w:rPr>
          <w:rFonts w:asciiTheme="minorEastAsia" w:eastAsiaTheme="minorEastAsia" w:hAnsiTheme="minorEastAsia"/>
          <w:b/>
          <w:color w:val="000000"/>
          <w:sz w:val="24"/>
          <w:szCs w:val="24"/>
        </w:rPr>
      </w:pPr>
      <w:r w:rsidRPr="0012401D">
        <w:rPr>
          <w:rFonts w:asciiTheme="minorEastAsia" w:eastAsiaTheme="minorEastAsia" w:hAnsiTheme="minorEastAsia" w:hint="eastAsia"/>
          <w:b/>
          <w:color w:val="000000"/>
          <w:sz w:val="24"/>
          <w:szCs w:val="24"/>
        </w:rPr>
        <w:t>表</w:t>
      </w:r>
      <w:r w:rsidR="00D1055B">
        <w:rPr>
          <w:rFonts w:asciiTheme="minorEastAsia" w:eastAsiaTheme="minorEastAsia" w:hAnsiTheme="minorEastAsia" w:hint="eastAsia"/>
          <w:b/>
          <w:color w:val="000000"/>
          <w:sz w:val="24"/>
          <w:szCs w:val="24"/>
        </w:rPr>
        <w:t>4-</w:t>
      </w:r>
      <w:r w:rsidRPr="0012401D">
        <w:rPr>
          <w:rFonts w:asciiTheme="minorEastAsia" w:eastAsiaTheme="minorEastAsia" w:hAnsiTheme="minorEastAsia" w:hint="eastAsia"/>
          <w:b/>
          <w:color w:val="000000"/>
          <w:sz w:val="24"/>
          <w:szCs w:val="24"/>
        </w:rPr>
        <w:t>1“十四五”</w:t>
      </w:r>
      <w:r w:rsidRPr="0012401D">
        <w:rPr>
          <w:rFonts w:asciiTheme="minorEastAsia" w:eastAsiaTheme="minorEastAsia" w:hAnsiTheme="minorEastAsia"/>
          <w:b/>
          <w:color w:val="000000"/>
          <w:sz w:val="24"/>
          <w:szCs w:val="24"/>
        </w:rPr>
        <w:t>期间海南省新</w:t>
      </w:r>
      <w:r w:rsidRPr="0012401D">
        <w:rPr>
          <w:rFonts w:asciiTheme="minorEastAsia" w:eastAsiaTheme="minorEastAsia" w:hAnsiTheme="minorEastAsia" w:hint="eastAsia"/>
          <w:b/>
          <w:color w:val="000000"/>
          <w:sz w:val="24"/>
          <w:szCs w:val="24"/>
        </w:rPr>
        <w:t>建建筑面积实际值与预测值</w:t>
      </w:r>
    </w:p>
    <w:tbl>
      <w:tblPr>
        <w:tblpPr w:leftFromText="180" w:rightFromText="180" w:vertAnchor="text" w:tblpXSpec="center" w:tblpY="1"/>
        <w:tblOverlap w:val="never"/>
        <w:tblW w:w="8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1"/>
        <w:gridCol w:w="2274"/>
        <w:gridCol w:w="2659"/>
        <w:gridCol w:w="2126"/>
      </w:tblGrid>
      <w:tr w:rsidR="00825AB7" w:rsidRPr="008D05E1" w:rsidTr="00A8699E">
        <w:tc>
          <w:tcPr>
            <w:tcW w:w="1271" w:type="dxa"/>
            <w:tcBorders>
              <w:top w:val="single" w:sz="4" w:space="0" w:color="auto"/>
              <w:left w:val="single" w:sz="4" w:space="0" w:color="auto"/>
              <w:bottom w:val="single" w:sz="4" w:space="0" w:color="auto"/>
              <w:right w:val="single" w:sz="4" w:space="0" w:color="auto"/>
            </w:tcBorders>
            <w:vAlign w:val="center"/>
            <w:hideMark/>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color w:val="000000"/>
                <w:sz w:val="24"/>
                <w:szCs w:val="24"/>
              </w:rPr>
              <w:t>年份</w:t>
            </w:r>
          </w:p>
        </w:tc>
        <w:tc>
          <w:tcPr>
            <w:tcW w:w="2274" w:type="dxa"/>
            <w:tcBorders>
              <w:top w:val="single" w:sz="4" w:space="0" w:color="auto"/>
              <w:left w:val="single" w:sz="4" w:space="0" w:color="auto"/>
              <w:bottom w:val="single" w:sz="4" w:space="0" w:color="auto"/>
              <w:right w:val="single" w:sz="4" w:space="0" w:color="auto"/>
            </w:tcBorders>
            <w:vAlign w:val="center"/>
            <w:hideMark/>
          </w:tcPr>
          <w:p w:rsidR="00825AB7" w:rsidRPr="008D05E1" w:rsidRDefault="00825AB7" w:rsidP="00D1055B">
            <w:pPr>
              <w:spacing w:after="0"/>
              <w:jc w:val="center"/>
              <w:rPr>
                <w:rFonts w:ascii="Times New Roman" w:hAnsi="Times New Roman" w:cs="宋体"/>
                <w:color w:val="000000"/>
                <w:sz w:val="24"/>
                <w:szCs w:val="24"/>
              </w:rPr>
            </w:pPr>
            <w:r w:rsidRPr="008D05E1">
              <w:rPr>
                <w:rFonts w:ascii="Times New Roman" w:hAnsi="Times New Roman" w:cs="宋体" w:hint="eastAsia"/>
                <w:color w:val="000000"/>
                <w:sz w:val="24"/>
                <w:szCs w:val="24"/>
              </w:rPr>
              <w:t>海南省新建建筑面积</w:t>
            </w:r>
            <w:r w:rsidRPr="008D05E1">
              <w:rPr>
                <w:rFonts w:ascii="Times New Roman" w:hAnsi="Times New Roman" w:cs="宋体"/>
                <w:color w:val="000000"/>
                <w:sz w:val="24"/>
                <w:szCs w:val="24"/>
              </w:rPr>
              <w:t>（单位：万</w:t>
            </w:r>
            <w:r w:rsidRPr="008D05E1">
              <w:rPr>
                <w:rFonts w:ascii="Times New Roman" w:hAnsi="Times New Roman" w:cs="宋体"/>
                <w:color w:val="000000"/>
                <w:sz w:val="24"/>
                <w:szCs w:val="24"/>
              </w:rPr>
              <w:t>m</w:t>
            </w:r>
            <w:r w:rsidRPr="008D05E1">
              <w:rPr>
                <w:rFonts w:ascii="Times New Roman" w:hAnsi="Times New Roman" w:cs="宋体"/>
                <w:color w:val="000000"/>
                <w:sz w:val="24"/>
                <w:szCs w:val="24"/>
                <w:vertAlign w:val="superscript"/>
              </w:rPr>
              <w:t>2</w:t>
            </w:r>
            <w:r w:rsidRPr="008D05E1">
              <w:rPr>
                <w:rFonts w:ascii="Times New Roman" w:hAnsi="Times New Roman" w:cs="宋体"/>
                <w:color w:val="000000"/>
                <w:sz w:val="24"/>
                <w:szCs w:val="24"/>
              </w:rPr>
              <w:t>）</w:t>
            </w:r>
          </w:p>
        </w:tc>
        <w:tc>
          <w:tcPr>
            <w:tcW w:w="2659" w:type="dxa"/>
            <w:tcBorders>
              <w:top w:val="single" w:sz="4" w:space="0" w:color="auto"/>
              <w:left w:val="single" w:sz="4" w:space="0" w:color="auto"/>
              <w:bottom w:val="single" w:sz="4" w:space="0" w:color="auto"/>
              <w:right w:val="single" w:sz="4" w:space="0" w:color="auto"/>
            </w:tcBorders>
            <w:vAlign w:val="center"/>
            <w:hideMark/>
          </w:tcPr>
          <w:p w:rsidR="00825AB7" w:rsidRPr="008D05E1" w:rsidRDefault="00825AB7" w:rsidP="00D1055B">
            <w:pPr>
              <w:spacing w:after="0"/>
              <w:jc w:val="center"/>
              <w:rPr>
                <w:rFonts w:ascii="Times New Roman" w:hAnsi="Times New Roman" w:cs="宋体"/>
                <w:color w:val="000000"/>
                <w:sz w:val="24"/>
                <w:szCs w:val="24"/>
              </w:rPr>
            </w:pPr>
            <w:r w:rsidRPr="008D05E1">
              <w:rPr>
                <w:rFonts w:ascii="Times New Roman" w:hAnsi="Times New Roman" w:cs="宋体" w:hint="eastAsia"/>
                <w:color w:val="000000"/>
                <w:sz w:val="24"/>
                <w:szCs w:val="24"/>
              </w:rPr>
              <w:t>海南省新建绿色建筑面积</w:t>
            </w:r>
            <w:r w:rsidRPr="008D05E1">
              <w:rPr>
                <w:rFonts w:ascii="Times New Roman" w:hAnsi="Times New Roman" w:cs="宋体"/>
                <w:color w:val="000000"/>
                <w:sz w:val="24"/>
                <w:szCs w:val="24"/>
              </w:rPr>
              <w:t>（单位：万</w:t>
            </w:r>
            <w:r w:rsidRPr="008D05E1">
              <w:rPr>
                <w:rFonts w:ascii="Times New Roman" w:hAnsi="Times New Roman" w:cs="宋体"/>
                <w:color w:val="000000"/>
                <w:sz w:val="24"/>
                <w:szCs w:val="24"/>
              </w:rPr>
              <w:t>m</w:t>
            </w:r>
            <w:r w:rsidRPr="008D05E1">
              <w:rPr>
                <w:rFonts w:ascii="Times New Roman" w:hAnsi="Times New Roman" w:cs="宋体"/>
                <w:color w:val="000000"/>
                <w:sz w:val="24"/>
                <w:szCs w:val="24"/>
                <w:vertAlign w:val="superscript"/>
              </w:rPr>
              <w:t>2</w:t>
            </w:r>
            <w:r w:rsidRPr="008D05E1">
              <w:rPr>
                <w:rFonts w:ascii="Times New Roman" w:hAnsi="Times New Roman" w:cs="宋体"/>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color w:val="000000"/>
                <w:sz w:val="24"/>
                <w:szCs w:val="24"/>
              </w:rPr>
              <w:t>绿色建筑面积</w:t>
            </w:r>
            <w:r w:rsidRPr="008D05E1">
              <w:rPr>
                <w:rFonts w:ascii="Times New Roman" w:hAnsi="Times New Roman" w:cs="宋体"/>
                <w:color w:val="000000"/>
                <w:sz w:val="24"/>
                <w:szCs w:val="24"/>
              </w:rPr>
              <w:t>比例</w:t>
            </w:r>
          </w:p>
        </w:tc>
      </w:tr>
      <w:tr w:rsidR="00825AB7" w:rsidRPr="008D05E1" w:rsidTr="00A8699E">
        <w:tc>
          <w:tcPr>
            <w:tcW w:w="1271" w:type="dxa"/>
            <w:tcBorders>
              <w:top w:val="single" w:sz="4" w:space="0" w:color="auto"/>
              <w:left w:val="single" w:sz="4" w:space="0" w:color="auto"/>
              <w:bottom w:val="single" w:sz="4" w:space="0" w:color="auto"/>
              <w:right w:val="single" w:sz="4" w:space="0" w:color="auto"/>
            </w:tcBorders>
            <w:vAlign w:val="center"/>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sz w:val="24"/>
                <w:szCs w:val="24"/>
              </w:rPr>
              <w:t>2</w:t>
            </w:r>
            <w:r w:rsidRPr="008D05E1">
              <w:rPr>
                <w:rFonts w:ascii="Times New Roman" w:hAnsi="Times New Roman" w:cs="宋体"/>
                <w:sz w:val="24"/>
                <w:szCs w:val="24"/>
              </w:rPr>
              <w:t>022</w:t>
            </w:r>
          </w:p>
        </w:tc>
        <w:tc>
          <w:tcPr>
            <w:tcW w:w="2274" w:type="dxa"/>
            <w:tcBorders>
              <w:top w:val="single" w:sz="4" w:space="0" w:color="auto"/>
              <w:left w:val="single" w:sz="4" w:space="0" w:color="auto"/>
              <w:bottom w:val="single" w:sz="4" w:space="0" w:color="auto"/>
              <w:right w:val="single" w:sz="4" w:space="0" w:color="auto"/>
            </w:tcBorders>
            <w:vAlign w:val="center"/>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sz w:val="24"/>
                <w:szCs w:val="24"/>
              </w:rPr>
              <w:t>2</w:t>
            </w:r>
            <w:r w:rsidRPr="008D05E1">
              <w:rPr>
                <w:rFonts w:ascii="Times New Roman" w:hAnsi="Times New Roman" w:cs="宋体"/>
                <w:sz w:val="24"/>
                <w:szCs w:val="24"/>
              </w:rPr>
              <w:t>022.14</w:t>
            </w:r>
          </w:p>
        </w:tc>
        <w:tc>
          <w:tcPr>
            <w:tcW w:w="2659" w:type="dxa"/>
            <w:tcBorders>
              <w:top w:val="single" w:sz="4" w:space="0" w:color="auto"/>
              <w:left w:val="single" w:sz="4" w:space="0" w:color="auto"/>
              <w:bottom w:val="single" w:sz="4" w:space="0" w:color="auto"/>
              <w:right w:val="single" w:sz="4" w:space="0" w:color="auto"/>
            </w:tcBorders>
            <w:vAlign w:val="center"/>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sz w:val="24"/>
                <w:szCs w:val="24"/>
              </w:rPr>
              <w:t>1</w:t>
            </w:r>
            <w:r w:rsidRPr="008D05E1">
              <w:rPr>
                <w:rFonts w:ascii="Times New Roman" w:hAnsi="Times New Roman" w:cs="宋体"/>
                <w:sz w:val="24"/>
                <w:szCs w:val="24"/>
              </w:rPr>
              <w:t>792.45</w:t>
            </w:r>
          </w:p>
        </w:tc>
        <w:tc>
          <w:tcPr>
            <w:tcW w:w="2126" w:type="dxa"/>
            <w:tcBorders>
              <w:top w:val="single" w:sz="4" w:space="0" w:color="auto"/>
              <w:left w:val="single" w:sz="4" w:space="0" w:color="auto"/>
              <w:bottom w:val="single" w:sz="4" w:space="0" w:color="auto"/>
              <w:right w:val="single" w:sz="4" w:space="0" w:color="auto"/>
            </w:tcBorders>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sz w:val="24"/>
                <w:szCs w:val="24"/>
              </w:rPr>
              <w:t>8</w:t>
            </w:r>
            <w:r w:rsidRPr="008D05E1">
              <w:rPr>
                <w:rFonts w:ascii="Times New Roman" w:hAnsi="Times New Roman" w:cs="宋体"/>
                <w:sz w:val="24"/>
                <w:szCs w:val="24"/>
              </w:rPr>
              <w:t>8.64%</w:t>
            </w:r>
          </w:p>
        </w:tc>
      </w:tr>
      <w:tr w:rsidR="00825AB7" w:rsidRPr="008D05E1" w:rsidTr="00A8699E">
        <w:tc>
          <w:tcPr>
            <w:tcW w:w="1271" w:type="dxa"/>
            <w:tcBorders>
              <w:top w:val="single" w:sz="4" w:space="0" w:color="auto"/>
              <w:left w:val="single" w:sz="4" w:space="0" w:color="auto"/>
              <w:bottom w:val="single" w:sz="4" w:space="0" w:color="auto"/>
              <w:right w:val="single" w:sz="4" w:space="0" w:color="auto"/>
            </w:tcBorders>
            <w:vAlign w:val="center"/>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sz w:val="24"/>
                <w:szCs w:val="24"/>
              </w:rPr>
              <w:t>2</w:t>
            </w:r>
            <w:r w:rsidRPr="008D05E1">
              <w:rPr>
                <w:rFonts w:ascii="Times New Roman" w:hAnsi="Times New Roman" w:cs="宋体"/>
                <w:sz w:val="24"/>
                <w:szCs w:val="24"/>
              </w:rPr>
              <w:t>023</w:t>
            </w:r>
          </w:p>
        </w:tc>
        <w:tc>
          <w:tcPr>
            <w:tcW w:w="2274" w:type="dxa"/>
            <w:tcBorders>
              <w:top w:val="single" w:sz="4" w:space="0" w:color="auto"/>
              <w:left w:val="single" w:sz="4" w:space="0" w:color="auto"/>
              <w:bottom w:val="single" w:sz="4" w:space="0" w:color="auto"/>
              <w:right w:val="single" w:sz="4" w:space="0" w:color="auto"/>
            </w:tcBorders>
            <w:vAlign w:val="center"/>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sz w:val="24"/>
                <w:szCs w:val="24"/>
              </w:rPr>
              <w:t>1</w:t>
            </w:r>
            <w:r w:rsidRPr="008D05E1">
              <w:rPr>
                <w:rFonts w:ascii="Times New Roman" w:hAnsi="Times New Roman" w:cs="宋体"/>
                <w:sz w:val="24"/>
                <w:szCs w:val="24"/>
              </w:rPr>
              <w:t>981.78</w:t>
            </w:r>
          </w:p>
        </w:tc>
        <w:tc>
          <w:tcPr>
            <w:tcW w:w="2659" w:type="dxa"/>
            <w:tcBorders>
              <w:top w:val="single" w:sz="4" w:space="0" w:color="auto"/>
              <w:left w:val="single" w:sz="4" w:space="0" w:color="auto"/>
              <w:bottom w:val="single" w:sz="4" w:space="0" w:color="auto"/>
              <w:right w:val="single" w:sz="4" w:space="0" w:color="auto"/>
            </w:tcBorders>
            <w:vAlign w:val="center"/>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sz w:val="24"/>
                <w:szCs w:val="24"/>
              </w:rPr>
              <w:t>1</w:t>
            </w:r>
            <w:r w:rsidRPr="008D05E1">
              <w:rPr>
                <w:rFonts w:ascii="Times New Roman" w:hAnsi="Times New Roman" w:cs="宋体"/>
                <w:sz w:val="24"/>
                <w:szCs w:val="24"/>
              </w:rPr>
              <w:t>585.43</w:t>
            </w:r>
          </w:p>
        </w:tc>
        <w:tc>
          <w:tcPr>
            <w:tcW w:w="2126" w:type="dxa"/>
            <w:tcBorders>
              <w:top w:val="single" w:sz="4" w:space="0" w:color="auto"/>
              <w:left w:val="single" w:sz="4" w:space="0" w:color="auto"/>
              <w:bottom w:val="single" w:sz="4" w:space="0" w:color="auto"/>
              <w:right w:val="single" w:sz="4" w:space="0" w:color="auto"/>
            </w:tcBorders>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sz w:val="24"/>
                <w:szCs w:val="24"/>
              </w:rPr>
              <w:t>8</w:t>
            </w:r>
            <w:r w:rsidRPr="008D05E1">
              <w:rPr>
                <w:rFonts w:ascii="Times New Roman" w:hAnsi="Times New Roman" w:cs="宋体"/>
                <w:sz w:val="24"/>
                <w:szCs w:val="24"/>
              </w:rPr>
              <w:t>0</w:t>
            </w:r>
            <w:r w:rsidRPr="008D05E1">
              <w:rPr>
                <w:rFonts w:ascii="Times New Roman" w:hAnsi="Times New Roman" w:cs="宋体" w:hint="eastAsia"/>
                <w:sz w:val="24"/>
                <w:szCs w:val="24"/>
              </w:rPr>
              <w:t>.</w:t>
            </w:r>
            <w:r w:rsidRPr="008D05E1">
              <w:rPr>
                <w:rFonts w:ascii="Times New Roman" w:hAnsi="Times New Roman" w:cs="宋体"/>
                <w:sz w:val="24"/>
                <w:szCs w:val="24"/>
              </w:rPr>
              <w:t>00%</w:t>
            </w:r>
          </w:p>
        </w:tc>
      </w:tr>
      <w:tr w:rsidR="00825AB7" w:rsidRPr="008D05E1" w:rsidTr="00A8699E">
        <w:tc>
          <w:tcPr>
            <w:tcW w:w="1271" w:type="dxa"/>
            <w:tcBorders>
              <w:top w:val="single" w:sz="4" w:space="0" w:color="auto"/>
              <w:left w:val="single" w:sz="4" w:space="0" w:color="auto"/>
              <w:bottom w:val="single" w:sz="4" w:space="0" w:color="auto"/>
              <w:right w:val="single" w:sz="4" w:space="0" w:color="auto"/>
            </w:tcBorders>
            <w:vAlign w:val="center"/>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sz w:val="24"/>
                <w:szCs w:val="24"/>
              </w:rPr>
              <w:t>2</w:t>
            </w:r>
            <w:r w:rsidRPr="008D05E1">
              <w:rPr>
                <w:rFonts w:ascii="Times New Roman" w:hAnsi="Times New Roman" w:cs="宋体"/>
                <w:sz w:val="24"/>
                <w:szCs w:val="24"/>
              </w:rPr>
              <w:t>024</w:t>
            </w:r>
          </w:p>
        </w:tc>
        <w:tc>
          <w:tcPr>
            <w:tcW w:w="2274" w:type="dxa"/>
            <w:tcBorders>
              <w:top w:val="single" w:sz="4" w:space="0" w:color="auto"/>
              <w:left w:val="single" w:sz="4" w:space="0" w:color="auto"/>
              <w:bottom w:val="single" w:sz="4" w:space="0" w:color="auto"/>
              <w:right w:val="single" w:sz="4" w:space="0" w:color="auto"/>
            </w:tcBorders>
            <w:vAlign w:val="center"/>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sz w:val="24"/>
                <w:szCs w:val="24"/>
              </w:rPr>
              <w:t>1</w:t>
            </w:r>
            <w:r w:rsidRPr="008D05E1">
              <w:rPr>
                <w:rFonts w:ascii="Times New Roman" w:hAnsi="Times New Roman" w:cs="宋体"/>
                <w:sz w:val="24"/>
                <w:szCs w:val="24"/>
              </w:rPr>
              <w:t>942.15</w:t>
            </w:r>
          </w:p>
        </w:tc>
        <w:tc>
          <w:tcPr>
            <w:tcW w:w="2659" w:type="dxa"/>
            <w:tcBorders>
              <w:top w:val="single" w:sz="4" w:space="0" w:color="auto"/>
              <w:left w:val="single" w:sz="4" w:space="0" w:color="auto"/>
              <w:bottom w:val="single" w:sz="4" w:space="0" w:color="auto"/>
              <w:right w:val="single" w:sz="4" w:space="0" w:color="auto"/>
            </w:tcBorders>
            <w:vAlign w:val="center"/>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sz w:val="24"/>
                <w:szCs w:val="24"/>
              </w:rPr>
              <w:t>1</w:t>
            </w:r>
            <w:r w:rsidRPr="008D05E1">
              <w:rPr>
                <w:rFonts w:ascii="Times New Roman" w:hAnsi="Times New Roman" w:cs="宋体"/>
                <w:sz w:val="24"/>
                <w:szCs w:val="24"/>
              </w:rPr>
              <w:t>553.72</w:t>
            </w:r>
          </w:p>
        </w:tc>
        <w:tc>
          <w:tcPr>
            <w:tcW w:w="2126" w:type="dxa"/>
            <w:tcBorders>
              <w:top w:val="single" w:sz="4" w:space="0" w:color="auto"/>
              <w:left w:val="single" w:sz="4" w:space="0" w:color="auto"/>
              <w:bottom w:val="single" w:sz="4" w:space="0" w:color="auto"/>
              <w:right w:val="single" w:sz="4" w:space="0" w:color="auto"/>
            </w:tcBorders>
          </w:tcPr>
          <w:p w:rsidR="00825AB7" w:rsidRPr="008D05E1" w:rsidRDefault="00825AB7" w:rsidP="00D1055B">
            <w:pPr>
              <w:spacing w:after="0"/>
              <w:jc w:val="center"/>
              <w:rPr>
                <w:rFonts w:ascii="Times New Roman" w:hAnsi="Times New Roman" w:cs="宋体"/>
                <w:sz w:val="24"/>
                <w:szCs w:val="24"/>
              </w:rPr>
            </w:pPr>
            <w:r w:rsidRPr="008D05E1">
              <w:rPr>
                <w:rFonts w:ascii="Times New Roman" w:hAnsi="Times New Roman" w:cs="宋体" w:hint="eastAsia"/>
                <w:sz w:val="24"/>
                <w:szCs w:val="24"/>
              </w:rPr>
              <w:t>8</w:t>
            </w:r>
            <w:r w:rsidRPr="008D05E1">
              <w:rPr>
                <w:rFonts w:ascii="Times New Roman" w:hAnsi="Times New Roman" w:cs="宋体"/>
                <w:sz w:val="24"/>
                <w:szCs w:val="24"/>
              </w:rPr>
              <w:t>0</w:t>
            </w:r>
            <w:r w:rsidRPr="008D05E1">
              <w:rPr>
                <w:rFonts w:ascii="Times New Roman" w:hAnsi="Times New Roman" w:cs="宋体" w:hint="eastAsia"/>
                <w:sz w:val="24"/>
                <w:szCs w:val="24"/>
              </w:rPr>
              <w:t>.</w:t>
            </w:r>
            <w:r w:rsidRPr="008D05E1">
              <w:rPr>
                <w:rFonts w:ascii="Times New Roman" w:hAnsi="Times New Roman" w:cs="宋体"/>
                <w:sz w:val="24"/>
                <w:szCs w:val="24"/>
              </w:rPr>
              <w:t>00%</w:t>
            </w:r>
          </w:p>
        </w:tc>
      </w:tr>
      <w:tr w:rsidR="00825AB7" w:rsidRPr="008D05E1" w:rsidTr="00A8699E">
        <w:tc>
          <w:tcPr>
            <w:tcW w:w="1271" w:type="dxa"/>
            <w:tcBorders>
              <w:top w:val="single" w:sz="4" w:space="0" w:color="auto"/>
              <w:left w:val="single" w:sz="4" w:space="0" w:color="auto"/>
              <w:bottom w:val="single" w:sz="4" w:space="0" w:color="auto"/>
              <w:right w:val="single" w:sz="4" w:space="0" w:color="auto"/>
            </w:tcBorders>
            <w:vAlign w:val="center"/>
          </w:tcPr>
          <w:p w:rsidR="00825AB7" w:rsidRPr="008D05E1" w:rsidRDefault="00825AB7" w:rsidP="00D1055B">
            <w:pPr>
              <w:spacing w:after="0"/>
              <w:jc w:val="center"/>
              <w:rPr>
                <w:rFonts w:ascii="Times New Roman" w:hAnsi="Times New Roman" w:cs="宋体"/>
                <w:color w:val="000000"/>
                <w:sz w:val="24"/>
                <w:szCs w:val="24"/>
              </w:rPr>
            </w:pPr>
            <w:r w:rsidRPr="008D05E1">
              <w:rPr>
                <w:rFonts w:ascii="Times New Roman" w:hAnsi="Times New Roman" w:cs="宋体" w:hint="eastAsia"/>
                <w:sz w:val="24"/>
                <w:szCs w:val="24"/>
              </w:rPr>
              <w:t>2</w:t>
            </w:r>
            <w:r w:rsidRPr="008D05E1">
              <w:rPr>
                <w:rFonts w:ascii="Times New Roman" w:hAnsi="Times New Roman" w:cs="宋体"/>
                <w:sz w:val="24"/>
                <w:szCs w:val="24"/>
              </w:rPr>
              <w:t>025</w:t>
            </w:r>
          </w:p>
        </w:tc>
        <w:tc>
          <w:tcPr>
            <w:tcW w:w="2274" w:type="dxa"/>
            <w:tcBorders>
              <w:top w:val="single" w:sz="4" w:space="0" w:color="auto"/>
              <w:left w:val="single" w:sz="4" w:space="0" w:color="auto"/>
              <w:bottom w:val="single" w:sz="4" w:space="0" w:color="auto"/>
              <w:right w:val="single" w:sz="4" w:space="0" w:color="auto"/>
            </w:tcBorders>
            <w:vAlign w:val="center"/>
          </w:tcPr>
          <w:p w:rsidR="00825AB7" w:rsidRPr="008D05E1" w:rsidRDefault="00825AB7" w:rsidP="00D1055B">
            <w:pPr>
              <w:spacing w:after="0"/>
              <w:jc w:val="center"/>
              <w:rPr>
                <w:rFonts w:ascii="Times New Roman" w:hAnsi="Times New Roman" w:cs="宋体" w:hint="eastAsia"/>
                <w:color w:val="000000"/>
                <w:sz w:val="24"/>
                <w:szCs w:val="24"/>
              </w:rPr>
            </w:pPr>
            <w:r w:rsidRPr="008D05E1">
              <w:rPr>
                <w:rFonts w:ascii="Times New Roman" w:hAnsi="Times New Roman" w:cs="宋体" w:hint="eastAsia"/>
                <w:sz w:val="24"/>
                <w:szCs w:val="24"/>
              </w:rPr>
              <w:t>1</w:t>
            </w:r>
            <w:r w:rsidRPr="008D05E1">
              <w:rPr>
                <w:rFonts w:ascii="Times New Roman" w:hAnsi="Times New Roman" w:cs="宋体"/>
                <w:sz w:val="24"/>
                <w:szCs w:val="24"/>
              </w:rPr>
              <w:t>903.29</w:t>
            </w:r>
          </w:p>
        </w:tc>
        <w:tc>
          <w:tcPr>
            <w:tcW w:w="2659" w:type="dxa"/>
            <w:tcBorders>
              <w:top w:val="single" w:sz="4" w:space="0" w:color="auto"/>
              <w:left w:val="single" w:sz="4" w:space="0" w:color="auto"/>
              <w:bottom w:val="single" w:sz="4" w:space="0" w:color="auto"/>
              <w:right w:val="single" w:sz="4" w:space="0" w:color="auto"/>
            </w:tcBorders>
            <w:vAlign w:val="center"/>
          </w:tcPr>
          <w:p w:rsidR="00825AB7" w:rsidRPr="008D05E1" w:rsidRDefault="00825AB7" w:rsidP="00D1055B">
            <w:pPr>
              <w:spacing w:after="0"/>
              <w:jc w:val="center"/>
              <w:rPr>
                <w:rFonts w:ascii="Times New Roman" w:hAnsi="Times New Roman" w:cs="宋体" w:hint="eastAsia"/>
                <w:color w:val="000000"/>
                <w:sz w:val="24"/>
                <w:szCs w:val="24"/>
              </w:rPr>
            </w:pPr>
            <w:r w:rsidRPr="008D05E1">
              <w:rPr>
                <w:rFonts w:ascii="Times New Roman" w:hAnsi="Times New Roman" w:cs="宋体" w:hint="eastAsia"/>
                <w:sz w:val="24"/>
                <w:szCs w:val="24"/>
              </w:rPr>
              <w:t>1</w:t>
            </w:r>
            <w:r w:rsidRPr="008D05E1">
              <w:rPr>
                <w:rFonts w:ascii="Times New Roman" w:hAnsi="Times New Roman" w:cs="宋体"/>
                <w:sz w:val="24"/>
                <w:szCs w:val="24"/>
              </w:rPr>
              <w:t>522.63</w:t>
            </w:r>
          </w:p>
        </w:tc>
        <w:tc>
          <w:tcPr>
            <w:tcW w:w="2126" w:type="dxa"/>
            <w:tcBorders>
              <w:top w:val="single" w:sz="4" w:space="0" w:color="auto"/>
              <w:left w:val="single" w:sz="4" w:space="0" w:color="auto"/>
              <w:bottom w:val="single" w:sz="4" w:space="0" w:color="auto"/>
              <w:right w:val="single" w:sz="4" w:space="0" w:color="auto"/>
            </w:tcBorders>
          </w:tcPr>
          <w:p w:rsidR="00825AB7" w:rsidRPr="008D05E1" w:rsidRDefault="00825AB7" w:rsidP="00D1055B">
            <w:pPr>
              <w:spacing w:after="0"/>
              <w:jc w:val="center"/>
              <w:rPr>
                <w:rFonts w:ascii="Times New Roman" w:hAnsi="Times New Roman" w:cs="宋体" w:hint="eastAsia"/>
                <w:color w:val="000000"/>
                <w:sz w:val="24"/>
                <w:szCs w:val="24"/>
              </w:rPr>
            </w:pPr>
            <w:r w:rsidRPr="008D05E1">
              <w:rPr>
                <w:rFonts w:ascii="Times New Roman" w:hAnsi="Times New Roman" w:cs="宋体" w:hint="eastAsia"/>
                <w:sz w:val="24"/>
                <w:szCs w:val="24"/>
              </w:rPr>
              <w:t>8</w:t>
            </w:r>
            <w:r w:rsidRPr="008D05E1">
              <w:rPr>
                <w:rFonts w:ascii="Times New Roman" w:hAnsi="Times New Roman" w:cs="宋体"/>
                <w:sz w:val="24"/>
                <w:szCs w:val="24"/>
              </w:rPr>
              <w:t>0</w:t>
            </w:r>
            <w:r w:rsidRPr="008D05E1">
              <w:rPr>
                <w:rFonts w:ascii="Times New Roman" w:hAnsi="Times New Roman" w:cs="宋体" w:hint="eastAsia"/>
                <w:sz w:val="24"/>
                <w:szCs w:val="24"/>
              </w:rPr>
              <w:t>.</w:t>
            </w:r>
            <w:r w:rsidRPr="008D05E1">
              <w:rPr>
                <w:rFonts w:ascii="Times New Roman" w:hAnsi="Times New Roman" w:cs="宋体"/>
                <w:sz w:val="24"/>
                <w:szCs w:val="24"/>
              </w:rPr>
              <w:t>00%</w:t>
            </w:r>
          </w:p>
        </w:tc>
      </w:tr>
    </w:tbl>
    <w:p w:rsidR="00825AB7" w:rsidRPr="00505734" w:rsidRDefault="00825AB7" w:rsidP="00D1055B">
      <w:pPr>
        <w:spacing w:after="0"/>
        <w:ind w:firstLineChars="200" w:firstLine="482"/>
        <w:rPr>
          <w:rFonts w:ascii="Times New Roman" w:hAnsi="Times New Roman"/>
          <w:b/>
          <w:bCs/>
          <w:sz w:val="24"/>
          <w:szCs w:val="24"/>
        </w:rPr>
      </w:pPr>
      <w:r w:rsidRPr="00505734">
        <w:rPr>
          <w:rFonts w:ascii="Times New Roman" w:hAnsi="Times New Roman" w:hint="eastAsia"/>
          <w:b/>
          <w:bCs/>
          <w:sz w:val="24"/>
          <w:szCs w:val="24"/>
        </w:rPr>
        <w:t>注：</w:t>
      </w:r>
      <w:r w:rsidRPr="00505734">
        <w:rPr>
          <w:rFonts w:ascii="Times New Roman" w:hAnsi="Times New Roman" w:hint="eastAsia"/>
          <w:b/>
          <w:bCs/>
          <w:sz w:val="24"/>
          <w:szCs w:val="24"/>
        </w:rPr>
        <w:t>2</w:t>
      </w:r>
      <w:r w:rsidRPr="00505734">
        <w:rPr>
          <w:rFonts w:ascii="Times New Roman" w:hAnsi="Times New Roman"/>
          <w:b/>
          <w:bCs/>
          <w:sz w:val="24"/>
          <w:szCs w:val="24"/>
        </w:rPr>
        <w:t>023-2025</w:t>
      </w:r>
      <w:r w:rsidRPr="00505734">
        <w:rPr>
          <w:rFonts w:ascii="Times New Roman" w:hAnsi="Times New Roman" w:hint="eastAsia"/>
          <w:b/>
          <w:bCs/>
          <w:sz w:val="24"/>
          <w:szCs w:val="24"/>
        </w:rPr>
        <w:t>年为预测值</w:t>
      </w:r>
    </w:p>
    <w:p w:rsidR="00825AB7" w:rsidRPr="00A41CE6" w:rsidRDefault="00825AB7" w:rsidP="00D1055B">
      <w:pPr>
        <w:adjustRightInd w:val="0"/>
        <w:snapToGrid w:val="0"/>
        <w:spacing w:after="0" w:line="360" w:lineRule="auto"/>
        <w:ind w:firstLineChars="200" w:firstLine="560"/>
        <w:rPr>
          <w:rFonts w:ascii="Times New Roman" w:hAnsi="Times New Roman"/>
          <w:sz w:val="28"/>
          <w:szCs w:val="28"/>
        </w:rPr>
      </w:pPr>
      <w:r w:rsidRPr="00A41CE6">
        <w:rPr>
          <w:rFonts w:ascii="Times New Roman" w:hAnsi="Times New Roman" w:hint="eastAsia"/>
          <w:sz w:val="28"/>
          <w:szCs w:val="28"/>
        </w:rPr>
        <w:t>表</w:t>
      </w:r>
      <w:r w:rsidR="00D1055B">
        <w:rPr>
          <w:rFonts w:ascii="Times New Roman" w:hAnsi="Times New Roman" w:hint="eastAsia"/>
          <w:sz w:val="28"/>
          <w:szCs w:val="28"/>
        </w:rPr>
        <w:t>4-2</w:t>
      </w:r>
      <w:r w:rsidRPr="00A41CE6">
        <w:rPr>
          <w:rFonts w:ascii="Times New Roman" w:hAnsi="Times New Roman" w:hint="eastAsia"/>
          <w:sz w:val="28"/>
          <w:szCs w:val="28"/>
        </w:rPr>
        <w:t>反映了海口市“十四五”期间建筑建设状况，由表可以看出，</w:t>
      </w:r>
      <w:r w:rsidRPr="00A41CE6">
        <w:rPr>
          <w:rFonts w:ascii="Times New Roman" w:hAnsi="Times New Roman"/>
          <w:sz w:val="28"/>
          <w:szCs w:val="28"/>
        </w:rPr>
        <w:t xml:space="preserve"> 2022</w:t>
      </w:r>
      <w:r w:rsidRPr="00A41CE6">
        <w:rPr>
          <w:rFonts w:ascii="Times New Roman" w:hAnsi="Times New Roman" w:hint="eastAsia"/>
          <w:sz w:val="28"/>
          <w:szCs w:val="28"/>
        </w:rPr>
        <w:t>年海口市新建绿色建筑的占比已超过</w:t>
      </w:r>
      <w:r w:rsidRPr="00A41CE6">
        <w:rPr>
          <w:rFonts w:ascii="Times New Roman" w:hAnsi="Times New Roman" w:hint="eastAsia"/>
          <w:sz w:val="28"/>
          <w:szCs w:val="28"/>
        </w:rPr>
        <w:t>8</w:t>
      </w:r>
      <w:r w:rsidRPr="00A41CE6">
        <w:rPr>
          <w:rFonts w:ascii="Times New Roman" w:hAnsi="Times New Roman"/>
          <w:sz w:val="28"/>
          <w:szCs w:val="28"/>
        </w:rPr>
        <w:t>0%</w:t>
      </w:r>
      <w:r w:rsidRPr="00A41CE6">
        <w:rPr>
          <w:rFonts w:ascii="Times New Roman" w:hAnsi="Times New Roman" w:hint="eastAsia"/>
          <w:sz w:val="28"/>
          <w:szCs w:val="28"/>
        </w:rPr>
        <w:t>。通过计算可得，</w:t>
      </w:r>
      <w:r w:rsidRPr="00A41CE6">
        <w:rPr>
          <w:rFonts w:ascii="Times New Roman" w:hAnsi="Times New Roman" w:hint="eastAsia"/>
          <w:sz w:val="28"/>
          <w:szCs w:val="28"/>
        </w:rPr>
        <w:lastRenderedPageBreak/>
        <w:t>海口市同期新增绿色建筑面积占海南省的</w:t>
      </w:r>
      <w:r w:rsidRPr="00A41CE6">
        <w:rPr>
          <w:rFonts w:ascii="Times New Roman" w:hAnsi="Times New Roman"/>
          <w:sz w:val="28"/>
          <w:szCs w:val="28"/>
        </w:rPr>
        <w:t>32.79%</w:t>
      </w:r>
      <w:r w:rsidRPr="00A41CE6">
        <w:rPr>
          <w:rFonts w:ascii="Times New Roman" w:hAnsi="Times New Roman" w:hint="eastAsia"/>
          <w:sz w:val="28"/>
          <w:szCs w:val="28"/>
        </w:rPr>
        <w:t>。以之作为贡献率求刚好实现海南省“十四五”规划绿色建筑占比目标情景下的全市</w:t>
      </w:r>
      <w:r w:rsidRPr="00A41CE6">
        <w:rPr>
          <w:rFonts w:ascii="Times New Roman" w:hAnsi="Times New Roman" w:hint="eastAsia"/>
          <w:sz w:val="28"/>
          <w:szCs w:val="28"/>
        </w:rPr>
        <w:t>2</w:t>
      </w:r>
      <w:r w:rsidRPr="00A41CE6">
        <w:rPr>
          <w:rFonts w:ascii="Times New Roman" w:hAnsi="Times New Roman"/>
          <w:sz w:val="28"/>
          <w:szCs w:val="28"/>
        </w:rPr>
        <w:t>023-2025</w:t>
      </w:r>
      <w:r w:rsidRPr="00A41CE6">
        <w:rPr>
          <w:rFonts w:ascii="Times New Roman" w:hAnsi="Times New Roman" w:hint="eastAsia"/>
          <w:sz w:val="28"/>
          <w:szCs w:val="28"/>
        </w:rPr>
        <w:t>年新建绿色建筑面积。根据</w:t>
      </w:r>
      <w:r w:rsidRPr="00A41CE6">
        <w:rPr>
          <w:rFonts w:ascii="Times New Roman" w:hAnsi="Times New Roman"/>
          <w:sz w:val="28"/>
          <w:szCs w:val="28"/>
        </w:rPr>
        <w:t>近</w:t>
      </w:r>
      <w:r w:rsidRPr="00A41CE6">
        <w:rPr>
          <w:rFonts w:ascii="Times New Roman" w:hAnsi="Times New Roman" w:hint="eastAsia"/>
          <w:sz w:val="28"/>
          <w:szCs w:val="28"/>
        </w:rPr>
        <w:t>5</w:t>
      </w:r>
      <w:r w:rsidRPr="00A41CE6">
        <w:rPr>
          <w:rFonts w:ascii="Times New Roman" w:hAnsi="Times New Roman" w:hint="eastAsia"/>
          <w:sz w:val="28"/>
          <w:szCs w:val="28"/>
        </w:rPr>
        <w:t>年海南省装配式建筑发展趋势和自由贸易港建设步伐，预计本市</w:t>
      </w:r>
      <w:r w:rsidRPr="00A41CE6">
        <w:rPr>
          <w:rFonts w:ascii="Times New Roman" w:hAnsi="Times New Roman" w:hint="eastAsia"/>
          <w:sz w:val="28"/>
          <w:szCs w:val="28"/>
        </w:rPr>
        <w:t>2023</w:t>
      </w:r>
      <w:r w:rsidRPr="00A41CE6">
        <w:rPr>
          <w:rFonts w:ascii="Times New Roman" w:hAnsi="Times New Roman" w:hint="eastAsia"/>
          <w:sz w:val="28"/>
          <w:szCs w:val="28"/>
        </w:rPr>
        <w:t>年后随着自贸港建设逐步形成，每年新开工建筑面积按</w:t>
      </w:r>
      <w:r w:rsidRPr="00A41CE6">
        <w:rPr>
          <w:rFonts w:ascii="Times New Roman" w:hAnsi="Times New Roman" w:hint="eastAsia"/>
          <w:sz w:val="28"/>
          <w:szCs w:val="28"/>
        </w:rPr>
        <w:t>2%</w:t>
      </w:r>
      <w:r w:rsidRPr="00A41CE6">
        <w:rPr>
          <w:rFonts w:ascii="Times New Roman" w:hAnsi="Times New Roman" w:hint="eastAsia"/>
          <w:sz w:val="28"/>
          <w:szCs w:val="28"/>
        </w:rPr>
        <w:t>的速率递减，</w:t>
      </w:r>
      <w:r w:rsidRPr="00A41CE6">
        <w:rPr>
          <w:rFonts w:ascii="Times New Roman" w:hAnsi="Times New Roman"/>
          <w:sz w:val="28"/>
          <w:szCs w:val="28"/>
        </w:rPr>
        <w:t>按照</w:t>
      </w:r>
      <w:r w:rsidRPr="00A41CE6">
        <w:rPr>
          <w:rFonts w:ascii="Times New Roman" w:hAnsi="Times New Roman" w:hint="eastAsia"/>
          <w:sz w:val="28"/>
          <w:szCs w:val="28"/>
        </w:rPr>
        <w:t>此原则</w:t>
      </w:r>
      <w:r w:rsidRPr="00A41CE6">
        <w:rPr>
          <w:rFonts w:ascii="Times New Roman" w:hAnsi="Times New Roman"/>
          <w:sz w:val="28"/>
          <w:szCs w:val="28"/>
        </w:rPr>
        <w:t>估算未来</w:t>
      </w:r>
      <w:r w:rsidRPr="00A41CE6">
        <w:rPr>
          <w:rFonts w:ascii="Times New Roman" w:hAnsi="Times New Roman"/>
          <w:sz w:val="28"/>
          <w:szCs w:val="28"/>
        </w:rPr>
        <w:t>3</w:t>
      </w:r>
      <w:r w:rsidRPr="00A41CE6">
        <w:rPr>
          <w:rFonts w:ascii="Times New Roman" w:hAnsi="Times New Roman" w:hint="eastAsia"/>
          <w:sz w:val="28"/>
          <w:szCs w:val="28"/>
        </w:rPr>
        <w:t>年</w:t>
      </w:r>
      <w:r w:rsidRPr="00A41CE6">
        <w:rPr>
          <w:rFonts w:ascii="Times New Roman" w:hAnsi="Times New Roman"/>
          <w:sz w:val="28"/>
          <w:szCs w:val="28"/>
        </w:rPr>
        <w:t>的建设量</w:t>
      </w:r>
      <w:r w:rsidRPr="00A41CE6">
        <w:rPr>
          <w:rFonts w:ascii="Times New Roman" w:hAnsi="Times New Roman" w:hint="eastAsia"/>
          <w:sz w:val="28"/>
          <w:szCs w:val="28"/>
        </w:rPr>
        <w:t>，结合贡献率，所得结果如表</w:t>
      </w:r>
      <w:r w:rsidR="00D1055B">
        <w:rPr>
          <w:rFonts w:ascii="Times New Roman" w:hAnsi="Times New Roman" w:hint="eastAsia"/>
          <w:sz w:val="28"/>
          <w:szCs w:val="28"/>
        </w:rPr>
        <w:t>4-</w:t>
      </w:r>
      <w:r w:rsidRPr="00A41CE6">
        <w:rPr>
          <w:rFonts w:ascii="Times New Roman" w:hAnsi="Times New Roman" w:hint="eastAsia"/>
          <w:sz w:val="28"/>
          <w:szCs w:val="28"/>
        </w:rPr>
        <w:t>2</w:t>
      </w:r>
      <w:r w:rsidRPr="00A41CE6">
        <w:rPr>
          <w:rFonts w:ascii="Times New Roman" w:hAnsi="Times New Roman" w:hint="eastAsia"/>
          <w:sz w:val="28"/>
          <w:szCs w:val="28"/>
        </w:rPr>
        <w:t>所示。</w:t>
      </w:r>
    </w:p>
    <w:p w:rsidR="00825AB7" w:rsidRPr="0012401D" w:rsidRDefault="00825AB7" w:rsidP="00D1055B">
      <w:pPr>
        <w:spacing w:after="0"/>
        <w:ind w:firstLineChars="200" w:firstLine="482"/>
        <w:jc w:val="center"/>
        <w:rPr>
          <w:rFonts w:asciiTheme="minorEastAsia" w:eastAsiaTheme="minorEastAsia" w:hAnsiTheme="minorEastAsia"/>
          <w:b/>
          <w:color w:val="000000"/>
          <w:sz w:val="24"/>
          <w:szCs w:val="24"/>
        </w:rPr>
      </w:pPr>
      <w:r w:rsidRPr="0012401D">
        <w:rPr>
          <w:rFonts w:asciiTheme="minorEastAsia" w:eastAsiaTheme="minorEastAsia" w:hAnsiTheme="minorEastAsia" w:hint="eastAsia"/>
          <w:b/>
          <w:color w:val="000000"/>
          <w:sz w:val="24"/>
          <w:szCs w:val="24"/>
        </w:rPr>
        <w:t>表</w:t>
      </w:r>
      <w:r w:rsidR="00D1055B">
        <w:rPr>
          <w:rFonts w:asciiTheme="minorEastAsia" w:eastAsiaTheme="minorEastAsia" w:hAnsiTheme="minorEastAsia" w:hint="eastAsia"/>
          <w:b/>
          <w:color w:val="000000"/>
          <w:sz w:val="24"/>
          <w:szCs w:val="24"/>
        </w:rPr>
        <w:t>4-</w:t>
      </w:r>
      <w:r w:rsidRPr="0012401D">
        <w:rPr>
          <w:rFonts w:asciiTheme="minorEastAsia" w:eastAsiaTheme="minorEastAsia" w:hAnsiTheme="minorEastAsia"/>
          <w:b/>
          <w:color w:val="000000"/>
          <w:sz w:val="24"/>
          <w:szCs w:val="24"/>
        </w:rPr>
        <w:t>2</w:t>
      </w:r>
      <w:r w:rsidRPr="0012401D">
        <w:rPr>
          <w:rFonts w:asciiTheme="minorEastAsia" w:eastAsiaTheme="minorEastAsia" w:hAnsiTheme="minorEastAsia" w:hint="eastAsia"/>
          <w:b/>
          <w:color w:val="000000"/>
          <w:sz w:val="24"/>
          <w:szCs w:val="24"/>
        </w:rPr>
        <w:t>“十四五“</w:t>
      </w:r>
      <w:r w:rsidRPr="0012401D">
        <w:rPr>
          <w:rFonts w:asciiTheme="minorEastAsia" w:eastAsiaTheme="minorEastAsia" w:hAnsiTheme="minorEastAsia"/>
          <w:b/>
          <w:color w:val="000000"/>
          <w:sz w:val="24"/>
          <w:szCs w:val="24"/>
        </w:rPr>
        <w:t xml:space="preserve"> 期间</w:t>
      </w:r>
      <w:r w:rsidRPr="0012401D">
        <w:rPr>
          <w:rFonts w:asciiTheme="minorEastAsia" w:eastAsiaTheme="minorEastAsia" w:hAnsiTheme="minorEastAsia" w:hint="eastAsia"/>
          <w:b/>
          <w:color w:val="000000"/>
          <w:sz w:val="24"/>
          <w:szCs w:val="24"/>
        </w:rPr>
        <w:t>海口市</w:t>
      </w:r>
      <w:r w:rsidRPr="0012401D">
        <w:rPr>
          <w:rFonts w:asciiTheme="minorEastAsia" w:eastAsiaTheme="minorEastAsia" w:hAnsiTheme="minorEastAsia"/>
          <w:b/>
          <w:color w:val="000000"/>
          <w:sz w:val="24"/>
          <w:szCs w:val="24"/>
        </w:rPr>
        <w:t>新增</w:t>
      </w:r>
      <w:r w:rsidRPr="0012401D">
        <w:rPr>
          <w:rFonts w:asciiTheme="minorEastAsia" w:eastAsiaTheme="minorEastAsia" w:hAnsiTheme="minorEastAsia" w:hint="eastAsia"/>
          <w:b/>
          <w:color w:val="000000"/>
          <w:sz w:val="24"/>
          <w:szCs w:val="24"/>
        </w:rPr>
        <w:t>建筑面积实际值与预测值</w:t>
      </w:r>
    </w:p>
    <w:tbl>
      <w:tblPr>
        <w:tblpPr w:leftFromText="180" w:rightFromText="180" w:vertAnchor="text" w:tblpXSpec="center" w:tblpY="1"/>
        <w:tblOverlap w:val="never"/>
        <w:tblW w:w="8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1"/>
        <w:gridCol w:w="2274"/>
        <w:gridCol w:w="2659"/>
        <w:gridCol w:w="2126"/>
      </w:tblGrid>
      <w:tr w:rsidR="00825AB7" w:rsidRPr="00505734" w:rsidTr="00A8699E">
        <w:tc>
          <w:tcPr>
            <w:tcW w:w="1271" w:type="dxa"/>
            <w:tcBorders>
              <w:top w:val="single" w:sz="4" w:space="0" w:color="auto"/>
              <w:left w:val="single" w:sz="4" w:space="0" w:color="auto"/>
              <w:bottom w:val="single" w:sz="4" w:space="0" w:color="auto"/>
              <w:right w:val="single" w:sz="4" w:space="0" w:color="auto"/>
            </w:tcBorders>
            <w:vAlign w:val="center"/>
            <w:hideMark/>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hint="eastAsia"/>
                <w:color w:val="000000"/>
                <w:sz w:val="24"/>
                <w:szCs w:val="24"/>
              </w:rPr>
              <w:t>年份</w:t>
            </w:r>
          </w:p>
        </w:tc>
        <w:tc>
          <w:tcPr>
            <w:tcW w:w="2274" w:type="dxa"/>
            <w:tcBorders>
              <w:top w:val="single" w:sz="4" w:space="0" w:color="auto"/>
              <w:left w:val="single" w:sz="4" w:space="0" w:color="auto"/>
              <w:bottom w:val="single" w:sz="4" w:space="0" w:color="auto"/>
              <w:right w:val="single" w:sz="4" w:space="0" w:color="auto"/>
            </w:tcBorders>
            <w:vAlign w:val="center"/>
            <w:hideMark/>
          </w:tcPr>
          <w:p w:rsidR="00825AB7" w:rsidRPr="00505734" w:rsidRDefault="00825AB7" w:rsidP="00D1055B">
            <w:pPr>
              <w:spacing w:after="0"/>
              <w:jc w:val="center"/>
              <w:rPr>
                <w:rFonts w:ascii="Times New Roman" w:hAnsi="Times New Roman" w:cs="宋体"/>
                <w:color w:val="000000"/>
                <w:sz w:val="24"/>
                <w:szCs w:val="24"/>
              </w:rPr>
            </w:pPr>
            <w:r w:rsidRPr="00505734">
              <w:rPr>
                <w:rFonts w:ascii="Times New Roman" w:hAnsi="Times New Roman" w:cs="宋体" w:hint="eastAsia"/>
                <w:color w:val="000000"/>
                <w:sz w:val="24"/>
                <w:szCs w:val="24"/>
              </w:rPr>
              <w:t>海南省新建建筑面积</w:t>
            </w:r>
            <w:r w:rsidRPr="00505734">
              <w:rPr>
                <w:rFonts w:ascii="Times New Roman" w:hAnsi="Times New Roman" w:cs="宋体"/>
                <w:color w:val="000000"/>
                <w:sz w:val="24"/>
                <w:szCs w:val="24"/>
              </w:rPr>
              <w:t>（单位：万</w:t>
            </w:r>
            <w:r w:rsidRPr="00505734">
              <w:rPr>
                <w:rFonts w:ascii="Times New Roman" w:hAnsi="Times New Roman" w:cs="宋体"/>
                <w:color w:val="000000"/>
                <w:sz w:val="24"/>
                <w:szCs w:val="24"/>
              </w:rPr>
              <w:t>m</w:t>
            </w:r>
            <w:r w:rsidRPr="00505734">
              <w:rPr>
                <w:rFonts w:ascii="Times New Roman" w:hAnsi="Times New Roman" w:cs="宋体"/>
                <w:color w:val="000000"/>
                <w:sz w:val="24"/>
                <w:szCs w:val="24"/>
                <w:vertAlign w:val="superscript"/>
              </w:rPr>
              <w:t>2</w:t>
            </w:r>
            <w:r w:rsidRPr="00505734">
              <w:rPr>
                <w:rFonts w:ascii="Times New Roman" w:hAnsi="Times New Roman" w:cs="宋体"/>
                <w:color w:val="000000"/>
                <w:sz w:val="24"/>
                <w:szCs w:val="24"/>
              </w:rPr>
              <w:t>）</w:t>
            </w:r>
          </w:p>
        </w:tc>
        <w:tc>
          <w:tcPr>
            <w:tcW w:w="2659" w:type="dxa"/>
            <w:tcBorders>
              <w:top w:val="single" w:sz="4" w:space="0" w:color="auto"/>
              <w:left w:val="single" w:sz="4" w:space="0" w:color="auto"/>
              <w:bottom w:val="single" w:sz="4" w:space="0" w:color="auto"/>
              <w:right w:val="single" w:sz="4" w:space="0" w:color="auto"/>
            </w:tcBorders>
            <w:vAlign w:val="center"/>
            <w:hideMark/>
          </w:tcPr>
          <w:p w:rsidR="00825AB7" w:rsidRPr="00505734" w:rsidRDefault="00825AB7" w:rsidP="00D1055B">
            <w:pPr>
              <w:spacing w:after="0"/>
              <w:jc w:val="center"/>
              <w:rPr>
                <w:rFonts w:ascii="Times New Roman" w:hAnsi="Times New Roman" w:cs="宋体"/>
                <w:color w:val="000000"/>
                <w:sz w:val="24"/>
                <w:szCs w:val="24"/>
              </w:rPr>
            </w:pPr>
            <w:r w:rsidRPr="00505734">
              <w:rPr>
                <w:rFonts w:ascii="Times New Roman" w:hAnsi="Times New Roman" w:cs="宋体" w:hint="eastAsia"/>
                <w:color w:val="000000"/>
                <w:sz w:val="24"/>
                <w:szCs w:val="24"/>
              </w:rPr>
              <w:t>海南省新建绿色建筑面积</w:t>
            </w:r>
            <w:r w:rsidRPr="00505734">
              <w:rPr>
                <w:rFonts w:ascii="Times New Roman" w:hAnsi="Times New Roman" w:cs="宋体"/>
                <w:color w:val="000000"/>
                <w:sz w:val="24"/>
                <w:szCs w:val="24"/>
              </w:rPr>
              <w:t>（单位：万</w:t>
            </w:r>
            <w:r w:rsidRPr="00505734">
              <w:rPr>
                <w:rFonts w:ascii="Times New Roman" w:hAnsi="Times New Roman" w:cs="宋体"/>
                <w:color w:val="000000"/>
                <w:sz w:val="24"/>
                <w:szCs w:val="24"/>
              </w:rPr>
              <w:t>m</w:t>
            </w:r>
            <w:r w:rsidRPr="00505734">
              <w:rPr>
                <w:rFonts w:ascii="Times New Roman" w:hAnsi="Times New Roman" w:cs="宋体"/>
                <w:color w:val="000000"/>
                <w:sz w:val="24"/>
                <w:szCs w:val="24"/>
                <w:vertAlign w:val="superscript"/>
              </w:rPr>
              <w:t>2</w:t>
            </w:r>
            <w:r w:rsidRPr="00505734">
              <w:rPr>
                <w:rFonts w:ascii="Times New Roman" w:hAnsi="Times New Roman" w:cs="宋体"/>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hint="eastAsia"/>
                <w:color w:val="000000"/>
                <w:sz w:val="24"/>
                <w:szCs w:val="24"/>
              </w:rPr>
              <w:t>绿色建筑面积</w:t>
            </w:r>
            <w:r w:rsidRPr="00505734">
              <w:rPr>
                <w:rFonts w:ascii="Times New Roman" w:hAnsi="Times New Roman" w:cs="宋体"/>
                <w:color w:val="000000"/>
                <w:sz w:val="24"/>
                <w:szCs w:val="24"/>
              </w:rPr>
              <w:t>比例</w:t>
            </w:r>
          </w:p>
        </w:tc>
      </w:tr>
      <w:tr w:rsidR="00825AB7" w:rsidRPr="00505734" w:rsidTr="00A8699E">
        <w:tc>
          <w:tcPr>
            <w:tcW w:w="1271" w:type="dxa"/>
            <w:tcBorders>
              <w:top w:val="single" w:sz="4" w:space="0" w:color="auto"/>
              <w:left w:val="single" w:sz="4" w:space="0" w:color="auto"/>
              <w:bottom w:val="single" w:sz="4" w:space="0" w:color="auto"/>
              <w:right w:val="single" w:sz="4" w:space="0" w:color="auto"/>
            </w:tcBorders>
            <w:vAlign w:val="center"/>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hint="eastAsia"/>
                <w:sz w:val="24"/>
                <w:szCs w:val="24"/>
              </w:rPr>
              <w:t>2</w:t>
            </w:r>
            <w:r w:rsidRPr="00505734">
              <w:rPr>
                <w:rFonts w:ascii="Times New Roman" w:hAnsi="Times New Roman" w:cs="宋体"/>
                <w:sz w:val="24"/>
                <w:szCs w:val="24"/>
              </w:rPr>
              <w:t>022</w:t>
            </w:r>
          </w:p>
        </w:tc>
        <w:tc>
          <w:tcPr>
            <w:tcW w:w="2274" w:type="dxa"/>
            <w:tcBorders>
              <w:top w:val="single" w:sz="4" w:space="0" w:color="auto"/>
              <w:left w:val="single" w:sz="4" w:space="0" w:color="auto"/>
              <w:bottom w:val="single" w:sz="4" w:space="0" w:color="auto"/>
              <w:right w:val="single" w:sz="4" w:space="0" w:color="auto"/>
            </w:tcBorders>
            <w:vAlign w:val="center"/>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sz w:val="24"/>
                <w:szCs w:val="24"/>
              </w:rPr>
              <w:t>657.23</w:t>
            </w:r>
          </w:p>
        </w:tc>
        <w:tc>
          <w:tcPr>
            <w:tcW w:w="2659" w:type="dxa"/>
            <w:tcBorders>
              <w:top w:val="single" w:sz="4" w:space="0" w:color="auto"/>
              <w:left w:val="single" w:sz="4" w:space="0" w:color="auto"/>
              <w:bottom w:val="single" w:sz="4" w:space="0" w:color="auto"/>
              <w:right w:val="single" w:sz="4" w:space="0" w:color="auto"/>
            </w:tcBorders>
            <w:vAlign w:val="center"/>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sz w:val="24"/>
                <w:szCs w:val="24"/>
              </w:rPr>
              <w:t>587.73</w:t>
            </w:r>
          </w:p>
        </w:tc>
        <w:tc>
          <w:tcPr>
            <w:tcW w:w="2126" w:type="dxa"/>
            <w:tcBorders>
              <w:top w:val="single" w:sz="4" w:space="0" w:color="auto"/>
              <w:left w:val="single" w:sz="4" w:space="0" w:color="auto"/>
              <w:bottom w:val="single" w:sz="4" w:space="0" w:color="auto"/>
              <w:right w:val="single" w:sz="4" w:space="0" w:color="auto"/>
            </w:tcBorders>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hint="eastAsia"/>
                <w:sz w:val="24"/>
                <w:szCs w:val="24"/>
              </w:rPr>
              <w:t>8</w:t>
            </w:r>
            <w:r w:rsidRPr="00505734">
              <w:rPr>
                <w:rFonts w:ascii="Times New Roman" w:hAnsi="Times New Roman" w:cs="宋体"/>
                <w:sz w:val="24"/>
                <w:szCs w:val="24"/>
              </w:rPr>
              <w:t>9.42%</w:t>
            </w:r>
          </w:p>
        </w:tc>
      </w:tr>
      <w:tr w:rsidR="00825AB7" w:rsidRPr="00505734" w:rsidTr="00A8699E">
        <w:tc>
          <w:tcPr>
            <w:tcW w:w="1271" w:type="dxa"/>
            <w:tcBorders>
              <w:top w:val="single" w:sz="4" w:space="0" w:color="auto"/>
              <w:left w:val="single" w:sz="4" w:space="0" w:color="auto"/>
              <w:bottom w:val="single" w:sz="4" w:space="0" w:color="auto"/>
              <w:right w:val="single" w:sz="4" w:space="0" w:color="auto"/>
            </w:tcBorders>
            <w:vAlign w:val="center"/>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hint="eastAsia"/>
                <w:sz w:val="24"/>
                <w:szCs w:val="24"/>
              </w:rPr>
              <w:t>2</w:t>
            </w:r>
            <w:r w:rsidRPr="00505734">
              <w:rPr>
                <w:rFonts w:ascii="Times New Roman" w:hAnsi="Times New Roman" w:cs="宋体"/>
                <w:sz w:val="24"/>
                <w:szCs w:val="24"/>
              </w:rPr>
              <w:t>023</w:t>
            </w:r>
          </w:p>
        </w:tc>
        <w:tc>
          <w:tcPr>
            <w:tcW w:w="2274" w:type="dxa"/>
            <w:tcBorders>
              <w:top w:val="single" w:sz="4" w:space="0" w:color="auto"/>
              <w:left w:val="single" w:sz="4" w:space="0" w:color="auto"/>
              <w:bottom w:val="single" w:sz="4" w:space="0" w:color="auto"/>
              <w:right w:val="single" w:sz="4" w:space="0" w:color="auto"/>
            </w:tcBorders>
            <w:vAlign w:val="center"/>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hint="eastAsia"/>
                <w:color w:val="000000"/>
                <w:sz w:val="24"/>
                <w:szCs w:val="24"/>
              </w:rPr>
              <w:t>6</w:t>
            </w:r>
            <w:r w:rsidRPr="00505734">
              <w:rPr>
                <w:rFonts w:ascii="Times New Roman" w:hAnsi="Times New Roman" w:cs="宋体"/>
                <w:color w:val="000000"/>
                <w:sz w:val="24"/>
                <w:szCs w:val="24"/>
              </w:rPr>
              <w:t>44.08</w:t>
            </w:r>
          </w:p>
        </w:tc>
        <w:tc>
          <w:tcPr>
            <w:tcW w:w="2659" w:type="dxa"/>
            <w:tcBorders>
              <w:top w:val="single" w:sz="4" w:space="0" w:color="auto"/>
              <w:left w:val="single" w:sz="4" w:space="0" w:color="auto"/>
              <w:bottom w:val="single" w:sz="4" w:space="0" w:color="auto"/>
              <w:right w:val="single" w:sz="4" w:space="0" w:color="auto"/>
            </w:tcBorders>
            <w:vAlign w:val="center"/>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hint="eastAsia"/>
                <w:sz w:val="24"/>
                <w:szCs w:val="24"/>
              </w:rPr>
              <w:t>5</w:t>
            </w:r>
            <w:r w:rsidRPr="00505734">
              <w:rPr>
                <w:rFonts w:ascii="Times New Roman" w:hAnsi="Times New Roman" w:cs="宋体"/>
                <w:sz w:val="24"/>
                <w:szCs w:val="24"/>
              </w:rPr>
              <w:t>19.86</w:t>
            </w:r>
          </w:p>
        </w:tc>
        <w:tc>
          <w:tcPr>
            <w:tcW w:w="2126" w:type="dxa"/>
            <w:tcBorders>
              <w:top w:val="single" w:sz="4" w:space="0" w:color="auto"/>
              <w:left w:val="single" w:sz="4" w:space="0" w:color="auto"/>
              <w:bottom w:val="single" w:sz="4" w:space="0" w:color="auto"/>
              <w:right w:val="single" w:sz="4" w:space="0" w:color="auto"/>
            </w:tcBorders>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hint="eastAsia"/>
                <w:sz w:val="24"/>
                <w:szCs w:val="24"/>
              </w:rPr>
              <w:t>8</w:t>
            </w:r>
            <w:r w:rsidRPr="00505734">
              <w:rPr>
                <w:rFonts w:ascii="Times New Roman" w:hAnsi="Times New Roman" w:cs="宋体"/>
                <w:sz w:val="24"/>
                <w:szCs w:val="24"/>
              </w:rPr>
              <w:t>0.71%</w:t>
            </w:r>
          </w:p>
        </w:tc>
      </w:tr>
      <w:tr w:rsidR="00825AB7" w:rsidRPr="00505734" w:rsidTr="00A8699E">
        <w:tc>
          <w:tcPr>
            <w:tcW w:w="1271" w:type="dxa"/>
            <w:tcBorders>
              <w:top w:val="single" w:sz="4" w:space="0" w:color="auto"/>
              <w:left w:val="single" w:sz="4" w:space="0" w:color="auto"/>
              <w:bottom w:val="single" w:sz="4" w:space="0" w:color="auto"/>
              <w:right w:val="single" w:sz="4" w:space="0" w:color="auto"/>
            </w:tcBorders>
            <w:vAlign w:val="center"/>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hint="eastAsia"/>
                <w:sz w:val="24"/>
                <w:szCs w:val="24"/>
              </w:rPr>
              <w:t>2</w:t>
            </w:r>
            <w:r w:rsidRPr="00505734">
              <w:rPr>
                <w:rFonts w:ascii="Times New Roman" w:hAnsi="Times New Roman" w:cs="宋体"/>
                <w:sz w:val="24"/>
                <w:szCs w:val="24"/>
              </w:rPr>
              <w:t>024</w:t>
            </w:r>
          </w:p>
        </w:tc>
        <w:tc>
          <w:tcPr>
            <w:tcW w:w="2274" w:type="dxa"/>
            <w:tcBorders>
              <w:top w:val="single" w:sz="4" w:space="0" w:color="auto"/>
              <w:left w:val="single" w:sz="4" w:space="0" w:color="auto"/>
              <w:bottom w:val="single" w:sz="4" w:space="0" w:color="auto"/>
              <w:right w:val="single" w:sz="4" w:space="0" w:color="auto"/>
            </w:tcBorders>
            <w:vAlign w:val="center"/>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hint="eastAsia"/>
                <w:color w:val="000000"/>
                <w:sz w:val="24"/>
                <w:szCs w:val="24"/>
              </w:rPr>
              <w:t>6</w:t>
            </w:r>
            <w:r w:rsidRPr="00505734">
              <w:rPr>
                <w:rFonts w:ascii="Times New Roman" w:hAnsi="Times New Roman" w:cs="宋体"/>
                <w:color w:val="000000"/>
                <w:sz w:val="24"/>
                <w:szCs w:val="24"/>
              </w:rPr>
              <w:t>31.20</w:t>
            </w:r>
          </w:p>
        </w:tc>
        <w:tc>
          <w:tcPr>
            <w:tcW w:w="2659" w:type="dxa"/>
            <w:tcBorders>
              <w:top w:val="single" w:sz="4" w:space="0" w:color="auto"/>
              <w:left w:val="single" w:sz="4" w:space="0" w:color="auto"/>
              <w:bottom w:val="single" w:sz="4" w:space="0" w:color="auto"/>
              <w:right w:val="single" w:sz="4" w:space="0" w:color="auto"/>
            </w:tcBorders>
            <w:vAlign w:val="center"/>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hint="eastAsia"/>
                <w:sz w:val="24"/>
                <w:szCs w:val="24"/>
              </w:rPr>
              <w:t>5</w:t>
            </w:r>
            <w:r w:rsidRPr="00505734">
              <w:rPr>
                <w:rFonts w:ascii="Times New Roman" w:hAnsi="Times New Roman" w:cs="宋体"/>
                <w:sz w:val="24"/>
                <w:szCs w:val="24"/>
              </w:rPr>
              <w:t>09.46</w:t>
            </w:r>
          </w:p>
        </w:tc>
        <w:tc>
          <w:tcPr>
            <w:tcW w:w="2126" w:type="dxa"/>
            <w:tcBorders>
              <w:top w:val="single" w:sz="4" w:space="0" w:color="auto"/>
              <w:left w:val="single" w:sz="4" w:space="0" w:color="auto"/>
              <w:bottom w:val="single" w:sz="4" w:space="0" w:color="auto"/>
              <w:right w:val="single" w:sz="4" w:space="0" w:color="auto"/>
            </w:tcBorders>
          </w:tcPr>
          <w:p w:rsidR="00825AB7" w:rsidRPr="00505734" w:rsidRDefault="00825AB7" w:rsidP="00D1055B">
            <w:pPr>
              <w:spacing w:after="0"/>
              <w:jc w:val="center"/>
              <w:rPr>
                <w:rFonts w:ascii="Times New Roman" w:hAnsi="Times New Roman" w:cs="宋体"/>
                <w:sz w:val="24"/>
                <w:szCs w:val="24"/>
              </w:rPr>
            </w:pPr>
            <w:r w:rsidRPr="00505734">
              <w:rPr>
                <w:rFonts w:ascii="Times New Roman" w:hAnsi="Times New Roman" w:cs="宋体" w:hint="eastAsia"/>
                <w:sz w:val="24"/>
                <w:szCs w:val="24"/>
              </w:rPr>
              <w:t>8</w:t>
            </w:r>
            <w:r w:rsidRPr="00505734">
              <w:rPr>
                <w:rFonts w:ascii="Times New Roman" w:hAnsi="Times New Roman" w:cs="宋体"/>
                <w:sz w:val="24"/>
                <w:szCs w:val="24"/>
              </w:rPr>
              <w:t>0.71%</w:t>
            </w:r>
          </w:p>
        </w:tc>
      </w:tr>
      <w:tr w:rsidR="00825AB7" w:rsidRPr="00505734" w:rsidTr="00A8699E">
        <w:tc>
          <w:tcPr>
            <w:tcW w:w="1271" w:type="dxa"/>
            <w:tcBorders>
              <w:top w:val="single" w:sz="4" w:space="0" w:color="auto"/>
              <w:left w:val="single" w:sz="4" w:space="0" w:color="auto"/>
              <w:bottom w:val="single" w:sz="4" w:space="0" w:color="auto"/>
              <w:right w:val="single" w:sz="4" w:space="0" w:color="auto"/>
            </w:tcBorders>
            <w:vAlign w:val="center"/>
          </w:tcPr>
          <w:p w:rsidR="00825AB7" w:rsidRPr="00505734" w:rsidRDefault="00825AB7" w:rsidP="00D1055B">
            <w:pPr>
              <w:spacing w:after="0"/>
              <w:jc w:val="center"/>
              <w:rPr>
                <w:rFonts w:ascii="Times New Roman" w:hAnsi="Times New Roman" w:cs="宋体"/>
                <w:color w:val="000000"/>
                <w:sz w:val="24"/>
                <w:szCs w:val="24"/>
              </w:rPr>
            </w:pPr>
            <w:r w:rsidRPr="00505734">
              <w:rPr>
                <w:rFonts w:ascii="Times New Roman" w:hAnsi="Times New Roman" w:cs="宋体" w:hint="eastAsia"/>
                <w:sz w:val="24"/>
                <w:szCs w:val="24"/>
              </w:rPr>
              <w:t>2</w:t>
            </w:r>
            <w:r w:rsidRPr="00505734">
              <w:rPr>
                <w:rFonts w:ascii="Times New Roman" w:hAnsi="Times New Roman" w:cs="宋体"/>
                <w:sz w:val="24"/>
                <w:szCs w:val="24"/>
              </w:rPr>
              <w:t>025</w:t>
            </w:r>
          </w:p>
        </w:tc>
        <w:tc>
          <w:tcPr>
            <w:tcW w:w="2274" w:type="dxa"/>
            <w:tcBorders>
              <w:top w:val="single" w:sz="4" w:space="0" w:color="auto"/>
              <w:left w:val="single" w:sz="4" w:space="0" w:color="auto"/>
              <w:bottom w:val="single" w:sz="4" w:space="0" w:color="auto"/>
              <w:right w:val="single" w:sz="4" w:space="0" w:color="auto"/>
            </w:tcBorders>
            <w:vAlign w:val="center"/>
          </w:tcPr>
          <w:p w:rsidR="00825AB7" w:rsidRPr="00505734" w:rsidRDefault="00825AB7" w:rsidP="00D1055B">
            <w:pPr>
              <w:spacing w:after="0"/>
              <w:jc w:val="center"/>
              <w:rPr>
                <w:rFonts w:ascii="Times New Roman" w:hAnsi="Times New Roman" w:cs="宋体" w:hint="eastAsia"/>
                <w:color w:val="000000"/>
                <w:sz w:val="24"/>
                <w:szCs w:val="24"/>
              </w:rPr>
            </w:pPr>
            <w:r w:rsidRPr="00505734">
              <w:rPr>
                <w:rFonts w:ascii="Times New Roman" w:hAnsi="Times New Roman" w:cs="宋体" w:hint="eastAsia"/>
                <w:color w:val="000000"/>
                <w:sz w:val="24"/>
                <w:szCs w:val="24"/>
              </w:rPr>
              <w:t>6</w:t>
            </w:r>
            <w:r w:rsidRPr="00505734">
              <w:rPr>
                <w:rFonts w:ascii="Times New Roman" w:hAnsi="Times New Roman" w:cs="宋体"/>
                <w:color w:val="000000"/>
                <w:sz w:val="24"/>
                <w:szCs w:val="24"/>
              </w:rPr>
              <w:t>18.57</w:t>
            </w:r>
          </w:p>
        </w:tc>
        <w:tc>
          <w:tcPr>
            <w:tcW w:w="2659" w:type="dxa"/>
            <w:tcBorders>
              <w:top w:val="single" w:sz="4" w:space="0" w:color="auto"/>
              <w:left w:val="single" w:sz="4" w:space="0" w:color="auto"/>
              <w:bottom w:val="single" w:sz="4" w:space="0" w:color="auto"/>
              <w:right w:val="single" w:sz="4" w:space="0" w:color="auto"/>
            </w:tcBorders>
            <w:vAlign w:val="center"/>
          </w:tcPr>
          <w:p w:rsidR="00825AB7" w:rsidRPr="00505734" w:rsidRDefault="00825AB7" w:rsidP="00D1055B">
            <w:pPr>
              <w:spacing w:after="0"/>
              <w:jc w:val="center"/>
              <w:rPr>
                <w:rFonts w:ascii="Times New Roman" w:hAnsi="Times New Roman" w:cs="宋体" w:hint="eastAsia"/>
                <w:color w:val="000000"/>
                <w:sz w:val="24"/>
                <w:szCs w:val="24"/>
              </w:rPr>
            </w:pPr>
            <w:r w:rsidRPr="00505734">
              <w:rPr>
                <w:rFonts w:ascii="Times New Roman" w:hAnsi="Times New Roman" w:cs="宋体" w:hint="eastAsia"/>
                <w:color w:val="000000"/>
                <w:sz w:val="24"/>
                <w:szCs w:val="24"/>
              </w:rPr>
              <w:t>4</w:t>
            </w:r>
            <w:r w:rsidRPr="00505734">
              <w:rPr>
                <w:rFonts w:ascii="Times New Roman" w:hAnsi="Times New Roman" w:cs="宋体"/>
                <w:color w:val="000000"/>
                <w:sz w:val="24"/>
                <w:szCs w:val="24"/>
              </w:rPr>
              <w:t>99.27</w:t>
            </w:r>
          </w:p>
        </w:tc>
        <w:tc>
          <w:tcPr>
            <w:tcW w:w="2126" w:type="dxa"/>
            <w:tcBorders>
              <w:top w:val="single" w:sz="4" w:space="0" w:color="auto"/>
              <w:left w:val="single" w:sz="4" w:space="0" w:color="auto"/>
              <w:bottom w:val="single" w:sz="4" w:space="0" w:color="auto"/>
              <w:right w:val="single" w:sz="4" w:space="0" w:color="auto"/>
            </w:tcBorders>
          </w:tcPr>
          <w:p w:rsidR="00825AB7" w:rsidRPr="00505734" w:rsidRDefault="00825AB7" w:rsidP="00D1055B">
            <w:pPr>
              <w:spacing w:after="0"/>
              <w:jc w:val="center"/>
              <w:rPr>
                <w:rFonts w:ascii="Times New Roman" w:hAnsi="Times New Roman" w:cs="宋体" w:hint="eastAsia"/>
                <w:color w:val="000000"/>
                <w:sz w:val="24"/>
                <w:szCs w:val="24"/>
              </w:rPr>
            </w:pPr>
            <w:r w:rsidRPr="00505734">
              <w:rPr>
                <w:rFonts w:ascii="Times New Roman" w:hAnsi="Times New Roman" w:cs="宋体" w:hint="eastAsia"/>
                <w:sz w:val="24"/>
                <w:szCs w:val="24"/>
              </w:rPr>
              <w:t>8</w:t>
            </w:r>
            <w:r w:rsidRPr="00505734">
              <w:rPr>
                <w:rFonts w:ascii="Times New Roman" w:hAnsi="Times New Roman" w:cs="宋体"/>
                <w:sz w:val="24"/>
                <w:szCs w:val="24"/>
              </w:rPr>
              <w:t>0.71%</w:t>
            </w:r>
          </w:p>
        </w:tc>
      </w:tr>
    </w:tbl>
    <w:p w:rsidR="00825AB7" w:rsidRPr="00505734" w:rsidRDefault="00825AB7" w:rsidP="00D1055B">
      <w:pPr>
        <w:spacing w:after="0"/>
        <w:ind w:firstLineChars="200" w:firstLine="482"/>
        <w:rPr>
          <w:rFonts w:ascii="Times New Roman" w:hAnsi="Times New Roman"/>
          <w:b/>
          <w:bCs/>
          <w:sz w:val="24"/>
          <w:szCs w:val="24"/>
        </w:rPr>
      </w:pPr>
      <w:r w:rsidRPr="00505734">
        <w:rPr>
          <w:rFonts w:ascii="Times New Roman" w:hAnsi="Times New Roman" w:hint="eastAsia"/>
          <w:b/>
          <w:bCs/>
          <w:sz w:val="24"/>
          <w:szCs w:val="24"/>
        </w:rPr>
        <w:t>注：</w:t>
      </w:r>
      <w:r w:rsidRPr="00505734">
        <w:rPr>
          <w:rFonts w:ascii="Times New Roman" w:hAnsi="Times New Roman" w:hint="eastAsia"/>
          <w:b/>
          <w:bCs/>
          <w:sz w:val="24"/>
          <w:szCs w:val="24"/>
        </w:rPr>
        <w:t>2</w:t>
      </w:r>
      <w:r w:rsidRPr="00505734">
        <w:rPr>
          <w:rFonts w:ascii="Times New Roman" w:hAnsi="Times New Roman"/>
          <w:b/>
          <w:bCs/>
          <w:sz w:val="24"/>
          <w:szCs w:val="24"/>
        </w:rPr>
        <w:t>023-2025</w:t>
      </w:r>
      <w:r w:rsidRPr="00505734">
        <w:rPr>
          <w:rFonts w:ascii="Times New Roman" w:hAnsi="Times New Roman" w:hint="eastAsia"/>
          <w:b/>
          <w:bCs/>
          <w:sz w:val="24"/>
          <w:szCs w:val="24"/>
        </w:rPr>
        <w:t>年为预测值</w:t>
      </w:r>
    </w:p>
    <w:p w:rsidR="00825AB7" w:rsidRPr="00A41CE6" w:rsidRDefault="00825AB7" w:rsidP="00D1055B">
      <w:pPr>
        <w:spacing w:after="0" w:line="360" w:lineRule="auto"/>
        <w:ind w:firstLineChars="200" w:firstLine="560"/>
        <w:rPr>
          <w:rFonts w:ascii="Times New Roman" w:hAnsi="Times New Roman"/>
          <w:sz w:val="28"/>
          <w:szCs w:val="28"/>
        </w:rPr>
      </w:pPr>
      <w:r w:rsidRPr="00A41CE6">
        <w:rPr>
          <w:rFonts w:ascii="Times New Roman" w:hAnsi="Times New Roman" w:hint="eastAsia"/>
          <w:sz w:val="28"/>
          <w:szCs w:val="28"/>
        </w:rPr>
        <w:t>以表</w:t>
      </w:r>
      <w:r w:rsidR="00D1055B">
        <w:rPr>
          <w:rFonts w:ascii="Times New Roman" w:hAnsi="Times New Roman" w:hint="eastAsia"/>
          <w:sz w:val="28"/>
          <w:szCs w:val="28"/>
        </w:rPr>
        <w:t>4-</w:t>
      </w:r>
      <w:r w:rsidRPr="00A41CE6">
        <w:rPr>
          <w:rFonts w:ascii="Times New Roman" w:hAnsi="Times New Roman" w:hint="eastAsia"/>
          <w:sz w:val="28"/>
          <w:szCs w:val="28"/>
        </w:rPr>
        <w:t>2</w:t>
      </w:r>
      <w:r w:rsidRPr="00A41CE6">
        <w:rPr>
          <w:rFonts w:ascii="Times New Roman" w:hAnsi="Times New Roman" w:hint="eastAsia"/>
          <w:sz w:val="28"/>
          <w:szCs w:val="28"/>
        </w:rPr>
        <w:t>求得的新建绿色建筑面积与海口市同期全市预测新建建筑面积相比，求得</w:t>
      </w:r>
      <w:r w:rsidRPr="00A41CE6">
        <w:rPr>
          <w:rFonts w:ascii="Times New Roman" w:hAnsi="Times New Roman" w:hint="eastAsia"/>
          <w:sz w:val="28"/>
          <w:szCs w:val="28"/>
        </w:rPr>
        <w:t>2</w:t>
      </w:r>
      <w:r w:rsidRPr="00A41CE6">
        <w:rPr>
          <w:rFonts w:ascii="Times New Roman" w:hAnsi="Times New Roman"/>
          <w:sz w:val="28"/>
          <w:szCs w:val="28"/>
        </w:rPr>
        <w:t>023-2025</w:t>
      </w:r>
      <w:r w:rsidRPr="00A41CE6">
        <w:rPr>
          <w:rFonts w:ascii="Times New Roman" w:hAnsi="Times New Roman" w:hint="eastAsia"/>
          <w:sz w:val="28"/>
          <w:szCs w:val="28"/>
        </w:rPr>
        <w:t>年在正好实现海南省“十四五”规划目标情景下的绿色建筑占比，为</w:t>
      </w:r>
      <w:r w:rsidRPr="00A41CE6">
        <w:rPr>
          <w:rFonts w:ascii="Times New Roman" w:hAnsi="Times New Roman"/>
          <w:sz w:val="28"/>
          <w:szCs w:val="28"/>
        </w:rPr>
        <w:t>80.71%</w:t>
      </w:r>
      <w:r w:rsidRPr="00A41CE6">
        <w:rPr>
          <w:rFonts w:ascii="Times New Roman" w:hAnsi="Times New Roman" w:hint="eastAsia"/>
          <w:sz w:val="28"/>
          <w:szCs w:val="28"/>
        </w:rPr>
        <w:t>。</w:t>
      </w:r>
    </w:p>
    <w:p w:rsidR="00825AB7" w:rsidRPr="00A41CE6" w:rsidRDefault="00825AB7" w:rsidP="00D1055B">
      <w:pPr>
        <w:pStyle w:val="af6"/>
        <w:numPr>
          <w:ilvl w:val="0"/>
          <w:numId w:val="2"/>
        </w:numPr>
        <w:ind w:firstLineChars="0"/>
        <w:rPr>
          <w:rFonts w:ascii="Times New Roman" w:eastAsia="黑体" w:hAnsi="Times New Roman"/>
          <w:b/>
          <w:bCs/>
          <w:sz w:val="28"/>
          <w:szCs w:val="28"/>
        </w:rPr>
      </w:pPr>
      <w:r w:rsidRPr="00A41CE6">
        <w:rPr>
          <w:rFonts w:ascii="Times New Roman" w:eastAsia="黑体" w:hAnsi="Times New Roman" w:hint="eastAsia"/>
          <w:b/>
          <w:bCs/>
          <w:sz w:val="28"/>
          <w:szCs w:val="28"/>
        </w:rPr>
        <w:t>结论</w:t>
      </w:r>
    </w:p>
    <w:p w:rsidR="00825AB7" w:rsidRPr="00A41CE6" w:rsidRDefault="00825AB7" w:rsidP="00D1055B">
      <w:pPr>
        <w:spacing w:after="0" w:line="360" w:lineRule="auto"/>
        <w:ind w:firstLineChars="200" w:firstLine="560"/>
        <w:rPr>
          <w:rFonts w:ascii="Times New Roman" w:hAnsi="Times New Roman"/>
          <w:sz w:val="28"/>
          <w:szCs w:val="28"/>
        </w:rPr>
      </w:pPr>
      <w:r w:rsidRPr="00A41CE6">
        <w:rPr>
          <w:rFonts w:ascii="Times New Roman" w:hAnsi="Times New Roman"/>
          <w:sz w:val="28"/>
          <w:szCs w:val="28"/>
        </w:rPr>
        <w:t>根据</w:t>
      </w:r>
      <w:r w:rsidRPr="00A41CE6">
        <w:rPr>
          <w:rFonts w:ascii="Times New Roman" w:hAnsi="Times New Roman" w:hint="eastAsia"/>
          <w:sz w:val="28"/>
          <w:szCs w:val="28"/>
        </w:rPr>
        <w:t>海南省“十四五”规划目标和新建建筑面积数量，求得实现海南省新建绿色建筑占比</w:t>
      </w:r>
      <w:r w:rsidRPr="00A41CE6">
        <w:rPr>
          <w:rFonts w:ascii="Times New Roman" w:hAnsi="Times New Roman" w:hint="eastAsia"/>
          <w:sz w:val="28"/>
          <w:szCs w:val="28"/>
        </w:rPr>
        <w:t>8</w:t>
      </w:r>
      <w:r w:rsidRPr="00A41CE6">
        <w:rPr>
          <w:rFonts w:ascii="Times New Roman" w:hAnsi="Times New Roman"/>
          <w:sz w:val="28"/>
          <w:szCs w:val="28"/>
        </w:rPr>
        <w:t>0%</w:t>
      </w:r>
      <w:r w:rsidRPr="00A41CE6">
        <w:rPr>
          <w:rFonts w:ascii="Times New Roman" w:hAnsi="Times New Roman" w:hint="eastAsia"/>
          <w:sz w:val="28"/>
          <w:szCs w:val="28"/>
        </w:rPr>
        <w:t>目标情景下海口市的新建绿色建筑占比为</w:t>
      </w:r>
      <w:r w:rsidRPr="00A41CE6">
        <w:rPr>
          <w:rFonts w:ascii="Times New Roman" w:hAnsi="Times New Roman"/>
          <w:sz w:val="28"/>
          <w:szCs w:val="28"/>
        </w:rPr>
        <w:t>80.71%</w:t>
      </w:r>
      <w:r w:rsidRPr="00A41CE6">
        <w:rPr>
          <w:rFonts w:ascii="Times New Roman" w:hAnsi="Times New Roman" w:hint="eastAsia"/>
          <w:sz w:val="28"/>
          <w:szCs w:val="28"/>
        </w:rPr>
        <w:t>，考虑到其他城市对于全省绿色建筑建设量的贡献，取整为</w:t>
      </w:r>
      <w:r w:rsidRPr="00A41CE6">
        <w:rPr>
          <w:rFonts w:ascii="Times New Roman" w:hAnsi="Times New Roman"/>
          <w:sz w:val="28"/>
          <w:szCs w:val="28"/>
        </w:rPr>
        <w:t>80%,</w:t>
      </w:r>
      <w:r w:rsidRPr="00A41CE6">
        <w:rPr>
          <w:rFonts w:ascii="Times New Roman" w:hAnsi="Times New Roman" w:hint="eastAsia"/>
          <w:sz w:val="28"/>
          <w:szCs w:val="28"/>
        </w:rPr>
        <w:t>以之作为《海口市建筑节能与绿色建筑（装配式建筑）“十四五”专项规划（</w:t>
      </w:r>
      <w:r w:rsidRPr="00A41CE6">
        <w:rPr>
          <w:rFonts w:ascii="Times New Roman" w:hAnsi="Times New Roman" w:hint="eastAsia"/>
          <w:sz w:val="28"/>
          <w:szCs w:val="28"/>
        </w:rPr>
        <w:t>2022-2025</w:t>
      </w:r>
      <w:r w:rsidRPr="00A41CE6">
        <w:rPr>
          <w:rFonts w:ascii="Times New Roman" w:hAnsi="Times New Roman" w:hint="eastAsia"/>
          <w:sz w:val="28"/>
          <w:szCs w:val="28"/>
        </w:rPr>
        <w:t>）》的目标值。</w:t>
      </w:r>
    </w:p>
    <w:p w:rsidR="00133AF3" w:rsidRPr="00A41CE6" w:rsidRDefault="00133AF3" w:rsidP="00133AF3">
      <w:pPr>
        <w:spacing w:line="360" w:lineRule="auto"/>
        <w:ind w:firstLineChars="200" w:firstLine="440"/>
        <w:rPr>
          <w:rFonts w:ascii="Times New Roman" w:hAnsi="Times New Roman"/>
        </w:rPr>
      </w:pPr>
    </w:p>
    <w:p w:rsidR="00BA7863" w:rsidRDefault="00BA7863">
      <w:pPr>
        <w:spacing w:after="0" w:line="240" w:lineRule="auto"/>
        <w:rPr>
          <w:rFonts w:ascii="Times New Roman" w:eastAsia="黑体" w:hAnsi="Times New Roman"/>
          <w:color w:val="000000" w:themeColor="text1"/>
          <w:sz w:val="28"/>
          <w:szCs w:val="28"/>
        </w:rPr>
      </w:pPr>
      <w:r>
        <w:rPr>
          <w:rFonts w:ascii="Times New Roman" w:eastAsia="黑体" w:hAnsi="Times New Roman"/>
          <w:color w:val="000000" w:themeColor="text1"/>
          <w:sz w:val="28"/>
          <w:szCs w:val="28"/>
        </w:rPr>
        <w:br w:type="page"/>
      </w:r>
    </w:p>
    <w:p w:rsidR="00133AF3" w:rsidRPr="00A41CE6" w:rsidRDefault="00133AF3" w:rsidP="006166C2">
      <w:pPr>
        <w:spacing w:after="0" w:line="360" w:lineRule="auto"/>
        <w:rPr>
          <w:rFonts w:ascii="Times New Roman" w:eastAsia="黑体" w:hAnsi="Times New Roman"/>
          <w:color w:val="000000" w:themeColor="text1"/>
          <w:sz w:val="28"/>
          <w:szCs w:val="28"/>
        </w:rPr>
      </w:pPr>
      <w:r w:rsidRPr="00A41CE6">
        <w:rPr>
          <w:rFonts w:ascii="Times New Roman" w:eastAsia="黑体" w:hAnsi="Times New Roman" w:hint="eastAsia"/>
          <w:color w:val="000000" w:themeColor="text1"/>
          <w:sz w:val="28"/>
          <w:szCs w:val="28"/>
        </w:rPr>
        <w:lastRenderedPageBreak/>
        <w:t>附件</w:t>
      </w:r>
      <w:r w:rsidRPr="00A41CE6">
        <w:rPr>
          <w:rFonts w:ascii="Times New Roman" w:eastAsia="黑体" w:hAnsi="Times New Roman" w:hint="eastAsia"/>
          <w:color w:val="000000" w:themeColor="text1"/>
          <w:sz w:val="28"/>
          <w:szCs w:val="28"/>
        </w:rPr>
        <w:t>5</w:t>
      </w:r>
      <w:r w:rsidRPr="00A41CE6">
        <w:rPr>
          <w:rFonts w:ascii="Times New Roman" w:eastAsia="黑体" w:hAnsi="Times New Roman"/>
          <w:color w:val="000000" w:themeColor="text1"/>
          <w:sz w:val="28"/>
          <w:szCs w:val="28"/>
        </w:rPr>
        <w:t>.</w:t>
      </w:r>
      <w:r w:rsidRPr="00A41CE6">
        <w:rPr>
          <w:rFonts w:ascii="Times New Roman" w:eastAsia="黑体" w:hAnsi="Times New Roman" w:hint="eastAsia"/>
          <w:color w:val="000000" w:themeColor="text1"/>
          <w:sz w:val="28"/>
          <w:szCs w:val="28"/>
        </w:rPr>
        <w:t xml:space="preserve"> </w:t>
      </w:r>
      <w:r w:rsidRPr="00A41CE6">
        <w:rPr>
          <w:rFonts w:ascii="Times New Roman" w:eastAsia="黑体" w:hAnsi="Times New Roman" w:hint="eastAsia"/>
          <w:color w:val="000000" w:themeColor="text1"/>
          <w:sz w:val="28"/>
          <w:szCs w:val="28"/>
        </w:rPr>
        <w:t>全市新建高星级</w:t>
      </w:r>
      <w:r w:rsidRPr="00A41CE6">
        <w:rPr>
          <w:rFonts w:ascii="Times New Roman" w:eastAsia="黑体" w:hAnsi="Times New Roman"/>
          <w:color w:val="000000" w:themeColor="text1"/>
          <w:sz w:val="28"/>
          <w:szCs w:val="28"/>
        </w:rPr>
        <w:t>绿色建筑面积比例</w:t>
      </w:r>
      <w:r w:rsidRPr="00A41CE6">
        <w:rPr>
          <w:rFonts w:ascii="Times New Roman" w:eastAsia="黑体" w:hAnsi="Times New Roman" w:hint="eastAsia"/>
          <w:color w:val="000000" w:themeColor="text1"/>
          <w:sz w:val="28"/>
          <w:szCs w:val="28"/>
        </w:rPr>
        <w:t>目标值计算</w:t>
      </w:r>
    </w:p>
    <w:p w:rsidR="00A51733" w:rsidRPr="00256CE4" w:rsidRDefault="00A51733" w:rsidP="0012401D">
      <w:pPr>
        <w:spacing w:after="0"/>
        <w:rPr>
          <w:rFonts w:asciiTheme="minorEastAsia" w:eastAsiaTheme="minorEastAsia" w:hAnsiTheme="minorEastAsia"/>
          <w:b/>
          <w:bCs/>
          <w:sz w:val="28"/>
          <w:szCs w:val="28"/>
        </w:rPr>
      </w:pPr>
      <w:r w:rsidRPr="00256CE4">
        <w:rPr>
          <w:rFonts w:asciiTheme="minorEastAsia" w:eastAsiaTheme="minorEastAsia" w:hAnsiTheme="minorEastAsia" w:hint="eastAsia"/>
          <w:b/>
          <w:bCs/>
          <w:sz w:val="28"/>
          <w:szCs w:val="28"/>
        </w:rPr>
        <w:t>一.全市</w:t>
      </w:r>
      <w:r w:rsidRPr="00256CE4">
        <w:rPr>
          <w:rFonts w:asciiTheme="minorEastAsia" w:eastAsiaTheme="minorEastAsia" w:hAnsiTheme="minorEastAsia"/>
          <w:b/>
          <w:bCs/>
          <w:sz w:val="28"/>
          <w:szCs w:val="28"/>
        </w:rPr>
        <w:t>高星级绿色建筑面积比例预测依据</w:t>
      </w:r>
    </w:p>
    <w:p w:rsidR="00A51733" w:rsidRPr="00A41CE6" w:rsidRDefault="00A51733" w:rsidP="0077614A">
      <w:pPr>
        <w:spacing w:line="360" w:lineRule="auto"/>
        <w:ind w:firstLineChars="200" w:firstLine="560"/>
        <w:rPr>
          <w:rFonts w:ascii="Times New Roman" w:hAnsi="Times New Roman"/>
          <w:sz w:val="28"/>
          <w:szCs w:val="28"/>
        </w:rPr>
      </w:pPr>
      <w:r w:rsidRPr="00A41CE6">
        <w:rPr>
          <w:rFonts w:ascii="Times New Roman" w:hAnsi="Times New Roman"/>
          <w:sz w:val="28"/>
          <w:szCs w:val="28"/>
        </w:rPr>
        <w:t>表</w:t>
      </w:r>
      <w:r w:rsidR="00BA7863">
        <w:rPr>
          <w:rFonts w:ascii="Times New Roman" w:hAnsi="Times New Roman" w:hint="eastAsia"/>
          <w:sz w:val="28"/>
          <w:szCs w:val="28"/>
        </w:rPr>
        <w:t>5-1</w:t>
      </w:r>
      <w:r w:rsidRPr="00A41CE6">
        <w:rPr>
          <w:rFonts w:ascii="Times New Roman" w:hAnsi="Times New Roman"/>
          <w:sz w:val="28"/>
          <w:szCs w:val="28"/>
        </w:rPr>
        <w:t>反映的是</w:t>
      </w:r>
      <w:r w:rsidRPr="00A41CE6">
        <w:rPr>
          <w:rFonts w:ascii="Times New Roman" w:hAnsi="Times New Roman"/>
          <w:sz w:val="28"/>
          <w:szCs w:val="28"/>
        </w:rPr>
        <w:t>“</w:t>
      </w:r>
      <w:r w:rsidRPr="00A41CE6">
        <w:rPr>
          <w:rFonts w:ascii="Times New Roman" w:hAnsi="Times New Roman"/>
          <w:sz w:val="28"/>
          <w:szCs w:val="28"/>
        </w:rPr>
        <w:t>十三五</w:t>
      </w:r>
      <w:r w:rsidRPr="00A41CE6">
        <w:rPr>
          <w:rFonts w:ascii="Times New Roman" w:hAnsi="Times New Roman"/>
          <w:sz w:val="28"/>
          <w:szCs w:val="28"/>
        </w:rPr>
        <w:t xml:space="preserve">” </w:t>
      </w:r>
      <w:r w:rsidRPr="00A41CE6">
        <w:rPr>
          <w:rFonts w:ascii="Times New Roman" w:hAnsi="Times New Roman"/>
          <w:sz w:val="28"/>
          <w:szCs w:val="28"/>
        </w:rPr>
        <w:t>期间海南省新增的绿色建筑面积，</w:t>
      </w:r>
      <w:r w:rsidRPr="00A41CE6">
        <w:rPr>
          <w:rFonts w:ascii="Times New Roman" w:hAnsi="Times New Roman"/>
          <w:sz w:val="28"/>
          <w:szCs w:val="28"/>
        </w:rPr>
        <w:t xml:space="preserve"> </w:t>
      </w:r>
      <w:r w:rsidRPr="00A41CE6">
        <w:rPr>
          <w:rFonts w:ascii="Times New Roman" w:hAnsi="Times New Roman"/>
          <w:sz w:val="28"/>
          <w:szCs w:val="28"/>
        </w:rPr>
        <w:t>作为本次计算的经验值进行参照，由表可以得出，海南省一星级绿色建筑占星级绿色建筑的比例为</w:t>
      </w:r>
      <w:r w:rsidRPr="00A41CE6">
        <w:rPr>
          <w:rFonts w:ascii="Times New Roman" w:hAnsi="Times New Roman"/>
          <w:sz w:val="28"/>
          <w:szCs w:val="28"/>
        </w:rPr>
        <w:t>63.73%</w:t>
      </w:r>
      <w:r w:rsidRPr="00A41CE6">
        <w:rPr>
          <w:rFonts w:ascii="Times New Roman" w:hAnsi="Times New Roman"/>
          <w:sz w:val="28"/>
          <w:szCs w:val="28"/>
        </w:rPr>
        <w:t>，二星级绿色建筑的比例为</w:t>
      </w:r>
      <w:r w:rsidRPr="00A41CE6">
        <w:rPr>
          <w:rFonts w:ascii="Times New Roman" w:hAnsi="Times New Roman"/>
          <w:sz w:val="28"/>
          <w:szCs w:val="28"/>
        </w:rPr>
        <w:t xml:space="preserve"> 32.10%</w:t>
      </w:r>
      <w:r w:rsidRPr="00A41CE6">
        <w:rPr>
          <w:rFonts w:ascii="Times New Roman" w:hAnsi="Times New Roman" w:hint="eastAsia"/>
          <w:sz w:val="28"/>
          <w:szCs w:val="28"/>
        </w:rPr>
        <w:t>，</w:t>
      </w:r>
      <w:r w:rsidRPr="00A41CE6">
        <w:rPr>
          <w:rFonts w:ascii="Times New Roman" w:hAnsi="Times New Roman"/>
          <w:sz w:val="28"/>
          <w:szCs w:val="28"/>
        </w:rPr>
        <w:t>三星级绿色建筑占绿色建筑的比例为</w:t>
      </w:r>
      <w:r w:rsidRPr="00A41CE6">
        <w:rPr>
          <w:rFonts w:ascii="Times New Roman" w:hAnsi="Times New Roman"/>
          <w:sz w:val="28"/>
          <w:szCs w:val="28"/>
        </w:rPr>
        <w:t>4.17%</w:t>
      </w:r>
      <w:r w:rsidRPr="00A41CE6">
        <w:rPr>
          <w:rFonts w:ascii="Times New Roman" w:hAnsi="Times New Roman" w:hint="eastAsia"/>
          <w:sz w:val="28"/>
          <w:szCs w:val="28"/>
        </w:rPr>
        <w:t>，因此高星级绿色建筑占比为</w:t>
      </w:r>
      <w:r w:rsidRPr="00A41CE6">
        <w:rPr>
          <w:rFonts w:ascii="Times New Roman" w:hAnsi="Times New Roman" w:hint="eastAsia"/>
          <w:sz w:val="28"/>
          <w:szCs w:val="28"/>
        </w:rPr>
        <w:t>3</w:t>
      </w:r>
      <w:r w:rsidRPr="00A41CE6">
        <w:rPr>
          <w:rFonts w:ascii="Times New Roman" w:hAnsi="Times New Roman"/>
          <w:sz w:val="28"/>
          <w:szCs w:val="28"/>
        </w:rPr>
        <w:t>6.27%</w:t>
      </w:r>
      <w:r w:rsidRPr="00A41CE6">
        <w:rPr>
          <w:rFonts w:ascii="Times New Roman" w:hAnsi="Times New Roman" w:hint="eastAsia"/>
          <w:sz w:val="28"/>
          <w:szCs w:val="28"/>
        </w:rPr>
        <w:t>。</w:t>
      </w:r>
    </w:p>
    <w:p w:rsidR="00A51733" w:rsidRPr="0012401D" w:rsidRDefault="00A51733" w:rsidP="0012401D">
      <w:pPr>
        <w:ind w:firstLineChars="200" w:firstLine="482"/>
        <w:jc w:val="center"/>
        <w:rPr>
          <w:rFonts w:asciiTheme="minorEastAsia" w:eastAsiaTheme="minorEastAsia" w:hAnsiTheme="minorEastAsia"/>
          <w:b/>
          <w:color w:val="000000"/>
          <w:sz w:val="24"/>
          <w:szCs w:val="24"/>
        </w:rPr>
      </w:pPr>
      <w:r w:rsidRPr="0012401D">
        <w:rPr>
          <w:rFonts w:asciiTheme="minorEastAsia" w:eastAsiaTheme="minorEastAsia" w:hAnsiTheme="minorEastAsia" w:hint="eastAsia"/>
          <w:b/>
          <w:color w:val="000000"/>
          <w:sz w:val="24"/>
          <w:szCs w:val="24"/>
        </w:rPr>
        <w:t>表</w:t>
      </w:r>
      <w:r w:rsidR="00BA7863">
        <w:rPr>
          <w:rFonts w:asciiTheme="minorEastAsia" w:eastAsiaTheme="minorEastAsia" w:hAnsiTheme="minorEastAsia" w:hint="eastAsia"/>
          <w:b/>
          <w:color w:val="000000"/>
          <w:sz w:val="24"/>
          <w:szCs w:val="24"/>
        </w:rPr>
        <w:t>5-</w:t>
      </w:r>
      <w:r w:rsidRPr="0012401D">
        <w:rPr>
          <w:rFonts w:asciiTheme="minorEastAsia" w:eastAsiaTheme="minorEastAsia" w:hAnsiTheme="minorEastAsia" w:hint="eastAsia"/>
          <w:b/>
          <w:color w:val="000000"/>
          <w:sz w:val="24"/>
          <w:szCs w:val="24"/>
        </w:rPr>
        <w:t>1“</w:t>
      </w:r>
      <w:r w:rsidRPr="0012401D">
        <w:rPr>
          <w:rFonts w:asciiTheme="minorEastAsia" w:eastAsiaTheme="minorEastAsia" w:hAnsiTheme="minorEastAsia"/>
          <w:b/>
          <w:color w:val="000000"/>
          <w:sz w:val="24"/>
          <w:szCs w:val="24"/>
        </w:rPr>
        <w:t>十三五” 期间海南省新增绿色建筑统计</w:t>
      </w:r>
    </w:p>
    <w:tbl>
      <w:tblPr>
        <w:tblpPr w:leftFromText="180" w:rightFromText="180" w:vertAnchor="text" w:tblpXSpec="center" w:tblpY="1"/>
        <w:tblOverlap w:val="never"/>
        <w:tblW w:w="7939" w:type="dxa"/>
        <w:tblBorders>
          <w:top w:val="single" w:sz="12" w:space="0" w:color="auto"/>
          <w:bottom w:val="single" w:sz="12" w:space="0" w:color="auto"/>
        </w:tblBorders>
        <w:tblLayout w:type="fixed"/>
        <w:tblLook w:val="04A0" w:firstRow="1" w:lastRow="0" w:firstColumn="1" w:lastColumn="0" w:noHBand="0" w:noVBand="1"/>
      </w:tblPr>
      <w:tblGrid>
        <w:gridCol w:w="1271"/>
        <w:gridCol w:w="2274"/>
        <w:gridCol w:w="2126"/>
        <w:gridCol w:w="1134"/>
        <w:gridCol w:w="1134"/>
      </w:tblGrid>
      <w:tr w:rsidR="00A51733" w:rsidRPr="0012401D" w:rsidTr="00A8699E">
        <w:tc>
          <w:tcPr>
            <w:tcW w:w="1271" w:type="dxa"/>
            <w:tcBorders>
              <w:top w:val="single" w:sz="12" w:space="0" w:color="auto"/>
              <w:bottom w:val="single" w:sz="4" w:space="0" w:color="auto"/>
            </w:tcBorders>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标识等级</w:t>
            </w:r>
          </w:p>
        </w:tc>
        <w:tc>
          <w:tcPr>
            <w:tcW w:w="2274" w:type="dxa"/>
            <w:tcBorders>
              <w:top w:val="single" w:sz="12" w:space="0" w:color="auto"/>
              <w:bottom w:val="single" w:sz="4" w:space="0" w:color="auto"/>
            </w:tcBorders>
            <w:vAlign w:val="center"/>
            <w:hideMark/>
          </w:tcPr>
          <w:p w:rsidR="00A51733" w:rsidRPr="0012401D" w:rsidRDefault="00A51733" w:rsidP="00A8699E">
            <w:pPr>
              <w:jc w:val="center"/>
              <w:rPr>
                <w:rFonts w:ascii="Times New Roman" w:hAnsi="Times New Roman" w:cs="宋体"/>
                <w:color w:val="000000"/>
                <w:sz w:val="24"/>
                <w:szCs w:val="24"/>
              </w:rPr>
            </w:pPr>
            <w:r w:rsidRPr="0012401D">
              <w:rPr>
                <w:rFonts w:ascii="Times New Roman" w:hAnsi="Times New Roman" w:cs="宋体"/>
                <w:color w:val="000000"/>
                <w:sz w:val="24"/>
                <w:szCs w:val="24"/>
              </w:rPr>
              <w:t>设计标识</w:t>
            </w:r>
          </w:p>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（单位：万</w:t>
            </w:r>
            <w:r w:rsidRPr="0012401D">
              <w:rPr>
                <w:rFonts w:ascii="Times New Roman" w:hAnsi="Times New Roman" w:cs="宋体"/>
                <w:color w:val="000000"/>
                <w:sz w:val="24"/>
                <w:szCs w:val="24"/>
              </w:rPr>
              <w:t>m</w:t>
            </w:r>
            <w:r w:rsidRPr="0012401D">
              <w:rPr>
                <w:rFonts w:ascii="Times New Roman" w:hAnsi="Times New Roman" w:cs="宋体"/>
                <w:color w:val="000000"/>
                <w:sz w:val="24"/>
                <w:szCs w:val="24"/>
                <w:vertAlign w:val="superscript"/>
              </w:rPr>
              <w:t>2</w:t>
            </w:r>
            <w:r w:rsidRPr="0012401D">
              <w:rPr>
                <w:rFonts w:ascii="Times New Roman" w:hAnsi="Times New Roman" w:cs="宋体"/>
                <w:color w:val="000000"/>
                <w:sz w:val="24"/>
                <w:szCs w:val="24"/>
              </w:rPr>
              <w:t>）</w:t>
            </w:r>
          </w:p>
        </w:tc>
        <w:tc>
          <w:tcPr>
            <w:tcW w:w="2126" w:type="dxa"/>
            <w:tcBorders>
              <w:top w:val="single" w:sz="12" w:space="0" w:color="auto"/>
              <w:bottom w:val="single" w:sz="4" w:space="0" w:color="auto"/>
            </w:tcBorders>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运行标识</w:t>
            </w:r>
            <w:r w:rsidRPr="0012401D">
              <w:rPr>
                <w:rFonts w:ascii="Times New Roman" w:hAnsi="Times New Roman" w:cs="宋体" w:hint="eastAsia"/>
                <w:color w:val="000000"/>
                <w:sz w:val="24"/>
                <w:szCs w:val="24"/>
              </w:rPr>
              <w:br/>
            </w:r>
            <w:r w:rsidRPr="0012401D">
              <w:rPr>
                <w:rFonts w:ascii="Times New Roman" w:hAnsi="Times New Roman" w:cs="宋体"/>
                <w:color w:val="000000"/>
                <w:sz w:val="24"/>
                <w:szCs w:val="24"/>
              </w:rPr>
              <w:t>（单位：</w:t>
            </w:r>
            <w:r w:rsidRPr="0012401D">
              <w:rPr>
                <w:rFonts w:ascii="Times New Roman" w:hAnsi="Times New Roman" w:cs="宋体"/>
                <w:color w:val="000000"/>
                <w:sz w:val="24"/>
                <w:szCs w:val="24"/>
              </w:rPr>
              <w:t xml:space="preserve"> </w:t>
            </w:r>
            <w:r w:rsidRPr="0012401D">
              <w:rPr>
                <w:rFonts w:ascii="Times New Roman" w:hAnsi="Times New Roman" w:cs="宋体"/>
                <w:color w:val="000000"/>
                <w:sz w:val="24"/>
                <w:szCs w:val="24"/>
              </w:rPr>
              <w:t>万</w:t>
            </w:r>
            <w:r w:rsidRPr="0012401D">
              <w:rPr>
                <w:rFonts w:ascii="Times New Roman" w:hAnsi="Times New Roman" w:cs="宋体"/>
                <w:color w:val="000000"/>
                <w:sz w:val="24"/>
                <w:szCs w:val="24"/>
              </w:rPr>
              <w:t>m</w:t>
            </w:r>
            <w:r w:rsidRPr="0012401D">
              <w:rPr>
                <w:rFonts w:ascii="Times New Roman" w:hAnsi="Times New Roman" w:cs="宋体"/>
                <w:color w:val="000000"/>
                <w:sz w:val="24"/>
                <w:szCs w:val="24"/>
                <w:vertAlign w:val="superscript"/>
              </w:rPr>
              <w:t>2</w:t>
            </w:r>
            <w:r w:rsidRPr="0012401D">
              <w:rPr>
                <w:rFonts w:ascii="Times New Roman" w:hAnsi="Times New Roman" w:cs="宋体"/>
                <w:color w:val="000000"/>
                <w:sz w:val="24"/>
                <w:szCs w:val="24"/>
              </w:rPr>
              <w:t>）</w:t>
            </w:r>
          </w:p>
        </w:tc>
        <w:tc>
          <w:tcPr>
            <w:tcW w:w="1134" w:type="dxa"/>
            <w:tcBorders>
              <w:top w:val="single" w:sz="12" w:space="0" w:color="auto"/>
              <w:bottom w:val="single" w:sz="4" w:space="0" w:color="auto"/>
            </w:tcBorders>
            <w:vAlign w:val="center"/>
          </w:tcPr>
          <w:p w:rsidR="00A51733" w:rsidRPr="0012401D" w:rsidRDefault="00A51733" w:rsidP="0012401D">
            <w:pPr>
              <w:ind w:firstLineChars="100" w:firstLine="240"/>
              <w:rPr>
                <w:rFonts w:ascii="Times New Roman" w:hAnsi="Times New Roman" w:cs="宋体"/>
                <w:color w:val="000000"/>
                <w:sz w:val="24"/>
                <w:szCs w:val="24"/>
              </w:rPr>
            </w:pPr>
            <w:r w:rsidRPr="0012401D">
              <w:rPr>
                <w:rFonts w:ascii="Times New Roman" w:hAnsi="Times New Roman" w:cs="宋体" w:hint="eastAsia"/>
                <w:color w:val="000000"/>
                <w:sz w:val="24"/>
                <w:szCs w:val="24"/>
              </w:rPr>
              <w:t>合计</w:t>
            </w:r>
          </w:p>
        </w:tc>
        <w:tc>
          <w:tcPr>
            <w:tcW w:w="1134" w:type="dxa"/>
            <w:tcBorders>
              <w:top w:val="single" w:sz="12" w:space="0" w:color="auto"/>
              <w:bottom w:val="single" w:sz="4" w:space="0" w:color="auto"/>
            </w:tcBorders>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比例</w:t>
            </w:r>
          </w:p>
        </w:tc>
      </w:tr>
      <w:tr w:rsidR="00A51733" w:rsidRPr="0012401D" w:rsidTr="00A8699E">
        <w:tc>
          <w:tcPr>
            <w:tcW w:w="1271" w:type="dxa"/>
            <w:tcBorders>
              <w:top w:val="single" w:sz="4" w:space="0" w:color="auto"/>
            </w:tcBorders>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一星级</w:t>
            </w:r>
          </w:p>
        </w:tc>
        <w:tc>
          <w:tcPr>
            <w:tcW w:w="2274" w:type="dxa"/>
            <w:tcBorders>
              <w:top w:val="single" w:sz="4" w:space="0" w:color="auto"/>
            </w:tcBorders>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851.7</w:t>
            </w:r>
          </w:p>
        </w:tc>
        <w:tc>
          <w:tcPr>
            <w:tcW w:w="2126" w:type="dxa"/>
            <w:tcBorders>
              <w:top w:val="single" w:sz="4" w:space="0" w:color="auto"/>
            </w:tcBorders>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18.02</w:t>
            </w:r>
          </w:p>
        </w:tc>
        <w:tc>
          <w:tcPr>
            <w:tcW w:w="1134" w:type="dxa"/>
            <w:tcBorders>
              <w:top w:val="single" w:sz="4" w:space="0" w:color="auto"/>
            </w:tcBorders>
          </w:tcPr>
          <w:p w:rsidR="00A51733" w:rsidRPr="0012401D" w:rsidRDefault="00A51733" w:rsidP="00A8699E">
            <w:pPr>
              <w:jc w:val="center"/>
              <w:rPr>
                <w:rFonts w:ascii="Times New Roman" w:hAnsi="Times New Roman" w:cs="宋体" w:hint="eastAsia"/>
                <w:color w:val="000000"/>
                <w:sz w:val="24"/>
                <w:szCs w:val="24"/>
              </w:rPr>
            </w:pPr>
            <w:r w:rsidRPr="0012401D">
              <w:rPr>
                <w:rFonts w:ascii="Times New Roman" w:hAnsi="Times New Roman" w:cs="宋体" w:hint="eastAsia"/>
                <w:color w:val="000000"/>
                <w:sz w:val="24"/>
                <w:szCs w:val="24"/>
              </w:rPr>
              <w:t>8</w:t>
            </w:r>
            <w:r w:rsidRPr="0012401D">
              <w:rPr>
                <w:rFonts w:ascii="Times New Roman" w:hAnsi="Times New Roman" w:cs="宋体"/>
                <w:color w:val="000000"/>
                <w:sz w:val="24"/>
                <w:szCs w:val="24"/>
              </w:rPr>
              <w:t>69.72</w:t>
            </w:r>
          </w:p>
        </w:tc>
        <w:tc>
          <w:tcPr>
            <w:tcW w:w="1134" w:type="dxa"/>
            <w:tcBorders>
              <w:top w:val="single" w:sz="4" w:space="0" w:color="auto"/>
            </w:tcBorders>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63.73%</w:t>
            </w:r>
          </w:p>
        </w:tc>
      </w:tr>
      <w:tr w:rsidR="00A51733" w:rsidRPr="0012401D" w:rsidTr="00A8699E">
        <w:tc>
          <w:tcPr>
            <w:tcW w:w="1271" w:type="dxa"/>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二星级</w:t>
            </w:r>
          </w:p>
        </w:tc>
        <w:tc>
          <w:tcPr>
            <w:tcW w:w="2274" w:type="dxa"/>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417.85</w:t>
            </w:r>
          </w:p>
        </w:tc>
        <w:tc>
          <w:tcPr>
            <w:tcW w:w="2126" w:type="dxa"/>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20.13</w:t>
            </w:r>
          </w:p>
        </w:tc>
        <w:tc>
          <w:tcPr>
            <w:tcW w:w="1134" w:type="dxa"/>
          </w:tcPr>
          <w:p w:rsidR="00A51733" w:rsidRPr="0012401D" w:rsidRDefault="00A51733" w:rsidP="00A8699E">
            <w:pPr>
              <w:jc w:val="center"/>
              <w:rPr>
                <w:rFonts w:ascii="Times New Roman" w:hAnsi="Times New Roman" w:cs="宋体" w:hint="eastAsia"/>
                <w:color w:val="000000"/>
                <w:sz w:val="24"/>
                <w:szCs w:val="24"/>
              </w:rPr>
            </w:pPr>
            <w:r w:rsidRPr="0012401D">
              <w:rPr>
                <w:rFonts w:ascii="Times New Roman" w:hAnsi="Times New Roman" w:cs="宋体" w:hint="eastAsia"/>
                <w:color w:val="000000"/>
                <w:sz w:val="24"/>
                <w:szCs w:val="24"/>
              </w:rPr>
              <w:t>4</w:t>
            </w:r>
            <w:r w:rsidRPr="0012401D">
              <w:rPr>
                <w:rFonts w:ascii="Times New Roman" w:hAnsi="Times New Roman" w:cs="宋体"/>
                <w:color w:val="000000"/>
                <w:sz w:val="24"/>
                <w:szCs w:val="24"/>
              </w:rPr>
              <w:t>37.98</w:t>
            </w:r>
          </w:p>
        </w:tc>
        <w:tc>
          <w:tcPr>
            <w:tcW w:w="1134" w:type="dxa"/>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32.10%</w:t>
            </w:r>
          </w:p>
        </w:tc>
      </w:tr>
      <w:tr w:rsidR="00A51733" w:rsidRPr="0012401D" w:rsidTr="00A8699E">
        <w:tc>
          <w:tcPr>
            <w:tcW w:w="1271" w:type="dxa"/>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三星级</w:t>
            </w:r>
          </w:p>
        </w:tc>
        <w:tc>
          <w:tcPr>
            <w:tcW w:w="2274" w:type="dxa"/>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56.91</w:t>
            </w:r>
          </w:p>
        </w:tc>
        <w:tc>
          <w:tcPr>
            <w:tcW w:w="2126" w:type="dxa"/>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0</w:t>
            </w:r>
          </w:p>
        </w:tc>
        <w:tc>
          <w:tcPr>
            <w:tcW w:w="1134" w:type="dxa"/>
          </w:tcPr>
          <w:p w:rsidR="00A51733" w:rsidRPr="0012401D" w:rsidRDefault="00A51733" w:rsidP="00A8699E">
            <w:pPr>
              <w:jc w:val="center"/>
              <w:rPr>
                <w:rFonts w:ascii="Times New Roman" w:hAnsi="Times New Roman" w:cs="宋体" w:hint="eastAsia"/>
                <w:color w:val="000000"/>
                <w:sz w:val="24"/>
                <w:szCs w:val="24"/>
              </w:rPr>
            </w:pPr>
            <w:r w:rsidRPr="0012401D">
              <w:rPr>
                <w:rFonts w:ascii="Times New Roman" w:hAnsi="Times New Roman" w:cs="宋体" w:hint="eastAsia"/>
                <w:color w:val="000000"/>
                <w:sz w:val="24"/>
                <w:szCs w:val="24"/>
              </w:rPr>
              <w:t>5</w:t>
            </w:r>
            <w:r w:rsidRPr="0012401D">
              <w:rPr>
                <w:rFonts w:ascii="Times New Roman" w:hAnsi="Times New Roman" w:cs="宋体"/>
                <w:color w:val="000000"/>
                <w:sz w:val="24"/>
                <w:szCs w:val="24"/>
              </w:rPr>
              <w:t>6.91</w:t>
            </w:r>
          </w:p>
        </w:tc>
        <w:tc>
          <w:tcPr>
            <w:tcW w:w="1134" w:type="dxa"/>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4.17%</w:t>
            </w:r>
          </w:p>
        </w:tc>
      </w:tr>
      <w:tr w:rsidR="00A51733" w:rsidRPr="0012401D" w:rsidTr="00A8699E">
        <w:tc>
          <w:tcPr>
            <w:tcW w:w="1271" w:type="dxa"/>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合计</w:t>
            </w:r>
          </w:p>
        </w:tc>
        <w:tc>
          <w:tcPr>
            <w:tcW w:w="2274" w:type="dxa"/>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1326.46</w:t>
            </w:r>
          </w:p>
        </w:tc>
        <w:tc>
          <w:tcPr>
            <w:tcW w:w="2126" w:type="dxa"/>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38.15</w:t>
            </w:r>
          </w:p>
        </w:tc>
        <w:tc>
          <w:tcPr>
            <w:tcW w:w="1134" w:type="dxa"/>
          </w:tcPr>
          <w:p w:rsidR="00A51733" w:rsidRPr="0012401D" w:rsidRDefault="00A51733" w:rsidP="00A8699E">
            <w:pPr>
              <w:jc w:val="center"/>
              <w:rPr>
                <w:rFonts w:ascii="Times New Roman" w:hAnsi="Times New Roman" w:cs="宋体" w:hint="eastAsia"/>
                <w:color w:val="000000"/>
                <w:sz w:val="24"/>
                <w:szCs w:val="24"/>
              </w:rPr>
            </w:pPr>
            <w:r w:rsidRPr="0012401D">
              <w:rPr>
                <w:rFonts w:ascii="Times New Roman" w:hAnsi="Times New Roman" w:cs="宋体" w:hint="eastAsia"/>
                <w:color w:val="000000"/>
                <w:sz w:val="24"/>
                <w:szCs w:val="24"/>
              </w:rPr>
              <w:t>1</w:t>
            </w:r>
            <w:r w:rsidRPr="0012401D">
              <w:rPr>
                <w:rFonts w:ascii="Times New Roman" w:hAnsi="Times New Roman" w:cs="宋体"/>
                <w:color w:val="000000"/>
                <w:sz w:val="24"/>
                <w:szCs w:val="24"/>
              </w:rPr>
              <w:t>364.61</w:t>
            </w:r>
          </w:p>
        </w:tc>
        <w:tc>
          <w:tcPr>
            <w:tcW w:w="1134" w:type="dxa"/>
            <w:vAlign w:val="center"/>
            <w:hideMark/>
          </w:tcPr>
          <w:p w:rsidR="00A51733" w:rsidRPr="0012401D" w:rsidRDefault="00A51733" w:rsidP="00A8699E">
            <w:pPr>
              <w:jc w:val="center"/>
              <w:rPr>
                <w:rFonts w:ascii="Times New Roman" w:hAnsi="Times New Roman" w:cs="宋体"/>
                <w:sz w:val="24"/>
                <w:szCs w:val="24"/>
              </w:rPr>
            </w:pPr>
            <w:r w:rsidRPr="0012401D">
              <w:rPr>
                <w:rFonts w:ascii="Times New Roman" w:hAnsi="Times New Roman" w:cs="宋体"/>
                <w:color w:val="000000"/>
                <w:sz w:val="24"/>
                <w:szCs w:val="24"/>
              </w:rPr>
              <w:t>100.00%</w:t>
            </w:r>
          </w:p>
        </w:tc>
      </w:tr>
    </w:tbl>
    <w:p w:rsidR="00A51733" w:rsidRPr="0012401D" w:rsidRDefault="00A51733" w:rsidP="00BA7863">
      <w:pPr>
        <w:spacing w:after="0"/>
        <w:rPr>
          <w:rFonts w:asciiTheme="minorEastAsia" w:eastAsiaTheme="minorEastAsia" w:hAnsiTheme="minorEastAsia"/>
          <w:b/>
          <w:bCs/>
          <w:sz w:val="28"/>
          <w:szCs w:val="28"/>
        </w:rPr>
      </w:pPr>
      <w:r w:rsidRPr="0012401D">
        <w:rPr>
          <w:rFonts w:asciiTheme="minorEastAsia" w:eastAsiaTheme="minorEastAsia" w:hAnsiTheme="minorEastAsia" w:hint="eastAsia"/>
          <w:b/>
          <w:bCs/>
          <w:sz w:val="28"/>
          <w:szCs w:val="28"/>
        </w:rPr>
        <w:t>二. 全市</w:t>
      </w:r>
      <w:r w:rsidRPr="0012401D">
        <w:rPr>
          <w:rFonts w:asciiTheme="minorEastAsia" w:eastAsiaTheme="minorEastAsia" w:hAnsiTheme="minorEastAsia"/>
          <w:b/>
          <w:bCs/>
          <w:sz w:val="28"/>
          <w:szCs w:val="28"/>
        </w:rPr>
        <w:t>高星级绿色建筑面积比例预测</w:t>
      </w:r>
    </w:p>
    <w:p w:rsidR="00A51733" w:rsidRPr="00A41CE6" w:rsidRDefault="00A51733" w:rsidP="00BA7863">
      <w:pPr>
        <w:adjustRightInd w:val="0"/>
        <w:snapToGrid w:val="0"/>
        <w:spacing w:after="0" w:line="360" w:lineRule="auto"/>
        <w:ind w:firstLineChars="200" w:firstLine="560"/>
        <w:rPr>
          <w:rFonts w:ascii="Times New Roman" w:hAnsi="Times New Roman"/>
          <w:sz w:val="28"/>
          <w:szCs w:val="28"/>
        </w:rPr>
      </w:pPr>
      <w:r w:rsidRPr="00A41CE6">
        <w:rPr>
          <w:rFonts w:ascii="Times New Roman" w:hAnsi="Times New Roman" w:hint="eastAsia"/>
          <w:sz w:val="28"/>
          <w:szCs w:val="28"/>
        </w:rPr>
        <w:t>高星级绿色建筑面积比例预测</w:t>
      </w:r>
      <w:r w:rsidRPr="00A41CE6">
        <w:rPr>
          <w:rFonts w:ascii="Times New Roman" w:hAnsi="Times New Roman"/>
          <w:sz w:val="28"/>
          <w:szCs w:val="28"/>
        </w:rPr>
        <w:t>是依据</w:t>
      </w:r>
      <w:r w:rsidRPr="00A41CE6">
        <w:rPr>
          <w:rFonts w:ascii="Times New Roman" w:hAnsi="Times New Roman"/>
          <w:sz w:val="28"/>
          <w:szCs w:val="28"/>
        </w:rPr>
        <w:t>“</w:t>
      </w:r>
      <w:r w:rsidRPr="00A41CE6">
        <w:rPr>
          <w:rFonts w:ascii="Times New Roman" w:hAnsi="Times New Roman"/>
          <w:sz w:val="28"/>
          <w:szCs w:val="28"/>
        </w:rPr>
        <w:t>十四五</w:t>
      </w:r>
      <w:r w:rsidRPr="00A41CE6">
        <w:rPr>
          <w:rFonts w:ascii="Times New Roman" w:hAnsi="Times New Roman"/>
          <w:sz w:val="28"/>
          <w:szCs w:val="28"/>
        </w:rPr>
        <w:t>”</w:t>
      </w:r>
      <w:r w:rsidRPr="00A41CE6">
        <w:rPr>
          <w:rFonts w:ascii="Times New Roman" w:hAnsi="Times New Roman"/>
          <w:sz w:val="28"/>
          <w:szCs w:val="28"/>
        </w:rPr>
        <w:t>期间对于新建建筑面积的预测值，</w:t>
      </w:r>
      <w:r w:rsidRPr="00A41CE6">
        <w:rPr>
          <w:rFonts w:ascii="Times New Roman" w:hAnsi="Times New Roman"/>
          <w:sz w:val="28"/>
          <w:szCs w:val="28"/>
        </w:rPr>
        <w:t xml:space="preserve"> </w:t>
      </w:r>
      <w:r w:rsidRPr="00A41CE6">
        <w:rPr>
          <w:rFonts w:ascii="Times New Roman" w:hAnsi="Times New Roman"/>
          <w:sz w:val="28"/>
          <w:szCs w:val="28"/>
        </w:rPr>
        <w:t>结合制定的</w:t>
      </w:r>
      <w:r w:rsidRPr="00A41CE6">
        <w:rPr>
          <w:rFonts w:ascii="Times New Roman" w:hAnsi="Times New Roman" w:hint="eastAsia"/>
          <w:sz w:val="28"/>
          <w:szCs w:val="28"/>
        </w:rPr>
        <w:t>海口市</w:t>
      </w:r>
      <w:r w:rsidRPr="00A41CE6">
        <w:rPr>
          <w:rFonts w:ascii="Times New Roman" w:hAnsi="Times New Roman"/>
          <w:sz w:val="28"/>
          <w:szCs w:val="28"/>
        </w:rPr>
        <w:t>高星级绿色建筑的实施范围以及</w:t>
      </w:r>
      <w:r w:rsidRPr="00A41CE6">
        <w:rPr>
          <w:rFonts w:ascii="Times New Roman" w:hAnsi="Times New Roman" w:hint="eastAsia"/>
          <w:sz w:val="28"/>
          <w:szCs w:val="28"/>
        </w:rPr>
        <w:t>海口</w:t>
      </w:r>
      <w:r w:rsidRPr="00A41CE6">
        <w:rPr>
          <w:rFonts w:ascii="Times New Roman" w:hAnsi="Times New Roman"/>
          <w:sz w:val="28"/>
          <w:szCs w:val="28"/>
        </w:rPr>
        <w:t>市统计年鉴中</w:t>
      </w:r>
      <w:r w:rsidRPr="00A41CE6">
        <w:rPr>
          <w:rFonts w:ascii="Times New Roman" w:hAnsi="Times New Roman" w:hint="eastAsia"/>
          <w:sz w:val="28"/>
          <w:szCs w:val="28"/>
        </w:rPr>
        <w:t>新建建筑面积预测</w:t>
      </w:r>
      <w:r w:rsidRPr="00A41CE6">
        <w:rPr>
          <w:rFonts w:ascii="Times New Roman" w:hAnsi="Times New Roman"/>
          <w:sz w:val="28"/>
          <w:szCs w:val="28"/>
        </w:rPr>
        <w:t>计算得出。</w:t>
      </w:r>
      <w:r w:rsidRPr="00A41CE6">
        <w:rPr>
          <w:rFonts w:ascii="Times New Roman" w:hAnsi="Times New Roman" w:hint="eastAsia"/>
          <w:sz w:val="28"/>
          <w:szCs w:val="28"/>
        </w:rPr>
        <w:t>根据</w:t>
      </w:r>
      <w:r w:rsidRPr="00A41CE6">
        <w:rPr>
          <w:rFonts w:ascii="Times New Roman" w:hAnsi="Times New Roman"/>
          <w:sz w:val="28"/>
          <w:szCs w:val="28"/>
        </w:rPr>
        <w:t>近</w:t>
      </w:r>
      <w:r w:rsidRPr="00A41CE6">
        <w:rPr>
          <w:rFonts w:ascii="Times New Roman" w:hAnsi="Times New Roman" w:hint="eastAsia"/>
          <w:sz w:val="28"/>
          <w:szCs w:val="28"/>
        </w:rPr>
        <w:t>5</w:t>
      </w:r>
      <w:r w:rsidRPr="00A41CE6">
        <w:rPr>
          <w:rFonts w:ascii="Times New Roman" w:hAnsi="Times New Roman" w:hint="eastAsia"/>
          <w:sz w:val="28"/>
          <w:szCs w:val="28"/>
        </w:rPr>
        <w:t>年海南省装配式建筑发展趋势和自由贸易港建设步伐，预计本市</w:t>
      </w:r>
      <w:r w:rsidRPr="00A41CE6">
        <w:rPr>
          <w:rFonts w:ascii="Times New Roman" w:hAnsi="Times New Roman" w:hint="eastAsia"/>
          <w:sz w:val="28"/>
          <w:szCs w:val="28"/>
        </w:rPr>
        <w:t>2023</w:t>
      </w:r>
      <w:r w:rsidRPr="00A41CE6">
        <w:rPr>
          <w:rFonts w:ascii="Times New Roman" w:hAnsi="Times New Roman" w:hint="eastAsia"/>
          <w:sz w:val="28"/>
          <w:szCs w:val="28"/>
        </w:rPr>
        <w:t>年后随着自贸港建设逐步建成，本市每年新开工建筑面积降按</w:t>
      </w:r>
      <w:r w:rsidRPr="00A41CE6">
        <w:rPr>
          <w:rFonts w:ascii="Times New Roman" w:hAnsi="Times New Roman" w:hint="eastAsia"/>
          <w:sz w:val="28"/>
          <w:szCs w:val="28"/>
        </w:rPr>
        <w:t>2%</w:t>
      </w:r>
      <w:r w:rsidRPr="00A41CE6">
        <w:rPr>
          <w:rFonts w:ascii="Times New Roman" w:hAnsi="Times New Roman" w:hint="eastAsia"/>
          <w:sz w:val="28"/>
          <w:szCs w:val="28"/>
        </w:rPr>
        <w:t>的速率递减。</w:t>
      </w:r>
      <w:r w:rsidRPr="00A41CE6">
        <w:rPr>
          <w:rFonts w:ascii="Times New Roman" w:hAnsi="Times New Roman"/>
          <w:sz w:val="28"/>
          <w:szCs w:val="28"/>
        </w:rPr>
        <w:t>按照</w:t>
      </w:r>
      <w:r w:rsidRPr="00A41CE6">
        <w:rPr>
          <w:rFonts w:ascii="Times New Roman" w:hAnsi="Times New Roman" w:hint="eastAsia"/>
          <w:sz w:val="28"/>
          <w:szCs w:val="28"/>
        </w:rPr>
        <w:t>此原则</w:t>
      </w:r>
      <w:r w:rsidRPr="00A41CE6">
        <w:rPr>
          <w:rFonts w:ascii="Times New Roman" w:hAnsi="Times New Roman"/>
          <w:sz w:val="28"/>
          <w:szCs w:val="28"/>
        </w:rPr>
        <w:t>估算未来</w:t>
      </w:r>
      <w:r w:rsidRPr="00A41CE6">
        <w:rPr>
          <w:rFonts w:ascii="Times New Roman" w:hAnsi="Times New Roman" w:hint="eastAsia"/>
          <w:sz w:val="28"/>
          <w:szCs w:val="28"/>
        </w:rPr>
        <w:t>5</w:t>
      </w:r>
      <w:r w:rsidRPr="00A41CE6">
        <w:rPr>
          <w:rFonts w:ascii="Times New Roman" w:hAnsi="Times New Roman" w:hint="eastAsia"/>
          <w:sz w:val="28"/>
          <w:szCs w:val="28"/>
        </w:rPr>
        <w:t>年</w:t>
      </w:r>
      <w:r w:rsidRPr="00A41CE6">
        <w:rPr>
          <w:rFonts w:ascii="Times New Roman" w:hAnsi="Times New Roman"/>
          <w:sz w:val="28"/>
          <w:szCs w:val="28"/>
        </w:rPr>
        <w:t>的建设量详见</w:t>
      </w:r>
      <w:r w:rsidRPr="00A41CE6">
        <w:rPr>
          <w:rFonts w:ascii="Times New Roman" w:hAnsi="Times New Roman" w:hint="eastAsia"/>
          <w:sz w:val="28"/>
          <w:szCs w:val="28"/>
        </w:rPr>
        <w:t>下表。</w:t>
      </w:r>
    </w:p>
    <w:p w:rsidR="00A51733" w:rsidRPr="0012401D" w:rsidRDefault="00A51733" w:rsidP="0012401D">
      <w:pPr>
        <w:ind w:firstLineChars="200" w:firstLine="482"/>
        <w:jc w:val="center"/>
        <w:rPr>
          <w:rFonts w:asciiTheme="minorEastAsia" w:eastAsiaTheme="minorEastAsia" w:hAnsiTheme="minorEastAsia"/>
          <w:b/>
          <w:color w:val="000000" w:themeColor="text1"/>
          <w:sz w:val="24"/>
          <w:szCs w:val="24"/>
        </w:rPr>
      </w:pPr>
      <w:r w:rsidRPr="0012401D">
        <w:rPr>
          <w:rFonts w:asciiTheme="minorEastAsia" w:eastAsiaTheme="minorEastAsia" w:hAnsiTheme="minorEastAsia" w:hint="eastAsia"/>
          <w:b/>
          <w:color w:val="000000"/>
          <w:sz w:val="24"/>
          <w:szCs w:val="24"/>
        </w:rPr>
        <w:t>表</w:t>
      </w:r>
      <w:r w:rsidR="00BA7863">
        <w:rPr>
          <w:rFonts w:asciiTheme="minorEastAsia" w:eastAsiaTheme="minorEastAsia" w:hAnsiTheme="minorEastAsia" w:hint="eastAsia"/>
          <w:b/>
          <w:color w:val="000000"/>
          <w:sz w:val="24"/>
          <w:szCs w:val="24"/>
        </w:rPr>
        <w:t xml:space="preserve">5-2 </w:t>
      </w:r>
      <w:r w:rsidRPr="0012401D">
        <w:rPr>
          <w:rFonts w:asciiTheme="minorEastAsia" w:eastAsiaTheme="minorEastAsia" w:hAnsiTheme="minorEastAsia" w:hint="eastAsia"/>
          <w:b/>
          <w:color w:val="000000"/>
          <w:sz w:val="24"/>
          <w:szCs w:val="24"/>
        </w:rPr>
        <w:t>海口市十四五期间新增建筑面积测算（万平方米）</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994"/>
        <w:gridCol w:w="2371"/>
        <w:gridCol w:w="1309"/>
        <w:gridCol w:w="1217"/>
        <w:gridCol w:w="1631"/>
      </w:tblGrid>
      <w:tr w:rsidR="00A51733" w:rsidRPr="0012401D" w:rsidTr="00A8699E">
        <w:trPr>
          <w:trHeight w:val="589"/>
        </w:trPr>
        <w:tc>
          <w:tcPr>
            <w:tcW w:w="1170" w:type="pct"/>
            <w:tcBorders>
              <w:top w:val="single" w:sz="12" w:space="0" w:color="auto"/>
              <w:bottom w:val="single" w:sz="4" w:space="0" w:color="auto"/>
              <w:right w:val="nil"/>
            </w:tcBorders>
            <w:shd w:val="clear" w:color="auto" w:fill="auto"/>
            <w:vAlign w:val="center"/>
          </w:tcPr>
          <w:p w:rsidR="00A51733" w:rsidRPr="0012401D" w:rsidRDefault="00A51733" w:rsidP="00A8699E">
            <w:pPr>
              <w:jc w:val="center"/>
              <w:rPr>
                <w:rFonts w:ascii="Times New Roman" w:hAnsi="Times New Roman" w:cs="宋体"/>
                <w:color w:val="000000"/>
                <w:sz w:val="24"/>
                <w:szCs w:val="24"/>
              </w:rPr>
            </w:pPr>
            <w:r w:rsidRPr="0012401D">
              <w:rPr>
                <w:rFonts w:ascii="Times New Roman" w:hAnsi="Times New Roman" w:cs="宋体"/>
                <w:color w:val="000000"/>
                <w:sz w:val="24"/>
                <w:szCs w:val="24"/>
              </w:rPr>
              <w:t>地区</w:t>
            </w:r>
          </w:p>
        </w:tc>
        <w:tc>
          <w:tcPr>
            <w:tcW w:w="1391" w:type="pct"/>
            <w:tcBorders>
              <w:top w:val="single" w:sz="12" w:space="0" w:color="auto"/>
              <w:left w:val="nil"/>
              <w:bottom w:val="single" w:sz="4" w:space="0" w:color="auto"/>
              <w:right w:val="nil"/>
            </w:tcBorders>
            <w:shd w:val="clear" w:color="auto" w:fill="auto"/>
            <w:vAlign w:val="center"/>
          </w:tcPr>
          <w:p w:rsidR="00A51733" w:rsidRPr="0012401D" w:rsidRDefault="00A51733" w:rsidP="00A8699E">
            <w:pPr>
              <w:jc w:val="center"/>
              <w:rPr>
                <w:rFonts w:ascii="Times New Roman" w:hAnsi="Times New Roman" w:cs="宋体"/>
                <w:color w:val="000000"/>
                <w:sz w:val="24"/>
                <w:szCs w:val="24"/>
              </w:rPr>
            </w:pPr>
            <w:r w:rsidRPr="0012401D">
              <w:rPr>
                <w:rFonts w:ascii="Times New Roman" w:hAnsi="Times New Roman" w:cs="宋体"/>
                <w:color w:val="000000"/>
                <w:sz w:val="24"/>
                <w:szCs w:val="24"/>
              </w:rPr>
              <w:t>2022</w:t>
            </w:r>
            <w:r w:rsidRPr="0012401D">
              <w:rPr>
                <w:rFonts w:ascii="Times New Roman" w:hAnsi="Times New Roman" w:cs="宋体"/>
                <w:color w:val="000000"/>
                <w:sz w:val="24"/>
                <w:szCs w:val="24"/>
              </w:rPr>
              <w:t>年（基准年）</w:t>
            </w:r>
          </w:p>
        </w:tc>
        <w:tc>
          <w:tcPr>
            <w:tcW w:w="768" w:type="pct"/>
            <w:tcBorders>
              <w:top w:val="single" w:sz="12" w:space="0" w:color="auto"/>
              <w:left w:val="nil"/>
              <w:bottom w:val="single" w:sz="4" w:space="0" w:color="auto"/>
              <w:right w:val="nil"/>
            </w:tcBorders>
            <w:shd w:val="clear" w:color="auto" w:fill="auto"/>
            <w:vAlign w:val="center"/>
          </w:tcPr>
          <w:p w:rsidR="00A51733" w:rsidRPr="0012401D" w:rsidRDefault="00A51733" w:rsidP="00A8699E">
            <w:pPr>
              <w:jc w:val="center"/>
              <w:rPr>
                <w:rFonts w:ascii="Times New Roman" w:hAnsi="Times New Roman" w:cs="宋体"/>
                <w:color w:val="000000"/>
                <w:sz w:val="24"/>
                <w:szCs w:val="24"/>
              </w:rPr>
            </w:pPr>
            <w:r w:rsidRPr="0012401D">
              <w:rPr>
                <w:rFonts w:ascii="Times New Roman" w:hAnsi="Times New Roman" w:cs="宋体"/>
                <w:color w:val="000000"/>
                <w:sz w:val="24"/>
                <w:szCs w:val="24"/>
              </w:rPr>
              <w:t>2023</w:t>
            </w:r>
            <w:r w:rsidRPr="0012401D">
              <w:rPr>
                <w:rFonts w:ascii="Times New Roman" w:hAnsi="Times New Roman" w:cs="宋体"/>
                <w:color w:val="000000"/>
                <w:sz w:val="24"/>
                <w:szCs w:val="24"/>
              </w:rPr>
              <w:t>年</w:t>
            </w:r>
          </w:p>
        </w:tc>
        <w:tc>
          <w:tcPr>
            <w:tcW w:w="714" w:type="pct"/>
            <w:tcBorders>
              <w:top w:val="single" w:sz="12" w:space="0" w:color="auto"/>
              <w:left w:val="nil"/>
              <w:bottom w:val="single" w:sz="4" w:space="0" w:color="auto"/>
              <w:right w:val="nil"/>
            </w:tcBorders>
            <w:shd w:val="clear" w:color="auto" w:fill="auto"/>
            <w:vAlign w:val="center"/>
          </w:tcPr>
          <w:p w:rsidR="00A51733" w:rsidRPr="0012401D" w:rsidRDefault="00A51733" w:rsidP="00A8699E">
            <w:pPr>
              <w:jc w:val="center"/>
              <w:rPr>
                <w:rFonts w:ascii="Times New Roman" w:hAnsi="Times New Roman" w:cs="宋体"/>
                <w:color w:val="000000"/>
                <w:sz w:val="24"/>
                <w:szCs w:val="24"/>
              </w:rPr>
            </w:pPr>
            <w:r w:rsidRPr="0012401D">
              <w:rPr>
                <w:rFonts w:ascii="Times New Roman" w:hAnsi="Times New Roman" w:cs="宋体"/>
                <w:color w:val="000000"/>
                <w:sz w:val="24"/>
                <w:szCs w:val="24"/>
              </w:rPr>
              <w:t>2024</w:t>
            </w:r>
            <w:r w:rsidRPr="0012401D">
              <w:rPr>
                <w:rFonts w:ascii="Times New Roman" w:hAnsi="Times New Roman" w:cs="宋体"/>
                <w:color w:val="000000"/>
                <w:sz w:val="24"/>
                <w:szCs w:val="24"/>
              </w:rPr>
              <w:t>年</w:t>
            </w:r>
          </w:p>
        </w:tc>
        <w:tc>
          <w:tcPr>
            <w:tcW w:w="957" w:type="pct"/>
            <w:tcBorders>
              <w:top w:val="single" w:sz="12" w:space="0" w:color="auto"/>
              <w:left w:val="nil"/>
              <w:bottom w:val="single" w:sz="4" w:space="0" w:color="auto"/>
            </w:tcBorders>
            <w:shd w:val="clear" w:color="auto" w:fill="auto"/>
            <w:vAlign w:val="center"/>
          </w:tcPr>
          <w:p w:rsidR="00A51733" w:rsidRPr="0012401D" w:rsidRDefault="00A51733" w:rsidP="00A8699E">
            <w:pPr>
              <w:jc w:val="center"/>
              <w:rPr>
                <w:rFonts w:ascii="Times New Roman" w:hAnsi="Times New Roman" w:cs="宋体"/>
                <w:color w:val="000000"/>
                <w:sz w:val="24"/>
                <w:szCs w:val="24"/>
              </w:rPr>
            </w:pPr>
            <w:r w:rsidRPr="0012401D">
              <w:rPr>
                <w:rFonts w:ascii="Times New Roman" w:hAnsi="Times New Roman" w:cs="宋体"/>
                <w:color w:val="000000"/>
                <w:sz w:val="24"/>
                <w:szCs w:val="24"/>
              </w:rPr>
              <w:t>2025</w:t>
            </w:r>
            <w:r w:rsidRPr="0012401D">
              <w:rPr>
                <w:rFonts w:ascii="Times New Roman" w:hAnsi="Times New Roman" w:cs="宋体"/>
                <w:color w:val="000000"/>
                <w:sz w:val="24"/>
                <w:szCs w:val="24"/>
              </w:rPr>
              <w:t>年</w:t>
            </w:r>
          </w:p>
        </w:tc>
      </w:tr>
      <w:tr w:rsidR="00A51733" w:rsidRPr="0012401D" w:rsidTr="00A8699E">
        <w:trPr>
          <w:trHeight w:val="397"/>
        </w:trPr>
        <w:tc>
          <w:tcPr>
            <w:tcW w:w="1170" w:type="pct"/>
            <w:tcBorders>
              <w:top w:val="single" w:sz="4" w:space="0" w:color="auto"/>
              <w:bottom w:val="single" w:sz="12" w:space="0" w:color="auto"/>
              <w:right w:val="nil"/>
            </w:tcBorders>
            <w:shd w:val="clear" w:color="auto" w:fill="auto"/>
            <w:vAlign w:val="center"/>
          </w:tcPr>
          <w:p w:rsidR="00A51733" w:rsidRPr="0012401D" w:rsidRDefault="00A51733" w:rsidP="00A8699E">
            <w:pPr>
              <w:jc w:val="center"/>
              <w:rPr>
                <w:rFonts w:ascii="Times New Roman" w:hAnsi="Times New Roman" w:cs="宋体"/>
                <w:color w:val="000000"/>
                <w:sz w:val="24"/>
                <w:szCs w:val="24"/>
              </w:rPr>
            </w:pPr>
            <w:r w:rsidRPr="0012401D">
              <w:rPr>
                <w:rFonts w:ascii="Times New Roman" w:hAnsi="Times New Roman" w:cs="宋体" w:hint="eastAsia"/>
                <w:color w:val="000000"/>
                <w:sz w:val="24"/>
                <w:szCs w:val="24"/>
              </w:rPr>
              <w:lastRenderedPageBreak/>
              <w:t>海口</w:t>
            </w:r>
            <w:r w:rsidRPr="0012401D">
              <w:rPr>
                <w:rFonts w:ascii="Times New Roman" w:hAnsi="Times New Roman" w:cs="宋体"/>
                <w:color w:val="000000"/>
                <w:sz w:val="24"/>
                <w:szCs w:val="24"/>
              </w:rPr>
              <w:t>市</w:t>
            </w:r>
            <w:r w:rsidRPr="0012401D">
              <w:rPr>
                <w:rFonts w:ascii="Times New Roman" w:hAnsi="Times New Roman" w:cs="宋体"/>
                <w:color w:val="000000"/>
                <w:sz w:val="24"/>
                <w:szCs w:val="24"/>
              </w:rPr>
              <w:t xml:space="preserve"> </w:t>
            </w:r>
          </w:p>
        </w:tc>
        <w:tc>
          <w:tcPr>
            <w:tcW w:w="1391" w:type="pct"/>
            <w:tcBorders>
              <w:top w:val="single" w:sz="4" w:space="0" w:color="auto"/>
              <w:left w:val="nil"/>
              <w:bottom w:val="single" w:sz="12" w:space="0" w:color="auto"/>
              <w:right w:val="nil"/>
            </w:tcBorders>
            <w:shd w:val="clear" w:color="auto" w:fill="auto"/>
            <w:vAlign w:val="center"/>
          </w:tcPr>
          <w:p w:rsidR="00A51733" w:rsidRPr="0012401D" w:rsidRDefault="00A51733" w:rsidP="00A8699E">
            <w:pPr>
              <w:jc w:val="center"/>
              <w:rPr>
                <w:rFonts w:ascii="Times New Roman" w:hAnsi="Times New Roman" w:cs="宋体" w:hint="eastAsia"/>
                <w:color w:val="000000"/>
                <w:sz w:val="24"/>
                <w:szCs w:val="24"/>
              </w:rPr>
            </w:pPr>
            <w:r w:rsidRPr="0012401D">
              <w:rPr>
                <w:rFonts w:ascii="Times New Roman" w:hAnsi="Times New Roman" w:cs="宋体" w:hint="eastAsia"/>
                <w:color w:val="000000"/>
                <w:sz w:val="24"/>
                <w:szCs w:val="24"/>
              </w:rPr>
              <w:t>6</w:t>
            </w:r>
            <w:r w:rsidRPr="0012401D">
              <w:rPr>
                <w:rFonts w:ascii="Times New Roman" w:hAnsi="Times New Roman" w:cs="宋体"/>
                <w:color w:val="000000"/>
                <w:sz w:val="24"/>
                <w:szCs w:val="24"/>
              </w:rPr>
              <w:t>57.23</w:t>
            </w:r>
          </w:p>
        </w:tc>
        <w:tc>
          <w:tcPr>
            <w:tcW w:w="768" w:type="pct"/>
            <w:tcBorders>
              <w:top w:val="single" w:sz="4" w:space="0" w:color="auto"/>
              <w:left w:val="nil"/>
              <w:bottom w:val="single" w:sz="12" w:space="0" w:color="auto"/>
              <w:right w:val="nil"/>
            </w:tcBorders>
            <w:shd w:val="clear" w:color="auto" w:fill="auto"/>
            <w:vAlign w:val="center"/>
          </w:tcPr>
          <w:p w:rsidR="00A51733" w:rsidRPr="0012401D" w:rsidRDefault="00A51733" w:rsidP="00A8699E">
            <w:pPr>
              <w:jc w:val="center"/>
              <w:rPr>
                <w:rFonts w:ascii="Times New Roman" w:hAnsi="Times New Roman" w:cs="宋体" w:hint="eastAsia"/>
                <w:color w:val="000000"/>
                <w:sz w:val="24"/>
                <w:szCs w:val="24"/>
              </w:rPr>
            </w:pPr>
            <w:r w:rsidRPr="0012401D">
              <w:rPr>
                <w:rFonts w:ascii="Times New Roman" w:hAnsi="Times New Roman" w:cs="宋体" w:hint="eastAsia"/>
                <w:color w:val="000000"/>
                <w:sz w:val="24"/>
                <w:szCs w:val="24"/>
              </w:rPr>
              <w:t>6</w:t>
            </w:r>
            <w:r w:rsidRPr="0012401D">
              <w:rPr>
                <w:rFonts w:ascii="Times New Roman" w:hAnsi="Times New Roman" w:cs="宋体"/>
                <w:color w:val="000000"/>
                <w:sz w:val="24"/>
                <w:szCs w:val="24"/>
              </w:rPr>
              <w:t>44.08</w:t>
            </w:r>
          </w:p>
        </w:tc>
        <w:tc>
          <w:tcPr>
            <w:tcW w:w="714" w:type="pct"/>
            <w:tcBorders>
              <w:top w:val="single" w:sz="4" w:space="0" w:color="auto"/>
              <w:left w:val="nil"/>
              <w:bottom w:val="single" w:sz="12" w:space="0" w:color="auto"/>
              <w:right w:val="nil"/>
            </w:tcBorders>
            <w:shd w:val="clear" w:color="auto" w:fill="auto"/>
            <w:vAlign w:val="center"/>
          </w:tcPr>
          <w:p w:rsidR="00A51733" w:rsidRPr="0012401D" w:rsidRDefault="00A51733" w:rsidP="00A8699E">
            <w:pPr>
              <w:jc w:val="center"/>
              <w:rPr>
                <w:rFonts w:ascii="Times New Roman" w:hAnsi="Times New Roman" w:cs="宋体" w:hint="eastAsia"/>
                <w:color w:val="000000"/>
                <w:sz w:val="24"/>
                <w:szCs w:val="24"/>
              </w:rPr>
            </w:pPr>
            <w:r w:rsidRPr="0012401D">
              <w:rPr>
                <w:rFonts w:ascii="Times New Roman" w:hAnsi="Times New Roman" w:cs="宋体" w:hint="eastAsia"/>
                <w:color w:val="000000"/>
                <w:sz w:val="24"/>
                <w:szCs w:val="24"/>
              </w:rPr>
              <w:t>6</w:t>
            </w:r>
            <w:r w:rsidRPr="0012401D">
              <w:rPr>
                <w:rFonts w:ascii="Times New Roman" w:hAnsi="Times New Roman" w:cs="宋体"/>
                <w:color w:val="000000"/>
                <w:sz w:val="24"/>
                <w:szCs w:val="24"/>
              </w:rPr>
              <w:t>31.20</w:t>
            </w:r>
          </w:p>
        </w:tc>
        <w:tc>
          <w:tcPr>
            <w:tcW w:w="957" w:type="pct"/>
            <w:tcBorders>
              <w:top w:val="single" w:sz="4" w:space="0" w:color="auto"/>
              <w:left w:val="nil"/>
              <w:bottom w:val="single" w:sz="12" w:space="0" w:color="auto"/>
            </w:tcBorders>
            <w:shd w:val="clear" w:color="auto" w:fill="auto"/>
            <w:vAlign w:val="center"/>
          </w:tcPr>
          <w:p w:rsidR="00A51733" w:rsidRPr="0012401D" w:rsidRDefault="00A51733" w:rsidP="00A8699E">
            <w:pPr>
              <w:jc w:val="center"/>
              <w:rPr>
                <w:rFonts w:ascii="Times New Roman" w:hAnsi="Times New Roman" w:cs="宋体" w:hint="eastAsia"/>
                <w:color w:val="000000"/>
                <w:sz w:val="24"/>
                <w:szCs w:val="24"/>
              </w:rPr>
            </w:pPr>
            <w:r w:rsidRPr="0012401D">
              <w:rPr>
                <w:rFonts w:ascii="Times New Roman" w:hAnsi="Times New Roman" w:cs="宋体" w:hint="eastAsia"/>
                <w:color w:val="000000"/>
                <w:sz w:val="24"/>
                <w:szCs w:val="24"/>
              </w:rPr>
              <w:t>6</w:t>
            </w:r>
            <w:r w:rsidRPr="0012401D">
              <w:rPr>
                <w:rFonts w:ascii="Times New Roman" w:hAnsi="Times New Roman" w:cs="宋体"/>
                <w:color w:val="000000"/>
                <w:sz w:val="24"/>
                <w:szCs w:val="24"/>
              </w:rPr>
              <w:t>18.57</w:t>
            </w:r>
          </w:p>
        </w:tc>
      </w:tr>
    </w:tbl>
    <w:p w:rsidR="00A51733" w:rsidRPr="00A41CE6" w:rsidRDefault="00A51733" w:rsidP="00BA7863">
      <w:pPr>
        <w:spacing w:after="0" w:line="360" w:lineRule="auto"/>
        <w:ind w:firstLineChars="200" w:firstLine="560"/>
        <w:rPr>
          <w:rFonts w:ascii="Times New Roman" w:hAnsi="Times New Roman"/>
          <w:sz w:val="28"/>
          <w:szCs w:val="28"/>
        </w:rPr>
      </w:pPr>
      <w:r w:rsidRPr="00A41CE6">
        <w:rPr>
          <w:rFonts w:ascii="Times New Roman" w:hAnsi="Times New Roman" w:hint="eastAsia"/>
          <w:sz w:val="28"/>
          <w:szCs w:val="28"/>
        </w:rPr>
        <w:t>结合附件</w:t>
      </w:r>
      <w:r w:rsidRPr="00A41CE6">
        <w:rPr>
          <w:rFonts w:ascii="Times New Roman" w:hAnsi="Times New Roman" w:hint="eastAsia"/>
          <w:sz w:val="28"/>
          <w:szCs w:val="28"/>
        </w:rPr>
        <w:t>1</w:t>
      </w:r>
      <w:r w:rsidRPr="00A41CE6">
        <w:rPr>
          <w:rFonts w:ascii="Times New Roman" w:hAnsi="Times New Roman" w:hint="eastAsia"/>
          <w:sz w:val="28"/>
          <w:szCs w:val="28"/>
        </w:rPr>
        <w:t>求得的《海口市建筑节能与绿色建筑（装配式建筑）“十四五”专项规划（</w:t>
      </w:r>
      <w:r w:rsidRPr="00A41CE6">
        <w:rPr>
          <w:rFonts w:ascii="Times New Roman" w:hAnsi="Times New Roman" w:hint="eastAsia"/>
          <w:sz w:val="28"/>
          <w:szCs w:val="28"/>
        </w:rPr>
        <w:t>2022-2025</w:t>
      </w:r>
      <w:r w:rsidRPr="00A41CE6">
        <w:rPr>
          <w:rFonts w:ascii="Times New Roman" w:hAnsi="Times New Roman" w:hint="eastAsia"/>
          <w:sz w:val="28"/>
          <w:szCs w:val="28"/>
        </w:rPr>
        <w:t>）》中要求绿色建筑占新建建筑比例为</w:t>
      </w:r>
      <w:r w:rsidRPr="00A41CE6">
        <w:rPr>
          <w:rFonts w:ascii="Times New Roman" w:hAnsi="Times New Roman"/>
          <w:sz w:val="28"/>
          <w:szCs w:val="28"/>
        </w:rPr>
        <w:t>80%</w:t>
      </w:r>
      <w:r w:rsidRPr="00A41CE6">
        <w:rPr>
          <w:rFonts w:ascii="Times New Roman" w:hAnsi="Times New Roman" w:hint="eastAsia"/>
          <w:sz w:val="28"/>
          <w:szCs w:val="28"/>
        </w:rPr>
        <w:t>，可以得出高星级绿色建筑面积的预测值为：</w:t>
      </w:r>
    </w:p>
    <w:p w:rsidR="00A51733" w:rsidRPr="00A41CE6" w:rsidRDefault="00A51733" w:rsidP="00BA7863">
      <w:pPr>
        <w:spacing w:after="0" w:line="360" w:lineRule="auto"/>
        <w:ind w:firstLineChars="200" w:firstLine="560"/>
        <w:jc w:val="center"/>
        <w:rPr>
          <w:rFonts w:ascii="Times New Roman" w:hAnsi="Times New Roman" w:cs="Times New Roman"/>
          <w:sz w:val="28"/>
          <w:szCs w:val="28"/>
        </w:rPr>
      </w:pPr>
      <w:r w:rsidRPr="00A41CE6">
        <w:rPr>
          <w:rFonts w:ascii="Times New Roman" w:hAnsi="Times New Roman" w:cs="Times New Roman"/>
          <w:sz w:val="28"/>
          <w:szCs w:val="28"/>
        </w:rPr>
        <w:t>1893.85*</w:t>
      </w:r>
      <w:r w:rsidRPr="00A41CE6">
        <w:rPr>
          <w:rFonts w:ascii="Times New Roman" w:hAnsi="Times New Roman" w:cs="Times New Roman" w:hint="eastAsia"/>
          <w:sz w:val="28"/>
          <w:szCs w:val="28"/>
        </w:rPr>
        <w:t>8</w:t>
      </w:r>
      <w:r w:rsidRPr="00A41CE6">
        <w:rPr>
          <w:rFonts w:ascii="Times New Roman" w:hAnsi="Times New Roman" w:cs="Times New Roman"/>
          <w:sz w:val="28"/>
          <w:szCs w:val="28"/>
        </w:rPr>
        <w:t>0%*36.27%=</w:t>
      </w:r>
      <w:r w:rsidRPr="00A41CE6">
        <w:rPr>
          <w:rFonts w:ascii="Times New Roman" w:hAnsi="Times New Roman" w:cs="Times New Roman" w:hint="eastAsia"/>
          <w:sz w:val="28"/>
          <w:szCs w:val="28"/>
        </w:rPr>
        <w:t>5</w:t>
      </w:r>
      <w:r w:rsidRPr="00A41CE6">
        <w:rPr>
          <w:rFonts w:ascii="Times New Roman" w:hAnsi="Times New Roman" w:cs="Times New Roman"/>
          <w:sz w:val="28"/>
          <w:szCs w:val="28"/>
        </w:rPr>
        <w:t>49.52</w:t>
      </w:r>
      <w:r w:rsidRPr="00A41CE6">
        <w:rPr>
          <w:rFonts w:ascii="Times New Roman" w:hAnsi="Times New Roman" w:cs="Times New Roman" w:hint="eastAsia"/>
          <w:sz w:val="28"/>
          <w:szCs w:val="28"/>
        </w:rPr>
        <w:t>万平方米</w:t>
      </w:r>
    </w:p>
    <w:p w:rsidR="00A51733" w:rsidRPr="00A41CE6" w:rsidRDefault="00A51733" w:rsidP="00A51733">
      <w:pPr>
        <w:spacing w:line="360" w:lineRule="auto"/>
        <w:rPr>
          <w:rFonts w:ascii="Times New Roman" w:eastAsia="黑体" w:hAnsi="Times New Roman"/>
          <w:b/>
          <w:bCs/>
          <w:sz w:val="28"/>
          <w:szCs w:val="28"/>
        </w:rPr>
      </w:pPr>
      <w:r w:rsidRPr="00A41CE6">
        <w:rPr>
          <w:rFonts w:ascii="Times New Roman" w:eastAsia="黑体" w:hAnsi="Times New Roman" w:hint="eastAsia"/>
          <w:b/>
          <w:bCs/>
          <w:sz w:val="28"/>
          <w:szCs w:val="28"/>
        </w:rPr>
        <w:t>三．结论</w:t>
      </w:r>
    </w:p>
    <w:p w:rsidR="00A51733" w:rsidRPr="00A41CE6" w:rsidRDefault="00A51733" w:rsidP="00A51733">
      <w:pPr>
        <w:spacing w:line="360" w:lineRule="auto"/>
        <w:rPr>
          <w:rFonts w:ascii="Times New Roman" w:hAnsi="Times New Roman"/>
          <w:sz w:val="28"/>
          <w:szCs w:val="28"/>
        </w:rPr>
      </w:pPr>
      <w:r w:rsidRPr="00A41CE6">
        <w:rPr>
          <w:rFonts w:ascii="Times New Roman" w:hAnsi="Times New Roman" w:hint="eastAsia"/>
          <w:sz w:val="28"/>
          <w:szCs w:val="28"/>
        </w:rPr>
        <w:t xml:space="preserve"> </w:t>
      </w:r>
      <w:r w:rsidRPr="00A41CE6">
        <w:rPr>
          <w:rFonts w:ascii="Times New Roman" w:hAnsi="Times New Roman"/>
          <w:sz w:val="28"/>
          <w:szCs w:val="28"/>
        </w:rPr>
        <w:t xml:space="preserve">  </w:t>
      </w:r>
      <w:r w:rsidRPr="00A41CE6">
        <w:rPr>
          <w:rFonts w:ascii="Times New Roman" w:hAnsi="Times New Roman"/>
          <w:sz w:val="28"/>
          <w:szCs w:val="28"/>
        </w:rPr>
        <w:t>根据计算结果，</w:t>
      </w:r>
      <w:r w:rsidRPr="00A41CE6">
        <w:rPr>
          <w:rFonts w:ascii="Times New Roman" w:hAnsi="Times New Roman"/>
          <w:sz w:val="28"/>
          <w:szCs w:val="28"/>
        </w:rPr>
        <w:t xml:space="preserve"> </w:t>
      </w:r>
      <w:r w:rsidRPr="00A41CE6">
        <w:rPr>
          <w:rFonts w:ascii="Times New Roman" w:hAnsi="Times New Roman"/>
          <w:sz w:val="28"/>
          <w:szCs w:val="28"/>
        </w:rPr>
        <w:t>可以得出</w:t>
      </w:r>
      <w:r w:rsidRPr="00A41CE6">
        <w:rPr>
          <w:rFonts w:ascii="Times New Roman" w:hAnsi="Times New Roman" w:hint="eastAsia"/>
          <w:sz w:val="28"/>
          <w:szCs w:val="28"/>
        </w:rPr>
        <w:t>海口市</w:t>
      </w:r>
      <w:r w:rsidRPr="00A41CE6">
        <w:rPr>
          <w:rFonts w:ascii="Times New Roman" w:hAnsi="Times New Roman"/>
          <w:sz w:val="28"/>
          <w:szCs w:val="28"/>
        </w:rPr>
        <w:t>市在</w:t>
      </w:r>
      <w:r w:rsidRPr="00A41CE6">
        <w:rPr>
          <w:rFonts w:ascii="Times New Roman" w:hAnsi="Times New Roman"/>
          <w:sz w:val="28"/>
          <w:szCs w:val="28"/>
        </w:rPr>
        <w:t>“</w:t>
      </w:r>
      <w:r w:rsidRPr="00A41CE6">
        <w:rPr>
          <w:rFonts w:ascii="Times New Roman" w:hAnsi="Times New Roman"/>
          <w:sz w:val="28"/>
          <w:szCs w:val="28"/>
        </w:rPr>
        <w:t>十四五</w:t>
      </w:r>
      <w:r w:rsidRPr="00A41CE6">
        <w:rPr>
          <w:rFonts w:ascii="Times New Roman" w:hAnsi="Times New Roman"/>
          <w:sz w:val="28"/>
          <w:szCs w:val="28"/>
        </w:rPr>
        <w:t xml:space="preserve">” </w:t>
      </w:r>
      <w:r w:rsidRPr="00A41CE6">
        <w:rPr>
          <w:rFonts w:ascii="Times New Roman" w:hAnsi="Times New Roman"/>
          <w:sz w:val="28"/>
          <w:szCs w:val="28"/>
        </w:rPr>
        <w:t>期间</w:t>
      </w:r>
      <w:r w:rsidRPr="00A41CE6">
        <w:rPr>
          <w:rFonts w:ascii="Times New Roman" w:hAnsi="Times New Roman" w:hint="eastAsia"/>
          <w:sz w:val="28"/>
          <w:szCs w:val="28"/>
        </w:rPr>
        <w:t>，</w:t>
      </w:r>
      <w:r w:rsidRPr="00A41CE6">
        <w:rPr>
          <w:rFonts w:ascii="Times New Roman" w:hAnsi="Times New Roman"/>
          <w:sz w:val="28"/>
          <w:szCs w:val="28"/>
        </w:rPr>
        <w:t>预计新增高星级绿色建筑面积的底线值为</w:t>
      </w:r>
      <w:r w:rsidRPr="00A41CE6">
        <w:rPr>
          <w:rFonts w:ascii="Times New Roman" w:hAnsi="Times New Roman" w:cs="Times New Roman"/>
          <w:sz w:val="28"/>
          <w:szCs w:val="28"/>
        </w:rPr>
        <w:t>549.52</w:t>
      </w:r>
      <w:r w:rsidRPr="00A41CE6">
        <w:rPr>
          <w:rFonts w:ascii="Times New Roman" w:hAnsi="Times New Roman" w:hint="eastAsia"/>
          <w:sz w:val="28"/>
          <w:szCs w:val="28"/>
        </w:rPr>
        <w:t>万平方米，由于部</w:t>
      </w:r>
      <w:r w:rsidRPr="00A41CE6">
        <w:rPr>
          <w:rFonts w:ascii="Times New Roman" w:hAnsi="Times New Roman"/>
          <w:sz w:val="28"/>
          <w:szCs w:val="28"/>
        </w:rPr>
        <w:t>分区域高星级绿色建筑还未纳入考虑，按就高取整则取</w:t>
      </w:r>
      <w:r w:rsidRPr="00A41CE6">
        <w:rPr>
          <w:rFonts w:ascii="Times New Roman" w:hAnsi="Times New Roman" w:cs="Times New Roman"/>
          <w:sz w:val="28"/>
          <w:szCs w:val="28"/>
        </w:rPr>
        <w:t>550</w:t>
      </w:r>
      <w:r w:rsidRPr="00A41CE6">
        <w:rPr>
          <w:rFonts w:ascii="Times New Roman" w:hAnsi="Times New Roman"/>
          <w:sz w:val="28"/>
          <w:szCs w:val="28"/>
        </w:rPr>
        <w:t>万平方米作为底线值</w:t>
      </w:r>
      <w:r w:rsidRPr="00A41CE6">
        <w:rPr>
          <w:rFonts w:ascii="Times New Roman" w:hAnsi="Times New Roman" w:hint="eastAsia"/>
          <w:sz w:val="28"/>
          <w:szCs w:val="28"/>
        </w:rPr>
        <w:t>。</w:t>
      </w:r>
    </w:p>
    <w:p w:rsidR="007C7AFB" w:rsidRDefault="007C7AFB">
      <w:pPr>
        <w:spacing w:after="0" w:line="240" w:lineRule="auto"/>
        <w:rPr>
          <w:rFonts w:ascii="Times New Roman" w:eastAsia="黑体" w:hAnsi="Times New Roman"/>
          <w:color w:val="000000" w:themeColor="text1"/>
          <w:sz w:val="28"/>
          <w:szCs w:val="28"/>
        </w:rPr>
      </w:pPr>
      <w:r>
        <w:rPr>
          <w:rFonts w:ascii="Times New Roman" w:eastAsia="黑体" w:hAnsi="Times New Roman"/>
          <w:color w:val="000000" w:themeColor="text1"/>
          <w:sz w:val="28"/>
          <w:szCs w:val="28"/>
        </w:rPr>
        <w:br w:type="page"/>
      </w:r>
    </w:p>
    <w:p w:rsidR="00133AF3" w:rsidRPr="00A41CE6" w:rsidRDefault="00133AF3" w:rsidP="006166C2">
      <w:pPr>
        <w:spacing w:after="0" w:line="360" w:lineRule="auto"/>
        <w:rPr>
          <w:rFonts w:ascii="Times New Roman" w:eastAsia="黑体" w:hAnsi="Times New Roman"/>
          <w:color w:val="000000" w:themeColor="text1"/>
          <w:sz w:val="28"/>
          <w:szCs w:val="28"/>
        </w:rPr>
      </w:pPr>
      <w:r w:rsidRPr="00A41CE6">
        <w:rPr>
          <w:rFonts w:ascii="Times New Roman" w:eastAsia="黑体" w:hAnsi="Times New Roman" w:hint="eastAsia"/>
          <w:color w:val="000000" w:themeColor="text1"/>
          <w:sz w:val="28"/>
          <w:szCs w:val="28"/>
        </w:rPr>
        <w:lastRenderedPageBreak/>
        <w:t>附件</w:t>
      </w:r>
      <w:r w:rsidRPr="00A41CE6">
        <w:rPr>
          <w:rFonts w:ascii="Times New Roman" w:eastAsia="黑体" w:hAnsi="Times New Roman" w:hint="eastAsia"/>
          <w:color w:val="000000" w:themeColor="text1"/>
          <w:sz w:val="28"/>
          <w:szCs w:val="28"/>
        </w:rPr>
        <w:t>6</w:t>
      </w:r>
      <w:r w:rsidRPr="00A41CE6">
        <w:rPr>
          <w:rFonts w:ascii="Times New Roman" w:eastAsia="黑体" w:hAnsi="Times New Roman"/>
          <w:color w:val="000000" w:themeColor="text1"/>
          <w:sz w:val="28"/>
          <w:szCs w:val="28"/>
        </w:rPr>
        <w:t>.</w:t>
      </w:r>
      <w:r w:rsidRPr="00A41CE6">
        <w:rPr>
          <w:rFonts w:ascii="Times New Roman" w:eastAsia="黑体" w:hAnsi="Times New Roman" w:hint="eastAsia"/>
          <w:color w:val="000000" w:themeColor="text1"/>
          <w:sz w:val="28"/>
          <w:szCs w:val="28"/>
        </w:rPr>
        <w:t xml:space="preserve"> </w:t>
      </w:r>
      <w:r w:rsidRPr="00A41CE6">
        <w:rPr>
          <w:rFonts w:ascii="Times New Roman" w:eastAsia="黑体" w:hAnsi="Times New Roman" w:hint="eastAsia"/>
          <w:color w:val="000000" w:themeColor="text1"/>
          <w:sz w:val="28"/>
          <w:szCs w:val="28"/>
        </w:rPr>
        <w:t>全市绿色建材推广比例目标核算</w:t>
      </w:r>
    </w:p>
    <w:p w:rsidR="00F4324C" w:rsidRPr="00567DC0" w:rsidRDefault="00F4324C" w:rsidP="00567DC0">
      <w:pPr>
        <w:spacing w:after="0"/>
        <w:rPr>
          <w:rFonts w:asciiTheme="minorEastAsia" w:eastAsiaTheme="minorEastAsia" w:hAnsiTheme="minorEastAsia"/>
          <w:b/>
          <w:bCs/>
          <w:sz w:val="28"/>
          <w:szCs w:val="28"/>
        </w:rPr>
      </w:pPr>
      <w:r w:rsidRPr="00567DC0">
        <w:rPr>
          <w:rFonts w:asciiTheme="minorEastAsia" w:eastAsiaTheme="minorEastAsia" w:hAnsiTheme="minorEastAsia" w:hint="eastAsia"/>
          <w:b/>
          <w:bCs/>
          <w:sz w:val="28"/>
          <w:szCs w:val="28"/>
        </w:rPr>
        <w:t>一.核算</w:t>
      </w:r>
      <w:r w:rsidRPr="00567DC0">
        <w:rPr>
          <w:rFonts w:asciiTheme="minorEastAsia" w:eastAsiaTheme="minorEastAsia" w:hAnsiTheme="minorEastAsia"/>
          <w:b/>
          <w:bCs/>
          <w:sz w:val="28"/>
          <w:szCs w:val="28"/>
        </w:rPr>
        <w:t>依据</w:t>
      </w:r>
    </w:p>
    <w:p w:rsidR="00F4324C" w:rsidRPr="00A41CE6" w:rsidRDefault="00F4324C" w:rsidP="0077614A">
      <w:pPr>
        <w:spacing w:line="360" w:lineRule="auto"/>
        <w:ind w:firstLineChars="200" w:firstLine="560"/>
        <w:rPr>
          <w:rFonts w:ascii="Times New Roman" w:hAnsi="Times New Roman"/>
          <w:sz w:val="28"/>
          <w:szCs w:val="28"/>
        </w:rPr>
      </w:pPr>
      <w:r w:rsidRPr="00A41CE6">
        <w:rPr>
          <w:rFonts w:ascii="Times New Roman" w:hAnsi="Times New Roman" w:hint="eastAsia"/>
          <w:sz w:val="28"/>
          <w:szCs w:val="28"/>
        </w:rPr>
        <w:t>2</w:t>
      </w:r>
      <w:r w:rsidRPr="00A41CE6">
        <w:rPr>
          <w:rFonts w:ascii="Times New Roman" w:hAnsi="Times New Roman"/>
          <w:sz w:val="28"/>
          <w:szCs w:val="28"/>
        </w:rPr>
        <w:t>021</w:t>
      </w:r>
      <w:r w:rsidRPr="00A41CE6">
        <w:rPr>
          <w:rFonts w:ascii="Times New Roman" w:hAnsi="Times New Roman" w:hint="eastAsia"/>
          <w:sz w:val="28"/>
          <w:szCs w:val="28"/>
        </w:rPr>
        <w:t>年</w:t>
      </w:r>
      <w:r w:rsidRPr="00A41CE6">
        <w:rPr>
          <w:rFonts w:ascii="Times New Roman" w:hAnsi="Times New Roman" w:hint="eastAsia"/>
          <w:sz w:val="28"/>
          <w:szCs w:val="28"/>
        </w:rPr>
        <w:t>6</w:t>
      </w:r>
      <w:r w:rsidRPr="00A41CE6">
        <w:rPr>
          <w:rFonts w:ascii="Times New Roman" w:hAnsi="Times New Roman" w:hint="eastAsia"/>
          <w:sz w:val="28"/>
          <w:szCs w:val="28"/>
        </w:rPr>
        <w:t>月</w:t>
      </w:r>
      <w:r w:rsidRPr="00A41CE6">
        <w:rPr>
          <w:rFonts w:ascii="Times New Roman" w:hAnsi="Times New Roman" w:hint="eastAsia"/>
          <w:sz w:val="28"/>
          <w:szCs w:val="28"/>
        </w:rPr>
        <w:t>2</w:t>
      </w:r>
      <w:r w:rsidRPr="00A41CE6">
        <w:rPr>
          <w:rFonts w:ascii="Times New Roman" w:hAnsi="Times New Roman"/>
          <w:sz w:val="28"/>
          <w:szCs w:val="28"/>
        </w:rPr>
        <w:t>4</w:t>
      </w:r>
      <w:r w:rsidRPr="00A41CE6">
        <w:rPr>
          <w:rFonts w:ascii="Times New Roman" w:hAnsi="Times New Roman" w:hint="eastAsia"/>
          <w:sz w:val="28"/>
          <w:szCs w:val="28"/>
        </w:rPr>
        <w:t>日，海南省发布了《海南省“绿色建筑（装配式）“十四五”规划（</w:t>
      </w:r>
      <w:r w:rsidRPr="00A41CE6">
        <w:rPr>
          <w:rFonts w:ascii="Times New Roman" w:hAnsi="Times New Roman" w:hint="eastAsia"/>
          <w:sz w:val="28"/>
          <w:szCs w:val="28"/>
        </w:rPr>
        <w:t>2</w:t>
      </w:r>
      <w:r w:rsidRPr="00A41CE6">
        <w:rPr>
          <w:rFonts w:ascii="Times New Roman" w:hAnsi="Times New Roman"/>
          <w:sz w:val="28"/>
          <w:szCs w:val="28"/>
        </w:rPr>
        <w:t>021-2025</w:t>
      </w:r>
      <w:r w:rsidRPr="00A41CE6">
        <w:rPr>
          <w:rFonts w:ascii="Times New Roman" w:hAnsi="Times New Roman" w:hint="eastAsia"/>
          <w:sz w:val="28"/>
          <w:szCs w:val="28"/>
        </w:rPr>
        <w:t>）》，当中规定“十四五”期间，绿色建材的推广比例需达到</w:t>
      </w:r>
      <w:r w:rsidRPr="00A41CE6">
        <w:rPr>
          <w:rFonts w:ascii="Times New Roman" w:hAnsi="Times New Roman"/>
          <w:sz w:val="28"/>
          <w:szCs w:val="28"/>
        </w:rPr>
        <w:t>50%</w:t>
      </w:r>
      <w:r w:rsidRPr="00A41CE6">
        <w:rPr>
          <w:rFonts w:ascii="Times New Roman" w:hAnsi="Times New Roman" w:hint="eastAsia"/>
          <w:sz w:val="28"/>
          <w:szCs w:val="28"/>
        </w:rPr>
        <w:t>及以上，如下表所示。</w:t>
      </w:r>
    </w:p>
    <w:p w:rsidR="00F4324C" w:rsidRPr="00567DC0" w:rsidRDefault="00F4324C" w:rsidP="00567DC0">
      <w:pPr>
        <w:jc w:val="center"/>
        <w:rPr>
          <w:rFonts w:asciiTheme="minorEastAsia" w:eastAsiaTheme="minorEastAsia" w:hAnsiTheme="minorEastAsia"/>
          <w:b/>
          <w:color w:val="000000"/>
          <w:sz w:val="24"/>
          <w:szCs w:val="24"/>
        </w:rPr>
      </w:pPr>
      <w:r w:rsidRPr="00567DC0">
        <w:rPr>
          <w:rFonts w:asciiTheme="minorEastAsia" w:eastAsiaTheme="minorEastAsia" w:hAnsiTheme="minorEastAsia" w:hint="eastAsia"/>
          <w:b/>
          <w:color w:val="000000"/>
          <w:sz w:val="24"/>
          <w:szCs w:val="24"/>
        </w:rPr>
        <w:t>表</w:t>
      </w:r>
      <w:r w:rsidR="007C7AFB">
        <w:rPr>
          <w:rFonts w:asciiTheme="minorEastAsia" w:eastAsiaTheme="minorEastAsia" w:hAnsiTheme="minorEastAsia" w:hint="eastAsia"/>
          <w:b/>
          <w:color w:val="000000"/>
          <w:sz w:val="24"/>
          <w:szCs w:val="24"/>
        </w:rPr>
        <w:t xml:space="preserve">6-1 </w:t>
      </w:r>
      <w:r w:rsidRPr="00567DC0">
        <w:rPr>
          <w:rFonts w:asciiTheme="minorEastAsia" w:eastAsiaTheme="minorEastAsia" w:hAnsiTheme="minorEastAsia" w:hint="eastAsia"/>
          <w:b/>
          <w:color w:val="000000"/>
          <w:sz w:val="24"/>
          <w:szCs w:val="24"/>
        </w:rPr>
        <w:t>海南省装配式建筑（绿色建筑）十四五规划各项指标表</w:t>
      </w:r>
    </w:p>
    <w:tbl>
      <w:tblPr>
        <w:tblW w:w="7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3827"/>
        <w:gridCol w:w="851"/>
        <w:gridCol w:w="1283"/>
        <w:gridCol w:w="1228"/>
      </w:tblGrid>
      <w:tr w:rsidR="00F4324C" w:rsidRPr="00567DC0" w:rsidTr="00A8699E">
        <w:trPr>
          <w:trHeight w:val="262"/>
          <w:jc w:val="center"/>
        </w:trPr>
        <w:tc>
          <w:tcPr>
            <w:tcW w:w="709"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jc w:val="center"/>
              <w:rPr>
                <w:rFonts w:asciiTheme="minorEastAsia" w:eastAsiaTheme="minorEastAsia" w:hAnsiTheme="minorEastAsia" w:cs="楷体"/>
                <w:b/>
                <w:color w:val="000000"/>
                <w:sz w:val="24"/>
                <w:szCs w:val="24"/>
              </w:rPr>
            </w:pPr>
            <w:r w:rsidRPr="00567DC0">
              <w:rPr>
                <w:rFonts w:asciiTheme="minorEastAsia" w:eastAsiaTheme="minorEastAsia" w:hAnsiTheme="minorEastAsia" w:cs="楷体" w:hint="eastAsia"/>
                <w:b/>
                <w:color w:val="000000"/>
                <w:sz w:val="24"/>
                <w:szCs w:val="24"/>
              </w:rPr>
              <w:t>序号</w:t>
            </w:r>
          </w:p>
        </w:tc>
        <w:tc>
          <w:tcPr>
            <w:tcW w:w="3827"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jc w:val="center"/>
              <w:rPr>
                <w:rFonts w:asciiTheme="minorEastAsia" w:eastAsiaTheme="minorEastAsia" w:hAnsiTheme="minorEastAsia" w:cs="楷体"/>
                <w:b/>
                <w:color w:val="000000"/>
                <w:sz w:val="24"/>
                <w:szCs w:val="24"/>
              </w:rPr>
            </w:pPr>
            <w:r w:rsidRPr="00567DC0">
              <w:rPr>
                <w:rFonts w:asciiTheme="minorEastAsia" w:eastAsiaTheme="minorEastAsia" w:hAnsiTheme="minorEastAsia" w:cs="楷体" w:hint="eastAsia"/>
                <w:b/>
                <w:color w:val="000000"/>
                <w:sz w:val="24"/>
                <w:szCs w:val="24"/>
              </w:rPr>
              <w:t>分类</w:t>
            </w:r>
          </w:p>
        </w:tc>
        <w:tc>
          <w:tcPr>
            <w:tcW w:w="851"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jc w:val="center"/>
              <w:rPr>
                <w:rFonts w:asciiTheme="minorEastAsia" w:eastAsiaTheme="minorEastAsia" w:hAnsiTheme="minorEastAsia" w:cs="楷体"/>
                <w:b/>
                <w:color w:val="000000"/>
                <w:sz w:val="24"/>
                <w:szCs w:val="24"/>
              </w:rPr>
            </w:pPr>
            <w:r w:rsidRPr="00567DC0">
              <w:rPr>
                <w:rFonts w:asciiTheme="minorEastAsia" w:eastAsiaTheme="minorEastAsia" w:hAnsiTheme="minorEastAsia" w:cs="楷体" w:hint="eastAsia"/>
                <w:b/>
                <w:color w:val="000000"/>
                <w:sz w:val="24"/>
                <w:szCs w:val="24"/>
              </w:rPr>
              <w:t>单位</w:t>
            </w:r>
          </w:p>
        </w:tc>
        <w:tc>
          <w:tcPr>
            <w:tcW w:w="1283"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jc w:val="center"/>
              <w:rPr>
                <w:rFonts w:asciiTheme="minorEastAsia" w:eastAsiaTheme="minorEastAsia" w:hAnsiTheme="minorEastAsia" w:cs="楷体"/>
                <w:b/>
                <w:color w:val="000000"/>
                <w:sz w:val="24"/>
                <w:szCs w:val="24"/>
              </w:rPr>
            </w:pPr>
            <w:r w:rsidRPr="00567DC0">
              <w:rPr>
                <w:rFonts w:asciiTheme="minorEastAsia" w:eastAsiaTheme="minorEastAsia" w:hAnsiTheme="minorEastAsia" w:cs="楷体" w:hint="eastAsia"/>
                <w:b/>
                <w:color w:val="000000"/>
                <w:sz w:val="24"/>
                <w:szCs w:val="24"/>
              </w:rPr>
              <w:t>规划目标</w:t>
            </w:r>
          </w:p>
        </w:tc>
        <w:tc>
          <w:tcPr>
            <w:tcW w:w="1228"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jc w:val="center"/>
              <w:rPr>
                <w:rFonts w:asciiTheme="minorEastAsia" w:eastAsiaTheme="minorEastAsia" w:hAnsiTheme="minorEastAsia" w:cs="楷体"/>
                <w:b/>
                <w:color w:val="000000"/>
                <w:sz w:val="24"/>
                <w:szCs w:val="24"/>
              </w:rPr>
            </w:pPr>
            <w:r w:rsidRPr="00567DC0">
              <w:rPr>
                <w:rFonts w:asciiTheme="minorEastAsia" w:eastAsiaTheme="minorEastAsia" w:hAnsiTheme="minorEastAsia" w:cs="楷体" w:hint="eastAsia"/>
                <w:b/>
                <w:color w:val="000000"/>
                <w:sz w:val="24"/>
                <w:szCs w:val="24"/>
              </w:rPr>
              <w:t>指标属性</w:t>
            </w:r>
          </w:p>
        </w:tc>
      </w:tr>
      <w:tr w:rsidR="00F4324C" w:rsidRPr="00567DC0" w:rsidTr="00A8699E">
        <w:trPr>
          <w:trHeight w:val="90"/>
          <w:jc w:val="center"/>
        </w:trPr>
        <w:tc>
          <w:tcPr>
            <w:tcW w:w="709"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Times New Roman"/>
                <w:bCs/>
                <w:color w:val="000000"/>
                <w:sz w:val="24"/>
                <w:szCs w:val="24"/>
              </w:rPr>
            </w:pPr>
            <w:r w:rsidRPr="00567DC0">
              <w:rPr>
                <w:rFonts w:asciiTheme="minorEastAsia" w:eastAsiaTheme="minorEastAsia" w:hAnsiTheme="minorEastAsia" w:cs="Times New Roman"/>
                <w:bCs/>
                <w:color w:val="000000"/>
                <w:sz w:val="24"/>
                <w:szCs w:val="24"/>
              </w:rPr>
              <w:t>1</w:t>
            </w:r>
          </w:p>
        </w:tc>
        <w:tc>
          <w:tcPr>
            <w:tcW w:w="3827"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符合条件的新建建筑采用装配式建造方式的比例</w:t>
            </w:r>
          </w:p>
        </w:tc>
        <w:tc>
          <w:tcPr>
            <w:tcW w:w="851"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w:t>
            </w:r>
          </w:p>
        </w:tc>
        <w:tc>
          <w:tcPr>
            <w:tcW w:w="1283"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Times New Roman"/>
                <w:color w:val="000000"/>
                <w:sz w:val="24"/>
                <w:szCs w:val="24"/>
              </w:rPr>
            </w:pPr>
            <w:r w:rsidRPr="00567DC0">
              <w:rPr>
                <w:rFonts w:asciiTheme="minorEastAsia" w:eastAsiaTheme="minorEastAsia" w:hAnsiTheme="minorEastAsia" w:cs="宋体" w:hint="eastAsia"/>
                <w:color w:val="000000"/>
                <w:sz w:val="24"/>
                <w:szCs w:val="24"/>
              </w:rPr>
              <w:t>＞</w:t>
            </w:r>
            <w:r w:rsidRPr="00567DC0">
              <w:rPr>
                <w:rFonts w:asciiTheme="minorEastAsia" w:eastAsiaTheme="minorEastAsia" w:hAnsiTheme="minorEastAsia" w:cs="Times New Roman"/>
                <w:color w:val="000000"/>
                <w:sz w:val="24"/>
                <w:szCs w:val="24"/>
              </w:rPr>
              <w:t>80</w:t>
            </w:r>
          </w:p>
        </w:tc>
        <w:tc>
          <w:tcPr>
            <w:tcW w:w="1228"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约束性</w:t>
            </w:r>
          </w:p>
        </w:tc>
      </w:tr>
      <w:tr w:rsidR="00F4324C" w:rsidRPr="00567DC0" w:rsidTr="00A8699E">
        <w:trPr>
          <w:trHeight w:val="264"/>
          <w:jc w:val="center"/>
        </w:trPr>
        <w:tc>
          <w:tcPr>
            <w:tcW w:w="709"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Times New Roman"/>
                <w:bCs/>
                <w:color w:val="000000"/>
                <w:sz w:val="24"/>
                <w:szCs w:val="24"/>
              </w:rPr>
            </w:pPr>
            <w:r w:rsidRPr="00567DC0">
              <w:rPr>
                <w:rFonts w:asciiTheme="minorEastAsia" w:eastAsiaTheme="minorEastAsia" w:hAnsiTheme="minorEastAsia" w:cs="Times New Roman"/>
                <w:bCs/>
                <w:color w:val="000000"/>
                <w:sz w:val="24"/>
                <w:szCs w:val="24"/>
              </w:rPr>
              <w:t>2</w:t>
            </w:r>
          </w:p>
        </w:tc>
        <w:tc>
          <w:tcPr>
            <w:tcW w:w="3827"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国家级装配式建筑示范城市</w:t>
            </w:r>
          </w:p>
        </w:tc>
        <w:tc>
          <w:tcPr>
            <w:tcW w:w="851"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个</w:t>
            </w:r>
          </w:p>
        </w:tc>
        <w:tc>
          <w:tcPr>
            <w:tcW w:w="1283"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Times New Roman"/>
                <w:color w:val="000000"/>
                <w:sz w:val="24"/>
                <w:szCs w:val="24"/>
              </w:rPr>
            </w:pPr>
            <w:r w:rsidRPr="00567DC0">
              <w:rPr>
                <w:rFonts w:asciiTheme="minorEastAsia" w:eastAsiaTheme="minorEastAsia" w:hAnsiTheme="minorEastAsia" w:cs="Times New Roman"/>
                <w:color w:val="000000"/>
                <w:sz w:val="24"/>
                <w:szCs w:val="24"/>
              </w:rPr>
              <w:t>2</w:t>
            </w:r>
          </w:p>
        </w:tc>
        <w:tc>
          <w:tcPr>
            <w:tcW w:w="1228"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预期性</w:t>
            </w:r>
          </w:p>
        </w:tc>
      </w:tr>
      <w:tr w:rsidR="00F4324C" w:rsidRPr="00567DC0" w:rsidTr="00A8699E">
        <w:trPr>
          <w:trHeight w:val="274"/>
          <w:jc w:val="center"/>
        </w:trPr>
        <w:tc>
          <w:tcPr>
            <w:tcW w:w="709"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Times New Roman"/>
                <w:bCs/>
                <w:color w:val="000000"/>
                <w:sz w:val="24"/>
                <w:szCs w:val="24"/>
              </w:rPr>
            </w:pPr>
            <w:r w:rsidRPr="00567DC0">
              <w:rPr>
                <w:rFonts w:asciiTheme="minorEastAsia" w:eastAsiaTheme="minorEastAsia" w:hAnsiTheme="minorEastAsia" w:cs="Times New Roman" w:hint="eastAsia"/>
                <w:bCs/>
                <w:color w:val="000000"/>
                <w:sz w:val="24"/>
                <w:szCs w:val="24"/>
              </w:rPr>
              <w:t>3</w:t>
            </w:r>
          </w:p>
        </w:tc>
        <w:tc>
          <w:tcPr>
            <w:tcW w:w="3827"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绿色建筑占新建建筑比例</w:t>
            </w:r>
          </w:p>
        </w:tc>
        <w:tc>
          <w:tcPr>
            <w:tcW w:w="851"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w:t>
            </w:r>
          </w:p>
        </w:tc>
        <w:tc>
          <w:tcPr>
            <w:tcW w:w="1283"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Times New Roman" w:hint="eastAsia"/>
                <w:color w:val="000000"/>
                <w:sz w:val="24"/>
                <w:szCs w:val="24"/>
              </w:rPr>
              <w:t>80</w:t>
            </w:r>
          </w:p>
        </w:tc>
        <w:tc>
          <w:tcPr>
            <w:tcW w:w="1228"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约束性</w:t>
            </w:r>
          </w:p>
        </w:tc>
      </w:tr>
      <w:tr w:rsidR="00F4324C" w:rsidRPr="00567DC0" w:rsidTr="00A8699E">
        <w:trPr>
          <w:trHeight w:val="274"/>
          <w:jc w:val="center"/>
        </w:trPr>
        <w:tc>
          <w:tcPr>
            <w:tcW w:w="709"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Times New Roman"/>
                <w:bCs/>
                <w:color w:val="000000"/>
                <w:sz w:val="24"/>
                <w:szCs w:val="24"/>
              </w:rPr>
            </w:pPr>
            <w:r w:rsidRPr="00567DC0">
              <w:rPr>
                <w:rFonts w:asciiTheme="minorEastAsia" w:eastAsiaTheme="minorEastAsia" w:hAnsiTheme="minorEastAsia" w:cs="Times New Roman" w:hint="eastAsia"/>
                <w:bCs/>
                <w:color w:val="000000"/>
                <w:sz w:val="24"/>
                <w:szCs w:val="24"/>
              </w:rPr>
              <w:t>4</w:t>
            </w:r>
          </w:p>
        </w:tc>
        <w:tc>
          <w:tcPr>
            <w:tcW w:w="3827"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绿色建材推广比例</w:t>
            </w:r>
          </w:p>
        </w:tc>
        <w:tc>
          <w:tcPr>
            <w:tcW w:w="851"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w:t>
            </w:r>
          </w:p>
        </w:tc>
        <w:tc>
          <w:tcPr>
            <w:tcW w:w="1283"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Times New Roman" w:hint="eastAsia"/>
                <w:color w:val="000000"/>
                <w:sz w:val="24"/>
                <w:szCs w:val="24"/>
              </w:rPr>
              <w:t>50</w:t>
            </w:r>
          </w:p>
        </w:tc>
        <w:tc>
          <w:tcPr>
            <w:tcW w:w="1228"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预期性</w:t>
            </w:r>
          </w:p>
        </w:tc>
      </w:tr>
      <w:tr w:rsidR="00F4324C" w:rsidRPr="00567DC0" w:rsidTr="00A8699E">
        <w:trPr>
          <w:trHeight w:val="274"/>
          <w:jc w:val="center"/>
        </w:trPr>
        <w:tc>
          <w:tcPr>
            <w:tcW w:w="709"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Times New Roman"/>
                <w:bCs/>
                <w:color w:val="000000"/>
                <w:sz w:val="24"/>
                <w:szCs w:val="24"/>
              </w:rPr>
            </w:pPr>
            <w:r w:rsidRPr="00567DC0">
              <w:rPr>
                <w:rFonts w:asciiTheme="minorEastAsia" w:eastAsiaTheme="minorEastAsia" w:hAnsiTheme="minorEastAsia" w:cs="Times New Roman" w:hint="eastAsia"/>
                <w:bCs/>
                <w:color w:val="000000"/>
                <w:sz w:val="24"/>
                <w:szCs w:val="24"/>
              </w:rPr>
              <w:t>5</w:t>
            </w:r>
          </w:p>
        </w:tc>
        <w:tc>
          <w:tcPr>
            <w:tcW w:w="3827"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绿色生态示范城区</w:t>
            </w:r>
          </w:p>
        </w:tc>
        <w:tc>
          <w:tcPr>
            <w:tcW w:w="851"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个</w:t>
            </w:r>
          </w:p>
        </w:tc>
        <w:tc>
          <w:tcPr>
            <w:tcW w:w="1283"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Times New Roman"/>
                <w:color w:val="000000"/>
                <w:sz w:val="24"/>
                <w:szCs w:val="24"/>
              </w:rPr>
            </w:pPr>
            <w:r w:rsidRPr="00567DC0">
              <w:rPr>
                <w:rFonts w:asciiTheme="minorEastAsia" w:eastAsiaTheme="minorEastAsia" w:hAnsiTheme="minorEastAsia" w:cs="Times New Roman" w:hint="eastAsia"/>
                <w:color w:val="000000"/>
                <w:sz w:val="24"/>
                <w:szCs w:val="24"/>
              </w:rPr>
              <w:t>1</w:t>
            </w:r>
          </w:p>
        </w:tc>
        <w:tc>
          <w:tcPr>
            <w:tcW w:w="1228"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预期性</w:t>
            </w:r>
          </w:p>
        </w:tc>
      </w:tr>
      <w:tr w:rsidR="00F4324C" w:rsidRPr="00567DC0" w:rsidTr="00A8699E">
        <w:trPr>
          <w:trHeight w:val="274"/>
          <w:jc w:val="center"/>
        </w:trPr>
        <w:tc>
          <w:tcPr>
            <w:tcW w:w="709"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Times New Roman"/>
                <w:bCs/>
                <w:color w:val="000000"/>
                <w:sz w:val="24"/>
                <w:szCs w:val="24"/>
              </w:rPr>
            </w:pPr>
            <w:r w:rsidRPr="00567DC0">
              <w:rPr>
                <w:rFonts w:asciiTheme="minorEastAsia" w:eastAsiaTheme="minorEastAsia" w:hAnsiTheme="minorEastAsia" w:cs="Times New Roman" w:hint="eastAsia"/>
                <w:bCs/>
                <w:color w:val="000000"/>
                <w:sz w:val="24"/>
                <w:szCs w:val="24"/>
              </w:rPr>
              <w:t>6</w:t>
            </w:r>
          </w:p>
        </w:tc>
        <w:tc>
          <w:tcPr>
            <w:tcW w:w="3827"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超低能耗建筑</w:t>
            </w:r>
          </w:p>
        </w:tc>
        <w:tc>
          <w:tcPr>
            <w:tcW w:w="851"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万m</w:t>
            </w:r>
            <w:r w:rsidRPr="00567DC0">
              <w:rPr>
                <w:rFonts w:asciiTheme="minorEastAsia" w:eastAsiaTheme="minorEastAsia" w:hAnsiTheme="minorEastAsia" w:cs="楷体" w:hint="eastAsia"/>
                <w:color w:val="000000"/>
                <w:sz w:val="24"/>
                <w:szCs w:val="24"/>
                <w:vertAlign w:val="superscript"/>
              </w:rPr>
              <w:t>2</w:t>
            </w:r>
          </w:p>
        </w:tc>
        <w:tc>
          <w:tcPr>
            <w:tcW w:w="1283"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Times New Roman" w:hint="eastAsia"/>
                <w:color w:val="000000"/>
                <w:sz w:val="24"/>
                <w:szCs w:val="24"/>
              </w:rPr>
              <w:t>10</w:t>
            </w:r>
          </w:p>
        </w:tc>
        <w:tc>
          <w:tcPr>
            <w:tcW w:w="1228"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预期性</w:t>
            </w:r>
          </w:p>
        </w:tc>
      </w:tr>
      <w:tr w:rsidR="00F4324C" w:rsidRPr="00567DC0" w:rsidTr="00A8699E">
        <w:trPr>
          <w:trHeight w:val="224"/>
          <w:jc w:val="center"/>
        </w:trPr>
        <w:tc>
          <w:tcPr>
            <w:tcW w:w="709"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Times New Roman"/>
                <w:bCs/>
                <w:color w:val="000000"/>
                <w:sz w:val="24"/>
                <w:szCs w:val="24"/>
              </w:rPr>
            </w:pPr>
            <w:r w:rsidRPr="00567DC0">
              <w:rPr>
                <w:rFonts w:asciiTheme="minorEastAsia" w:eastAsiaTheme="minorEastAsia" w:hAnsiTheme="minorEastAsia" w:cs="Times New Roman" w:hint="eastAsia"/>
                <w:bCs/>
                <w:color w:val="000000"/>
                <w:sz w:val="24"/>
                <w:szCs w:val="24"/>
              </w:rPr>
              <w:t>7</w:t>
            </w:r>
          </w:p>
        </w:tc>
        <w:tc>
          <w:tcPr>
            <w:tcW w:w="3827"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老旧小区改造</w:t>
            </w:r>
          </w:p>
        </w:tc>
        <w:tc>
          <w:tcPr>
            <w:tcW w:w="851"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万m</w:t>
            </w:r>
            <w:r w:rsidRPr="00567DC0">
              <w:rPr>
                <w:rFonts w:asciiTheme="minorEastAsia" w:eastAsiaTheme="minorEastAsia" w:hAnsiTheme="minorEastAsia" w:cs="楷体" w:hint="eastAsia"/>
                <w:color w:val="000000"/>
                <w:sz w:val="24"/>
                <w:szCs w:val="24"/>
                <w:vertAlign w:val="superscript"/>
              </w:rPr>
              <w:t>2</w:t>
            </w:r>
          </w:p>
        </w:tc>
        <w:tc>
          <w:tcPr>
            <w:tcW w:w="1283"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Times New Roman" w:hint="eastAsia"/>
                <w:color w:val="000000"/>
                <w:sz w:val="24"/>
                <w:szCs w:val="24"/>
              </w:rPr>
              <w:t>500</w:t>
            </w:r>
          </w:p>
        </w:tc>
        <w:tc>
          <w:tcPr>
            <w:tcW w:w="1228" w:type="dxa"/>
            <w:tcMar>
              <w:top w:w="0" w:type="dxa"/>
              <w:left w:w="108" w:type="dxa"/>
              <w:bottom w:w="0" w:type="dxa"/>
              <w:right w:w="108" w:type="dxa"/>
            </w:tcMar>
            <w:vAlign w:val="center"/>
          </w:tcPr>
          <w:p w:rsidR="00F4324C" w:rsidRPr="00567DC0" w:rsidRDefault="00F4324C" w:rsidP="00A8699E">
            <w:pPr>
              <w:adjustRightInd w:val="0"/>
              <w:snapToGrid w:val="0"/>
              <w:spacing w:line="360" w:lineRule="auto"/>
              <w:rPr>
                <w:rFonts w:asciiTheme="minorEastAsia" w:eastAsiaTheme="minorEastAsia" w:hAnsiTheme="minorEastAsia" w:cs="楷体"/>
                <w:color w:val="000000"/>
                <w:sz w:val="24"/>
                <w:szCs w:val="24"/>
              </w:rPr>
            </w:pPr>
            <w:r w:rsidRPr="00567DC0">
              <w:rPr>
                <w:rFonts w:asciiTheme="minorEastAsia" w:eastAsiaTheme="minorEastAsia" w:hAnsiTheme="minorEastAsia" w:cs="楷体" w:hint="eastAsia"/>
                <w:color w:val="000000"/>
                <w:sz w:val="24"/>
                <w:szCs w:val="24"/>
              </w:rPr>
              <w:t>预期性</w:t>
            </w:r>
          </w:p>
        </w:tc>
      </w:tr>
    </w:tbl>
    <w:p w:rsidR="00F4324C" w:rsidRPr="00567DC0" w:rsidRDefault="00F4324C" w:rsidP="00567DC0">
      <w:pPr>
        <w:ind w:firstLineChars="200" w:firstLine="482"/>
        <w:rPr>
          <w:rFonts w:asciiTheme="minorEastAsia" w:eastAsiaTheme="minorEastAsia" w:hAnsiTheme="minorEastAsia"/>
          <w:b/>
          <w:bCs/>
          <w:sz w:val="24"/>
          <w:szCs w:val="24"/>
        </w:rPr>
      </w:pPr>
      <w:r w:rsidRPr="00567DC0">
        <w:rPr>
          <w:rFonts w:asciiTheme="minorEastAsia" w:eastAsiaTheme="minorEastAsia" w:hAnsiTheme="minorEastAsia" w:hint="eastAsia"/>
          <w:b/>
          <w:bCs/>
          <w:sz w:val="24"/>
          <w:szCs w:val="24"/>
        </w:rPr>
        <w:t>注</w:t>
      </w:r>
      <w:r w:rsidRPr="00567DC0">
        <w:rPr>
          <w:rFonts w:asciiTheme="minorEastAsia" w:eastAsiaTheme="minorEastAsia" w:hAnsiTheme="minorEastAsia" w:hint="eastAsia"/>
          <w:color w:val="000000"/>
          <w:sz w:val="24"/>
          <w:szCs w:val="24"/>
        </w:rPr>
        <w:t>：该表源于《海南省“绿色建筑（装配式）“十四五”规划（2</w:t>
      </w:r>
      <w:r w:rsidRPr="00567DC0">
        <w:rPr>
          <w:rFonts w:asciiTheme="minorEastAsia" w:eastAsiaTheme="minorEastAsia" w:hAnsiTheme="minorEastAsia"/>
          <w:color w:val="000000"/>
          <w:sz w:val="24"/>
          <w:szCs w:val="24"/>
        </w:rPr>
        <w:t>021-2025</w:t>
      </w:r>
      <w:r w:rsidRPr="00567DC0">
        <w:rPr>
          <w:rFonts w:asciiTheme="minorEastAsia" w:eastAsiaTheme="minorEastAsia" w:hAnsiTheme="minorEastAsia" w:hint="eastAsia"/>
          <w:color w:val="000000"/>
          <w:sz w:val="24"/>
          <w:szCs w:val="24"/>
        </w:rPr>
        <w:t>）》</w:t>
      </w:r>
    </w:p>
    <w:p w:rsidR="00F4324C" w:rsidRPr="00567DC0" w:rsidRDefault="00F4324C" w:rsidP="00F4324C">
      <w:pPr>
        <w:rPr>
          <w:rFonts w:asciiTheme="minorEastAsia" w:eastAsiaTheme="minorEastAsia" w:hAnsiTheme="minorEastAsia"/>
          <w:b/>
          <w:bCs/>
          <w:sz w:val="28"/>
          <w:szCs w:val="28"/>
        </w:rPr>
      </w:pPr>
      <w:r w:rsidRPr="00567DC0">
        <w:rPr>
          <w:rFonts w:asciiTheme="minorEastAsia" w:eastAsiaTheme="minorEastAsia" w:hAnsiTheme="minorEastAsia" w:hint="eastAsia"/>
          <w:b/>
          <w:bCs/>
          <w:sz w:val="28"/>
          <w:szCs w:val="28"/>
        </w:rPr>
        <w:t>二.结论</w:t>
      </w:r>
    </w:p>
    <w:p w:rsidR="00F4324C" w:rsidRPr="00A41CE6" w:rsidRDefault="00F4324C" w:rsidP="0077614A">
      <w:pPr>
        <w:spacing w:line="360" w:lineRule="auto"/>
        <w:ind w:firstLineChars="200" w:firstLine="560"/>
        <w:rPr>
          <w:rFonts w:ascii="Times New Roman" w:hAnsi="Times New Roman"/>
          <w:sz w:val="28"/>
          <w:szCs w:val="28"/>
        </w:rPr>
      </w:pPr>
      <w:r w:rsidRPr="00A41CE6">
        <w:rPr>
          <w:rFonts w:ascii="Times New Roman" w:hAnsi="Times New Roman" w:hint="eastAsia"/>
          <w:sz w:val="28"/>
          <w:szCs w:val="28"/>
        </w:rPr>
        <w:t>因此，为助力海南省落实《海南省“绿色建筑（装配式）“十四五”规划（</w:t>
      </w:r>
      <w:r w:rsidRPr="00A41CE6">
        <w:rPr>
          <w:rFonts w:ascii="Times New Roman" w:hAnsi="Times New Roman" w:hint="eastAsia"/>
          <w:sz w:val="28"/>
          <w:szCs w:val="28"/>
        </w:rPr>
        <w:t>2</w:t>
      </w:r>
      <w:r w:rsidRPr="00A41CE6">
        <w:rPr>
          <w:rFonts w:ascii="Times New Roman" w:hAnsi="Times New Roman"/>
          <w:sz w:val="28"/>
          <w:szCs w:val="28"/>
        </w:rPr>
        <w:t>021-2025</w:t>
      </w:r>
      <w:r w:rsidRPr="00A41CE6">
        <w:rPr>
          <w:rFonts w:ascii="Times New Roman" w:hAnsi="Times New Roman" w:hint="eastAsia"/>
          <w:sz w:val="28"/>
          <w:szCs w:val="28"/>
        </w:rPr>
        <w:t>）》中绿色建材推广的目标，海口市的目标与之保持一致，取</w:t>
      </w:r>
      <w:r w:rsidRPr="00A41CE6">
        <w:rPr>
          <w:rFonts w:ascii="Times New Roman" w:hAnsi="Times New Roman" w:hint="eastAsia"/>
          <w:sz w:val="28"/>
          <w:szCs w:val="28"/>
        </w:rPr>
        <w:t>5</w:t>
      </w:r>
      <w:r w:rsidRPr="00A41CE6">
        <w:rPr>
          <w:rFonts w:ascii="Times New Roman" w:hAnsi="Times New Roman"/>
          <w:sz w:val="28"/>
          <w:szCs w:val="28"/>
        </w:rPr>
        <w:t>0%</w:t>
      </w:r>
      <w:r w:rsidRPr="00A41CE6">
        <w:rPr>
          <w:rFonts w:ascii="Times New Roman" w:hAnsi="Times New Roman" w:hint="eastAsia"/>
          <w:sz w:val="28"/>
          <w:szCs w:val="28"/>
        </w:rPr>
        <w:t>。</w:t>
      </w:r>
    </w:p>
    <w:p w:rsidR="007C7AFB" w:rsidRDefault="007C7AFB">
      <w:pPr>
        <w:spacing w:after="0" w:line="240" w:lineRule="auto"/>
        <w:rPr>
          <w:rFonts w:ascii="Times New Roman" w:eastAsia="黑体" w:hAnsi="Times New Roman"/>
          <w:color w:val="000000" w:themeColor="text1"/>
          <w:sz w:val="28"/>
          <w:szCs w:val="28"/>
        </w:rPr>
      </w:pPr>
      <w:r>
        <w:rPr>
          <w:rFonts w:ascii="Times New Roman" w:eastAsia="黑体" w:hAnsi="Times New Roman"/>
          <w:color w:val="000000" w:themeColor="text1"/>
          <w:sz w:val="28"/>
          <w:szCs w:val="28"/>
        </w:rPr>
        <w:br w:type="page"/>
      </w:r>
    </w:p>
    <w:p w:rsidR="00980710" w:rsidRPr="00A41CE6" w:rsidRDefault="00980710" w:rsidP="006166C2">
      <w:pPr>
        <w:spacing w:after="0" w:line="360" w:lineRule="auto"/>
        <w:rPr>
          <w:rFonts w:ascii="Times New Roman" w:eastAsia="黑体" w:hAnsi="Times New Roman"/>
          <w:color w:val="000000" w:themeColor="text1"/>
          <w:sz w:val="28"/>
          <w:szCs w:val="28"/>
        </w:rPr>
      </w:pPr>
      <w:r w:rsidRPr="00A41CE6">
        <w:rPr>
          <w:rFonts w:ascii="Times New Roman" w:eastAsia="黑体" w:hAnsi="Times New Roman" w:hint="eastAsia"/>
          <w:color w:val="000000" w:themeColor="text1"/>
          <w:sz w:val="28"/>
          <w:szCs w:val="28"/>
        </w:rPr>
        <w:lastRenderedPageBreak/>
        <w:t>附件</w:t>
      </w:r>
      <w:r w:rsidRPr="00A41CE6">
        <w:rPr>
          <w:rFonts w:ascii="Times New Roman" w:eastAsia="黑体" w:hAnsi="Times New Roman" w:hint="eastAsia"/>
          <w:color w:val="000000" w:themeColor="text1"/>
          <w:sz w:val="28"/>
          <w:szCs w:val="28"/>
        </w:rPr>
        <w:t>7</w:t>
      </w:r>
      <w:r w:rsidRPr="00A41CE6">
        <w:rPr>
          <w:rFonts w:ascii="Times New Roman" w:eastAsia="黑体" w:hAnsi="Times New Roman" w:hint="eastAsia"/>
          <w:color w:val="000000" w:themeColor="text1"/>
          <w:sz w:val="28"/>
          <w:szCs w:val="28"/>
        </w:rPr>
        <w:t>：超低能耗示范项目估算</w:t>
      </w:r>
    </w:p>
    <w:p w:rsidR="00980710" w:rsidRPr="00A41CE6" w:rsidRDefault="00980710" w:rsidP="0077614A">
      <w:pPr>
        <w:spacing w:line="360" w:lineRule="auto"/>
        <w:ind w:firstLineChars="200" w:firstLine="560"/>
        <w:rPr>
          <w:rFonts w:ascii="Times New Roman" w:hAnsi="Times New Roman"/>
          <w:color w:val="000000" w:themeColor="text1"/>
          <w:sz w:val="28"/>
          <w:szCs w:val="28"/>
        </w:rPr>
      </w:pPr>
      <w:r w:rsidRPr="00A41CE6">
        <w:rPr>
          <w:rFonts w:ascii="Times New Roman" w:hAnsi="Times New Roman" w:hint="eastAsia"/>
          <w:color w:val="000000" w:themeColor="text1"/>
          <w:sz w:val="28"/>
          <w:szCs w:val="28"/>
        </w:rPr>
        <w:t>根据《海南环岛旅游公路及驿站规划》，海口区域有三江叠翠驿站、东港觅古驿站两个驿站。</w:t>
      </w:r>
    </w:p>
    <w:p w:rsidR="00980710" w:rsidRPr="00A41CE6" w:rsidRDefault="00980710" w:rsidP="00980710">
      <w:pPr>
        <w:rPr>
          <w:rFonts w:ascii="Times New Roman" w:hAnsi="Times New Roman"/>
          <w:color w:val="000000" w:themeColor="text1"/>
          <w:sz w:val="28"/>
          <w:szCs w:val="28"/>
        </w:rPr>
      </w:pPr>
      <w:r w:rsidRPr="00A41CE6">
        <w:rPr>
          <w:rFonts w:ascii="Times New Roman" w:eastAsia="仿宋_GB2312" w:hAnsi="Times New Roman"/>
          <w:b/>
          <w:noProof/>
          <w:color w:val="000000" w:themeColor="text1"/>
          <w:sz w:val="28"/>
          <w:szCs w:val="28"/>
        </w:rPr>
        <w:drawing>
          <wp:inline distT="0" distB="0" distL="0" distR="0" wp14:anchorId="240B1078" wp14:editId="57837F71">
            <wp:extent cx="5274310" cy="4055110"/>
            <wp:effectExtent l="0" t="0" r="2540" b="25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2" cstate="print">
                      <a:extLst>
                        <a:ext uri="{28A0092B-C50C-407E-A947-70E740481C1C}">
                          <a14:useLocalDpi xmlns:a14="http://schemas.microsoft.com/office/drawing/2010/main" val="0"/>
                        </a:ext>
                      </a:extLst>
                    </a:blip>
                    <a:srcRect l="4217" t="11496" r="20181" b="6328"/>
                    <a:stretch>
                      <a:fillRect/>
                    </a:stretch>
                  </pic:blipFill>
                  <pic:spPr>
                    <a:xfrm>
                      <a:off x="0" y="0"/>
                      <a:ext cx="5274310" cy="4055510"/>
                    </a:xfrm>
                    <a:prstGeom prst="rect">
                      <a:avLst/>
                    </a:prstGeom>
                    <a:noFill/>
                    <a:ln>
                      <a:noFill/>
                    </a:ln>
                  </pic:spPr>
                </pic:pic>
              </a:graphicData>
            </a:graphic>
          </wp:inline>
        </w:drawing>
      </w:r>
    </w:p>
    <w:p w:rsidR="00980710" w:rsidRPr="00567DC0" w:rsidRDefault="00980710" w:rsidP="00567DC0">
      <w:pPr>
        <w:spacing w:line="360" w:lineRule="auto"/>
        <w:ind w:firstLineChars="200" w:firstLine="482"/>
        <w:jc w:val="center"/>
        <w:rPr>
          <w:rFonts w:asciiTheme="minorEastAsia" w:eastAsiaTheme="minorEastAsia" w:hAnsiTheme="minorEastAsia"/>
          <w:b/>
          <w:color w:val="000000" w:themeColor="text1"/>
          <w:sz w:val="24"/>
          <w:szCs w:val="24"/>
        </w:rPr>
      </w:pPr>
      <w:r w:rsidRPr="00567DC0">
        <w:rPr>
          <w:rFonts w:asciiTheme="minorEastAsia" w:eastAsiaTheme="minorEastAsia" w:hAnsiTheme="minorEastAsia" w:hint="eastAsia"/>
          <w:b/>
          <w:color w:val="000000" w:themeColor="text1"/>
          <w:sz w:val="24"/>
          <w:szCs w:val="24"/>
        </w:rPr>
        <w:t>图</w:t>
      </w:r>
      <w:r w:rsidR="007C7AFB">
        <w:rPr>
          <w:rFonts w:asciiTheme="minorEastAsia" w:eastAsiaTheme="minorEastAsia" w:hAnsiTheme="minorEastAsia" w:hint="eastAsia"/>
          <w:b/>
          <w:color w:val="000000" w:themeColor="text1"/>
          <w:sz w:val="24"/>
          <w:szCs w:val="24"/>
        </w:rPr>
        <w:t>7-1</w:t>
      </w:r>
      <w:r w:rsidR="007C7AFB">
        <w:rPr>
          <w:rFonts w:asciiTheme="minorEastAsia" w:eastAsiaTheme="minorEastAsia" w:hAnsiTheme="minorEastAsia"/>
          <w:b/>
          <w:color w:val="000000" w:themeColor="text1"/>
          <w:sz w:val="24"/>
          <w:szCs w:val="24"/>
        </w:rPr>
        <w:t xml:space="preserve"> </w:t>
      </w:r>
      <w:r w:rsidRPr="00567DC0">
        <w:rPr>
          <w:rFonts w:asciiTheme="minorEastAsia" w:eastAsiaTheme="minorEastAsia" w:hAnsiTheme="minorEastAsia" w:hint="eastAsia"/>
          <w:b/>
          <w:color w:val="000000" w:themeColor="text1"/>
          <w:sz w:val="24"/>
          <w:szCs w:val="24"/>
        </w:rPr>
        <w:t>驿站布局示意图</w:t>
      </w:r>
    </w:p>
    <w:p w:rsidR="00980710" w:rsidRPr="00567DC0" w:rsidRDefault="00980710" w:rsidP="00567DC0">
      <w:pPr>
        <w:spacing w:line="360" w:lineRule="auto"/>
        <w:ind w:firstLineChars="200" w:firstLine="482"/>
        <w:jc w:val="center"/>
        <w:rPr>
          <w:rFonts w:asciiTheme="minorEastAsia" w:eastAsiaTheme="minorEastAsia" w:hAnsiTheme="minorEastAsia"/>
          <w:b/>
          <w:color w:val="000000" w:themeColor="text1"/>
          <w:sz w:val="24"/>
          <w:szCs w:val="24"/>
        </w:rPr>
      </w:pPr>
      <w:r w:rsidRPr="00567DC0">
        <w:rPr>
          <w:rFonts w:asciiTheme="minorEastAsia" w:eastAsiaTheme="minorEastAsia" w:hAnsiTheme="minorEastAsia" w:hint="eastAsia"/>
          <w:b/>
          <w:color w:val="000000" w:themeColor="text1"/>
          <w:sz w:val="24"/>
          <w:szCs w:val="24"/>
        </w:rPr>
        <w:t>表</w:t>
      </w:r>
      <w:r w:rsidR="007C7AFB">
        <w:rPr>
          <w:rFonts w:asciiTheme="minorEastAsia" w:eastAsiaTheme="minorEastAsia" w:hAnsiTheme="minorEastAsia" w:hint="eastAsia"/>
          <w:b/>
          <w:color w:val="000000" w:themeColor="text1"/>
          <w:sz w:val="24"/>
          <w:szCs w:val="24"/>
        </w:rPr>
        <w:t>7-</w:t>
      </w:r>
      <w:r w:rsidRPr="00567DC0">
        <w:rPr>
          <w:rFonts w:asciiTheme="minorEastAsia" w:eastAsiaTheme="minorEastAsia" w:hAnsiTheme="minorEastAsia"/>
          <w:b/>
          <w:color w:val="000000" w:themeColor="text1"/>
          <w:sz w:val="24"/>
          <w:szCs w:val="24"/>
        </w:rPr>
        <w:t xml:space="preserve">1  </w:t>
      </w:r>
      <w:r w:rsidRPr="00567DC0">
        <w:rPr>
          <w:rFonts w:asciiTheme="minorEastAsia" w:eastAsiaTheme="minorEastAsia" w:hAnsiTheme="minorEastAsia" w:hint="eastAsia"/>
          <w:b/>
          <w:color w:val="000000" w:themeColor="text1"/>
          <w:sz w:val="24"/>
          <w:szCs w:val="24"/>
        </w:rPr>
        <w:t>海口区域驿站概况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179"/>
        <w:gridCol w:w="1701"/>
        <w:gridCol w:w="2126"/>
        <w:gridCol w:w="2035"/>
      </w:tblGrid>
      <w:tr w:rsidR="00980710" w:rsidRPr="00567DC0" w:rsidTr="00902EDF">
        <w:trPr>
          <w:trHeight w:val="20"/>
          <w:jc w:val="center"/>
        </w:trPr>
        <w:tc>
          <w:tcPr>
            <w:tcW w:w="481" w:type="dxa"/>
            <w:shd w:val="clear" w:color="auto" w:fill="auto"/>
            <w:noWrap/>
            <w:vAlign w:val="center"/>
          </w:tcPr>
          <w:p w:rsidR="00980710" w:rsidRPr="00567DC0" w:rsidRDefault="00980710" w:rsidP="005F7D40">
            <w:pPr>
              <w:spacing w:line="300" w:lineRule="exact"/>
              <w:jc w:val="center"/>
              <w:rPr>
                <w:rFonts w:ascii="Times New Roman" w:hAnsi="Times New Roman" w:cs="宋体"/>
                <w:b/>
                <w:bCs/>
                <w:color w:val="000000" w:themeColor="text1"/>
                <w:sz w:val="24"/>
                <w:szCs w:val="24"/>
              </w:rPr>
            </w:pPr>
            <w:r w:rsidRPr="00567DC0">
              <w:rPr>
                <w:rFonts w:ascii="Times New Roman" w:eastAsiaTheme="minorEastAsia" w:hAnsi="Times New Roman" w:cs="宋体" w:hint="eastAsia"/>
                <w:b/>
                <w:bCs/>
                <w:color w:val="000000" w:themeColor="text1"/>
                <w:sz w:val="24"/>
                <w:szCs w:val="24"/>
              </w:rPr>
              <w:t>市县</w:t>
            </w:r>
          </w:p>
        </w:tc>
        <w:tc>
          <w:tcPr>
            <w:tcW w:w="2179" w:type="dxa"/>
            <w:shd w:val="clear" w:color="auto" w:fill="auto"/>
            <w:noWrap/>
            <w:vAlign w:val="center"/>
          </w:tcPr>
          <w:p w:rsidR="00980710" w:rsidRPr="00567DC0" w:rsidRDefault="00980710" w:rsidP="005F7D40">
            <w:pPr>
              <w:spacing w:line="300" w:lineRule="exact"/>
              <w:jc w:val="center"/>
              <w:rPr>
                <w:rFonts w:ascii="Times New Roman" w:hAnsi="Times New Roman" w:cs="宋体"/>
                <w:b/>
                <w:bCs/>
                <w:color w:val="000000" w:themeColor="text1"/>
                <w:sz w:val="24"/>
                <w:szCs w:val="24"/>
              </w:rPr>
            </w:pPr>
            <w:r w:rsidRPr="00567DC0">
              <w:rPr>
                <w:rFonts w:ascii="Times New Roman" w:eastAsiaTheme="minorEastAsia" w:hAnsi="Times New Roman" w:cs="宋体" w:hint="eastAsia"/>
                <w:b/>
                <w:bCs/>
                <w:color w:val="000000" w:themeColor="text1"/>
                <w:sz w:val="24"/>
                <w:szCs w:val="24"/>
              </w:rPr>
              <w:t>驿站初拟名称</w:t>
            </w:r>
          </w:p>
        </w:tc>
        <w:tc>
          <w:tcPr>
            <w:tcW w:w="1701" w:type="dxa"/>
            <w:shd w:val="clear" w:color="auto" w:fill="auto"/>
            <w:noWrap/>
            <w:vAlign w:val="center"/>
          </w:tcPr>
          <w:p w:rsidR="00980710" w:rsidRPr="00567DC0" w:rsidRDefault="00980710" w:rsidP="005F7D40">
            <w:pPr>
              <w:spacing w:line="300" w:lineRule="exact"/>
              <w:jc w:val="center"/>
              <w:rPr>
                <w:rFonts w:ascii="Times New Roman" w:hAnsi="Times New Roman" w:cs="宋体"/>
                <w:b/>
                <w:bCs/>
                <w:color w:val="000000" w:themeColor="text1"/>
                <w:sz w:val="24"/>
                <w:szCs w:val="24"/>
              </w:rPr>
            </w:pPr>
            <w:r w:rsidRPr="00567DC0">
              <w:rPr>
                <w:rFonts w:ascii="Times New Roman" w:eastAsiaTheme="minorEastAsia" w:hAnsi="Times New Roman" w:cs="宋体" w:hint="eastAsia"/>
                <w:b/>
                <w:bCs/>
                <w:color w:val="000000" w:themeColor="text1"/>
                <w:sz w:val="24"/>
                <w:szCs w:val="24"/>
              </w:rPr>
              <w:t>所在位置</w:t>
            </w:r>
          </w:p>
        </w:tc>
        <w:tc>
          <w:tcPr>
            <w:tcW w:w="2126" w:type="dxa"/>
            <w:shd w:val="clear" w:color="auto" w:fill="auto"/>
            <w:noWrap/>
            <w:vAlign w:val="center"/>
          </w:tcPr>
          <w:p w:rsidR="00980710" w:rsidRPr="00567DC0" w:rsidRDefault="00980710" w:rsidP="005F7D40">
            <w:pPr>
              <w:spacing w:line="300" w:lineRule="exact"/>
              <w:jc w:val="center"/>
              <w:rPr>
                <w:rFonts w:ascii="Times New Roman" w:hAnsi="Times New Roman" w:cs="宋体"/>
                <w:b/>
                <w:bCs/>
                <w:color w:val="000000" w:themeColor="text1"/>
                <w:sz w:val="24"/>
                <w:szCs w:val="24"/>
              </w:rPr>
            </w:pPr>
            <w:r w:rsidRPr="00567DC0">
              <w:rPr>
                <w:rFonts w:ascii="Times New Roman" w:eastAsiaTheme="minorEastAsia" w:hAnsi="Times New Roman" w:cs="宋体" w:hint="eastAsia"/>
                <w:b/>
                <w:bCs/>
                <w:color w:val="000000" w:themeColor="text1"/>
                <w:sz w:val="24"/>
                <w:szCs w:val="24"/>
              </w:rPr>
              <w:t>驿站主题</w:t>
            </w:r>
          </w:p>
        </w:tc>
        <w:tc>
          <w:tcPr>
            <w:tcW w:w="2035" w:type="dxa"/>
            <w:shd w:val="clear" w:color="auto" w:fill="auto"/>
            <w:noWrap/>
            <w:vAlign w:val="center"/>
          </w:tcPr>
          <w:p w:rsidR="00980710" w:rsidRPr="00567DC0" w:rsidRDefault="00980710" w:rsidP="005F7D40">
            <w:pPr>
              <w:spacing w:line="300" w:lineRule="exact"/>
              <w:jc w:val="center"/>
              <w:rPr>
                <w:rFonts w:ascii="Times New Roman" w:hAnsi="Times New Roman" w:cs="宋体"/>
                <w:b/>
                <w:bCs/>
                <w:color w:val="000000" w:themeColor="text1"/>
                <w:sz w:val="24"/>
                <w:szCs w:val="24"/>
              </w:rPr>
            </w:pPr>
            <w:r w:rsidRPr="00567DC0">
              <w:rPr>
                <w:rFonts w:ascii="Times New Roman" w:eastAsiaTheme="minorEastAsia" w:hAnsi="Times New Roman" w:cs="宋体" w:hint="eastAsia"/>
                <w:b/>
                <w:bCs/>
                <w:color w:val="000000" w:themeColor="text1"/>
                <w:sz w:val="24"/>
                <w:szCs w:val="24"/>
              </w:rPr>
              <w:t>周边资源</w:t>
            </w:r>
          </w:p>
        </w:tc>
      </w:tr>
      <w:tr w:rsidR="00980710" w:rsidRPr="00567DC0" w:rsidTr="00902EDF">
        <w:trPr>
          <w:trHeight w:val="20"/>
          <w:jc w:val="center"/>
        </w:trPr>
        <w:tc>
          <w:tcPr>
            <w:tcW w:w="481" w:type="dxa"/>
            <w:vMerge w:val="restart"/>
            <w:shd w:val="clear" w:color="auto" w:fill="auto"/>
            <w:noWrap/>
            <w:vAlign w:val="center"/>
          </w:tcPr>
          <w:p w:rsidR="00980710" w:rsidRPr="00567DC0" w:rsidRDefault="00980710" w:rsidP="005F7D40">
            <w:pPr>
              <w:spacing w:line="300" w:lineRule="exact"/>
              <w:jc w:val="center"/>
              <w:rPr>
                <w:rFonts w:ascii="Times New Roman" w:hAnsi="Times New Roman" w:cs="宋体"/>
                <w:color w:val="000000" w:themeColor="text1"/>
                <w:sz w:val="24"/>
                <w:szCs w:val="24"/>
              </w:rPr>
            </w:pPr>
            <w:r w:rsidRPr="00567DC0">
              <w:rPr>
                <w:rFonts w:ascii="Times New Roman" w:hAnsi="Times New Roman" w:cs="宋体" w:hint="eastAsia"/>
                <w:color w:val="000000" w:themeColor="text1"/>
                <w:sz w:val="24"/>
                <w:szCs w:val="24"/>
              </w:rPr>
              <w:t>海口</w:t>
            </w:r>
            <w:r w:rsidRPr="00567DC0">
              <w:rPr>
                <w:rFonts w:ascii="Times New Roman" w:eastAsiaTheme="minorEastAsia" w:hAnsi="Times New Roman" w:cs="宋体" w:hint="eastAsia"/>
                <w:color w:val="000000" w:themeColor="text1"/>
                <w:sz w:val="24"/>
                <w:szCs w:val="24"/>
              </w:rPr>
              <w:t>市</w:t>
            </w:r>
          </w:p>
        </w:tc>
        <w:tc>
          <w:tcPr>
            <w:tcW w:w="2179" w:type="dxa"/>
            <w:shd w:val="clear" w:color="auto" w:fill="auto"/>
            <w:noWrap/>
            <w:vAlign w:val="center"/>
          </w:tcPr>
          <w:p w:rsidR="00980710" w:rsidRPr="00567DC0" w:rsidRDefault="00980710" w:rsidP="005F7D40">
            <w:pPr>
              <w:spacing w:line="300" w:lineRule="exact"/>
              <w:jc w:val="center"/>
              <w:rPr>
                <w:rFonts w:ascii="Times New Roman" w:hAnsi="Times New Roman" w:cs="宋体"/>
                <w:color w:val="000000" w:themeColor="text1"/>
                <w:sz w:val="24"/>
                <w:szCs w:val="24"/>
              </w:rPr>
            </w:pPr>
            <w:r w:rsidRPr="00567DC0">
              <w:rPr>
                <w:rFonts w:ascii="Times New Roman" w:hAnsi="Times New Roman" w:hint="eastAsia"/>
                <w:color w:val="000000" w:themeColor="text1"/>
                <w:sz w:val="24"/>
                <w:szCs w:val="24"/>
              </w:rPr>
              <w:t>三江叠翠驿站</w:t>
            </w:r>
          </w:p>
        </w:tc>
        <w:tc>
          <w:tcPr>
            <w:tcW w:w="1701" w:type="dxa"/>
            <w:shd w:val="clear" w:color="auto" w:fill="auto"/>
            <w:noWrap/>
            <w:vAlign w:val="center"/>
          </w:tcPr>
          <w:p w:rsidR="00980710" w:rsidRPr="00567DC0" w:rsidRDefault="00980710" w:rsidP="005F7D40">
            <w:pPr>
              <w:spacing w:line="300" w:lineRule="exact"/>
              <w:jc w:val="center"/>
              <w:rPr>
                <w:rFonts w:ascii="Times New Roman" w:hAnsi="Times New Roman" w:cs="宋体"/>
                <w:color w:val="000000" w:themeColor="text1"/>
                <w:sz w:val="24"/>
                <w:szCs w:val="24"/>
              </w:rPr>
            </w:pPr>
            <w:r w:rsidRPr="00567DC0">
              <w:rPr>
                <w:rFonts w:ascii="Times New Roman" w:eastAsiaTheme="minorEastAsia" w:hAnsi="Times New Roman" w:cs="宋体" w:hint="eastAsia"/>
                <w:color w:val="000000" w:themeColor="text1"/>
                <w:sz w:val="24"/>
                <w:szCs w:val="24"/>
              </w:rPr>
              <w:t>清铁路东侧</w:t>
            </w:r>
          </w:p>
        </w:tc>
        <w:tc>
          <w:tcPr>
            <w:tcW w:w="2126" w:type="dxa"/>
            <w:shd w:val="clear" w:color="auto" w:fill="auto"/>
            <w:noWrap/>
            <w:vAlign w:val="center"/>
          </w:tcPr>
          <w:p w:rsidR="00980710" w:rsidRPr="00567DC0" w:rsidRDefault="00980710" w:rsidP="005F7D40">
            <w:pPr>
              <w:spacing w:line="300" w:lineRule="exact"/>
              <w:jc w:val="center"/>
              <w:rPr>
                <w:rFonts w:ascii="Times New Roman" w:hAnsi="Times New Roman" w:cs="宋体"/>
                <w:color w:val="000000" w:themeColor="text1"/>
                <w:sz w:val="24"/>
                <w:szCs w:val="24"/>
              </w:rPr>
            </w:pPr>
            <w:r w:rsidRPr="00567DC0">
              <w:rPr>
                <w:rFonts w:ascii="Times New Roman" w:eastAsiaTheme="minorEastAsia" w:hAnsi="Times New Roman" w:cs="宋体" w:hint="eastAsia"/>
                <w:color w:val="000000" w:themeColor="text1"/>
                <w:sz w:val="24"/>
                <w:szCs w:val="24"/>
              </w:rPr>
              <w:t>南红树湿地、近郊游乐</w:t>
            </w:r>
          </w:p>
        </w:tc>
        <w:tc>
          <w:tcPr>
            <w:tcW w:w="2035" w:type="dxa"/>
            <w:shd w:val="clear" w:color="auto" w:fill="auto"/>
            <w:noWrap/>
            <w:vAlign w:val="center"/>
          </w:tcPr>
          <w:p w:rsidR="00980710" w:rsidRPr="00567DC0" w:rsidRDefault="00980710" w:rsidP="005F7D40">
            <w:pPr>
              <w:spacing w:line="300" w:lineRule="exact"/>
              <w:rPr>
                <w:rFonts w:ascii="Times New Roman" w:hAnsi="Times New Roman" w:cs="宋体"/>
                <w:color w:val="000000" w:themeColor="text1"/>
                <w:sz w:val="24"/>
                <w:szCs w:val="24"/>
              </w:rPr>
            </w:pPr>
            <w:r w:rsidRPr="00567DC0">
              <w:rPr>
                <w:rFonts w:ascii="Times New Roman" w:hAnsi="Times New Roman" w:cs="宋体" w:hint="eastAsia"/>
                <w:color w:val="000000" w:themeColor="text1"/>
                <w:sz w:val="24"/>
                <w:szCs w:val="24"/>
              </w:rPr>
              <w:t>湿地公园</w:t>
            </w:r>
          </w:p>
        </w:tc>
      </w:tr>
      <w:tr w:rsidR="00980710" w:rsidRPr="00567DC0" w:rsidTr="00902EDF">
        <w:trPr>
          <w:trHeight w:val="20"/>
          <w:jc w:val="center"/>
        </w:trPr>
        <w:tc>
          <w:tcPr>
            <w:tcW w:w="481" w:type="dxa"/>
            <w:vMerge/>
            <w:shd w:val="clear" w:color="auto" w:fill="auto"/>
            <w:noWrap/>
            <w:vAlign w:val="center"/>
          </w:tcPr>
          <w:p w:rsidR="00980710" w:rsidRPr="00567DC0" w:rsidRDefault="00980710" w:rsidP="005F7D40">
            <w:pPr>
              <w:spacing w:line="300" w:lineRule="exact"/>
              <w:jc w:val="center"/>
              <w:rPr>
                <w:rFonts w:ascii="Times New Roman" w:hAnsi="Times New Roman" w:cs="宋体"/>
                <w:color w:val="000000" w:themeColor="text1"/>
                <w:sz w:val="24"/>
                <w:szCs w:val="24"/>
              </w:rPr>
            </w:pPr>
          </w:p>
        </w:tc>
        <w:tc>
          <w:tcPr>
            <w:tcW w:w="2179" w:type="dxa"/>
            <w:shd w:val="clear" w:color="auto" w:fill="auto"/>
            <w:noWrap/>
            <w:vAlign w:val="center"/>
          </w:tcPr>
          <w:p w:rsidR="00980710" w:rsidRPr="00567DC0" w:rsidRDefault="00980710" w:rsidP="005F7D40">
            <w:pPr>
              <w:spacing w:line="300" w:lineRule="exact"/>
              <w:jc w:val="center"/>
              <w:rPr>
                <w:rFonts w:ascii="Times New Roman" w:hAnsi="Times New Roman" w:cs="宋体"/>
                <w:color w:val="000000" w:themeColor="text1"/>
                <w:sz w:val="24"/>
                <w:szCs w:val="24"/>
              </w:rPr>
            </w:pPr>
            <w:r w:rsidRPr="00567DC0">
              <w:rPr>
                <w:rFonts w:ascii="Times New Roman" w:hAnsi="Times New Roman" w:hint="eastAsia"/>
                <w:color w:val="000000" w:themeColor="text1"/>
                <w:sz w:val="24"/>
                <w:szCs w:val="24"/>
              </w:rPr>
              <w:t>东港觅古驿站</w:t>
            </w:r>
          </w:p>
        </w:tc>
        <w:tc>
          <w:tcPr>
            <w:tcW w:w="1701" w:type="dxa"/>
            <w:shd w:val="clear" w:color="auto" w:fill="auto"/>
            <w:noWrap/>
            <w:vAlign w:val="center"/>
          </w:tcPr>
          <w:p w:rsidR="00980710" w:rsidRPr="00567DC0" w:rsidRDefault="00980710" w:rsidP="005F7D40">
            <w:pPr>
              <w:spacing w:line="300" w:lineRule="exact"/>
              <w:jc w:val="center"/>
              <w:rPr>
                <w:rFonts w:ascii="Times New Roman" w:hAnsi="Times New Roman" w:cs="宋体"/>
                <w:color w:val="000000" w:themeColor="text1"/>
                <w:sz w:val="24"/>
                <w:szCs w:val="24"/>
              </w:rPr>
            </w:pPr>
            <w:r w:rsidRPr="00567DC0">
              <w:rPr>
                <w:rFonts w:ascii="Times New Roman" w:eastAsiaTheme="minorEastAsia" w:hAnsi="Times New Roman" w:cs="宋体" w:hint="eastAsia"/>
                <w:color w:val="000000" w:themeColor="text1"/>
                <w:sz w:val="24"/>
                <w:szCs w:val="24"/>
              </w:rPr>
              <w:t>崖城镇角头岭仔北侧</w:t>
            </w:r>
          </w:p>
        </w:tc>
        <w:tc>
          <w:tcPr>
            <w:tcW w:w="2126" w:type="dxa"/>
            <w:shd w:val="clear" w:color="auto" w:fill="auto"/>
            <w:noWrap/>
            <w:vAlign w:val="center"/>
          </w:tcPr>
          <w:p w:rsidR="00980710" w:rsidRPr="00567DC0" w:rsidRDefault="00980710" w:rsidP="005F7D40">
            <w:pPr>
              <w:spacing w:line="300" w:lineRule="exact"/>
              <w:jc w:val="center"/>
              <w:rPr>
                <w:rFonts w:ascii="Times New Roman" w:hAnsi="Times New Roman" w:cs="宋体"/>
                <w:color w:val="000000" w:themeColor="text1"/>
                <w:sz w:val="24"/>
                <w:szCs w:val="24"/>
              </w:rPr>
            </w:pPr>
            <w:r w:rsidRPr="00567DC0">
              <w:rPr>
                <w:rFonts w:ascii="Times New Roman" w:eastAsiaTheme="minorEastAsia" w:hAnsi="Times New Roman" w:cs="宋体" w:hint="eastAsia"/>
                <w:color w:val="000000" w:themeColor="text1"/>
                <w:sz w:val="24"/>
                <w:szCs w:val="24"/>
              </w:rPr>
              <w:t>北部起点驿站、智慧公路展示，海底村庄遗迹</w:t>
            </w:r>
          </w:p>
        </w:tc>
        <w:tc>
          <w:tcPr>
            <w:tcW w:w="2035" w:type="dxa"/>
            <w:shd w:val="clear" w:color="auto" w:fill="auto"/>
            <w:noWrap/>
            <w:vAlign w:val="center"/>
          </w:tcPr>
          <w:p w:rsidR="00980710" w:rsidRPr="00567DC0" w:rsidRDefault="00980710" w:rsidP="005F7D40">
            <w:pPr>
              <w:spacing w:line="300" w:lineRule="exact"/>
              <w:rPr>
                <w:rFonts w:ascii="Times New Roman" w:hAnsi="Times New Roman" w:cs="宋体"/>
                <w:color w:val="000000" w:themeColor="text1"/>
                <w:sz w:val="24"/>
                <w:szCs w:val="24"/>
              </w:rPr>
            </w:pPr>
            <w:r w:rsidRPr="00567DC0">
              <w:rPr>
                <w:rFonts w:ascii="Times New Roman" w:hAnsi="Times New Roman" w:cs="宋体" w:hint="eastAsia"/>
                <w:color w:val="000000" w:themeColor="text1"/>
                <w:sz w:val="24"/>
                <w:szCs w:val="24"/>
              </w:rPr>
              <w:t>海底村庄、公路</w:t>
            </w:r>
          </w:p>
        </w:tc>
      </w:tr>
    </w:tbl>
    <w:p w:rsidR="00980710" w:rsidRPr="00A41CE6" w:rsidRDefault="00980710" w:rsidP="0077614A">
      <w:pPr>
        <w:spacing w:line="360" w:lineRule="auto"/>
        <w:ind w:firstLineChars="200" w:firstLine="560"/>
        <w:rPr>
          <w:rFonts w:ascii="Times New Roman" w:hAnsi="Times New Roman"/>
          <w:color w:val="000000" w:themeColor="text1"/>
          <w:sz w:val="28"/>
          <w:szCs w:val="28"/>
        </w:rPr>
      </w:pPr>
      <w:r w:rsidRPr="00A41CE6">
        <w:rPr>
          <w:rFonts w:ascii="Times New Roman" w:hAnsi="Times New Roman" w:hint="eastAsia"/>
          <w:color w:val="000000" w:themeColor="text1"/>
          <w:sz w:val="28"/>
          <w:szCs w:val="28"/>
        </w:rPr>
        <w:lastRenderedPageBreak/>
        <w:t>根据《海南环岛旅游公路驿站建设技术导则》，“驿站建筑应采用被动式技术、高效用能系统、可再生能源供能等，达到超低能耗建筑水平”“全部驿站中应有</w:t>
      </w:r>
      <w:r w:rsidRPr="00A41CE6">
        <w:rPr>
          <w:rFonts w:ascii="Times New Roman" w:hAnsi="Times New Roman"/>
          <w:color w:val="000000" w:themeColor="text1"/>
          <w:sz w:val="28"/>
          <w:szCs w:val="28"/>
        </w:rPr>
        <w:t>30%</w:t>
      </w:r>
      <w:r w:rsidRPr="00A41CE6">
        <w:rPr>
          <w:rFonts w:ascii="Times New Roman" w:hAnsi="Times New Roman" w:hint="eastAsia"/>
          <w:color w:val="000000" w:themeColor="text1"/>
          <w:sz w:val="28"/>
          <w:szCs w:val="28"/>
        </w:rPr>
        <w:t>的单体建筑达到近零能耗建筑水平，并选择典型的建筑进行零能耗实践”，海口市在驿站建设中将两个驿站进行超低能耗的试点示范。</w:t>
      </w:r>
    </w:p>
    <w:p w:rsidR="00980710" w:rsidRPr="00A41CE6" w:rsidRDefault="00980710" w:rsidP="0077614A">
      <w:pPr>
        <w:spacing w:line="360" w:lineRule="auto"/>
        <w:ind w:firstLineChars="200" w:firstLine="560"/>
        <w:rPr>
          <w:rFonts w:ascii="Times New Roman" w:hAnsi="Times New Roman"/>
          <w:color w:val="000000" w:themeColor="text1"/>
          <w:sz w:val="28"/>
          <w:szCs w:val="28"/>
        </w:rPr>
      </w:pPr>
      <w:r w:rsidRPr="00A41CE6">
        <w:rPr>
          <w:rFonts w:ascii="Times New Roman" w:hAnsi="Times New Roman" w:hint="eastAsia"/>
          <w:color w:val="000000" w:themeColor="text1"/>
          <w:sz w:val="28"/>
          <w:szCs w:val="28"/>
        </w:rPr>
        <w:t>江东新区的海口江东新区生态文明及零碳新城规划和设计导则，要求</w:t>
      </w:r>
      <w:r w:rsidRPr="00A41CE6">
        <w:rPr>
          <w:rFonts w:ascii="Times New Roman" w:hAnsi="Times New Roman" w:hint="eastAsia"/>
          <w:color w:val="000000" w:themeColor="text1"/>
          <w:sz w:val="28"/>
          <w:szCs w:val="28"/>
        </w:rPr>
        <w:t>2025</w:t>
      </w:r>
      <w:r w:rsidRPr="00A41CE6">
        <w:rPr>
          <w:rFonts w:ascii="Times New Roman" w:hAnsi="Times New Roman" w:hint="eastAsia"/>
          <w:color w:val="000000" w:themeColor="text1"/>
          <w:sz w:val="28"/>
          <w:szCs w:val="28"/>
        </w:rPr>
        <w:t>年建成低碳新城，具体指标是：高星级绿建</w:t>
      </w:r>
      <w:r w:rsidRPr="00A41CE6">
        <w:rPr>
          <w:rFonts w:ascii="Times New Roman" w:hAnsi="Times New Roman" w:hint="eastAsia"/>
          <w:color w:val="000000" w:themeColor="text1"/>
          <w:sz w:val="28"/>
          <w:szCs w:val="28"/>
        </w:rPr>
        <w:t>1921</w:t>
      </w:r>
      <w:r w:rsidRPr="00A41CE6">
        <w:rPr>
          <w:rFonts w:ascii="Times New Roman" w:hAnsi="Times New Roman" w:hint="eastAsia"/>
          <w:color w:val="000000" w:themeColor="text1"/>
          <w:sz w:val="28"/>
          <w:szCs w:val="28"/>
        </w:rPr>
        <w:t>万平方米、超低能耗、近零能耗建筑</w:t>
      </w:r>
      <w:r w:rsidRPr="00A41CE6">
        <w:rPr>
          <w:rFonts w:ascii="Times New Roman" w:hAnsi="Times New Roman" w:hint="eastAsia"/>
          <w:color w:val="000000" w:themeColor="text1"/>
          <w:sz w:val="28"/>
          <w:szCs w:val="28"/>
        </w:rPr>
        <w:t>642</w:t>
      </w:r>
      <w:r w:rsidRPr="00A41CE6">
        <w:rPr>
          <w:rFonts w:ascii="Times New Roman" w:hAnsi="Times New Roman" w:hint="eastAsia"/>
          <w:color w:val="000000" w:themeColor="text1"/>
          <w:sz w:val="28"/>
          <w:szCs w:val="28"/>
        </w:rPr>
        <w:t>万平方米，降碳</w:t>
      </w:r>
      <w:r w:rsidRPr="00A41CE6">
        <w:rPr>
          <w:rFonts w:ascii="Times New Roman" w:hAnsi="Times New Roman" w:hint="eastAsia"/>
          <w:color w:val="000000" w:themeColor="text1"/>
          <w:sz w:val="28"/>
          <w:szCs w:val="28"/>
        </w:rPr>
        <w:t>24.5</w:t>
      </w:r>
      <w:r w:rsidRPr="00A41CE6">
        <w:rPr>
          <w:rFonts w:ascii="Times New Roman" w:hAnsi="Times New Roman" w:hint="eastAsia"/>
          <w:color w:val="000000" w:themeColor="text1"/>
          <w:sz w:val="28"/>
          <w:szCs w:val="28"/>
        </w:rPr>
        <w:t>万吨。故制定的目标为：</w:t>
      </w:r>
      <w:r w:rsidRPr="00A41CE6">
        <w:rPr>
          <w:rFonts w:ascii="Times New Roman" w:hAnsi="Times New Roman" w:hint="eastAsia"/>
          <w:b/>
          <w:color w:val="000000" w:themeColor="text1"/>
          <w:sz w:val="28"/>
          <w:szCs w:val="28"/>
        </w:rPr>
        <w:t>“建成超低能耗示范项目</w:t>
      </w:r>
      <w:r w:rsidRPr="00A41CE6">
        <w:rPr>
          <w:rFonts w:ascii="Times New Roman" w:hAnsi="Times New Roman"/>
          <w:b/>
          <w:color w:val="000000" w:themeColor="text1"/>
          <w:sz w:val="28"/>
          <w:szCs w:val="28"/>
        </w:rPr>
        <w:t>2</w:t>
      </w:r>
      <w:r w:rsidRPr="00A41CE6">
        <w:rPr>
          <w:rFonts w:ascii="Times New Roman" w:hAnsi="Times New Roman" w:hint="eastAsia"/>
          <w:b/>
          <w:color w:val="000000" w:themeColor="text1"/>
          <w:sz w:val="28"/>
          <w:szCs w:val="28"/>
        </w:rPr>
        <w:t>个。”</w:t>
      </w:r>
    </w:p>
    <w:p w:rsidR="00C93623" w:rsidRPr="00A41CE6" w:rsidRDefault="00C93623">
      <w:pPr>
        <w:spacing w:after="0" w:line="240" w:lineRule="auto"/>
        <w:rPr>
          <w:rFonts w:ascii="Times New Roman" w:hAnsi="Times New Roman"/>
          <w:sz w:val="28"/>
          <w:szCs w:val="28"/>
        </w:rPr>
      </w:pPr>
      <w:r w:rsidRPr="00A41CE6">
        <w:rPr>
          <w:rFonts w:ascii="Times New Roman" w:hAnsi="Times New Roman"/>
          <w:sz w:val="28"/>
          <w:szCs w:val="28"/>
        </w:rPr>
        <w:br w:type="page"/>
      </w:r>
    </w:p>
    <w:p w:rsidR="00980710" w:rsidRPr="00A41CE6" w:rsidRDefault="00980710" w:rsidP="006166C2">
      <w:pPr>
        <w:spacing w:after="0" w:line="360" w:lineRule="auto"/>
        <w:rPr>
          <w:rFonts w:ascii="Times New Roman" w:eastAsia="黑体" w:hAnsi="Times New Roman"/>
          <w:color w:val="000000" w:themeColor="text1"/>
          <w:sz w:val="28"/>
          <w:szCs w:val="28"/>
        </w:rPr>
      </w:pPr>
      <w:r w:rsidRPr="00A41CE6">
        <w:rPr>
          <w:rFonts w:ascii="Times New Roman" w:eastAsia="黑体" w:hAnsi="Times New Roman" w:hint="eastAsia"/>
          <w:color w:val="000000" w:themeColor="text1"/>
          <w:sz w:val="28"/>
          <w:szCs w:val="28"/>
        </w:rPr>
        <w:lastRenderedPageBreak/>
        <w:t>附件</w:t>
      </w:r>
      <w:r w:rsidRPr="00A41CE6">
        <w:rPr>
          <w:rFonts w:ascii="Times New Roman" w:eastAsia="黑体" w:hAnsi="Times New Roman" w:hint="eastAsia"/>
          <w:color w:val="000000" w:themeColor="text1"/>
          <w:sz w:val="28"/>
          <w:szCs w:val="28"/>
        </w:rPr>
        <w:t>8</w:t>
      </w:r>
      <w:r w:rsidR="00C93623" w:rsidRPr="00A41CE6">
        <w:rPr>
          <w:rFonts w:ascii="Times New Roman" w:eastAsia="黑体" w:hAnsi="Times New Roman" w:hint="eastAsia"/>
          <w:color w:val="000000" w:themeColor="text1"/>
          <w:sz w:val="28"/>
          <w:szCs w:val="28"/>
        </w:rPr>
        <w:t>：</w:t>
      </w:r>
      <w:r w:rsidRPr="00A41CE6">
        <w:rPr>
          <w:rFonts w:ascii="Times New Roman" w:eastAsia="黑体" w:hAnsi="Times New Roman" w:hint="eastAsia"/>
          <w:color w:val="000000" w:themeColor="text1"/>
          <w:sz w:val="28"/>
          <w:szCs w:val="28"/>
        </w:rPr>
        <w:t>太阳能光电光热应用目标估算</w:t>
      </w:r>
    </w:p>
    <w:p w:rsidR="00980710" w:rsidRPr="00A41CE6" w:rsidRDefault="00980710" w:rsidP="0077614A">
      <w:pPr>
        <w:spacing w:line="360" w:lineRule="auto"/>
        <w:ind w:firstLineChars="150" w:firstLine="420"/>
        <w:rPr>
          <w:rFonts w:ascii="Times New Roman" w:hAnsi="Times New Roman"/>
          <w:color w:val="000000" w:themeColor="text1"/>
          <w:sz w:val="28"/>
          <w:szCs w:val="28"/>
        </w:rPr>
      </w:pPr>
      <w:r w:rsidRPr="00A41CE6">
        <w:rPr>
          <w:rFonts w:ascii="Times New Roman" w:hAnsi="Times New Roman" w:hint="eastAsia"/>
          <w:color w:val="000000" w:themeColor="text1"/>
          <w:sz w:val="28"/>
          <w:szCs w:val="28"/>
        </w:rPr>
        <w:t>根据海口年鉴（</w:t>
      </w:r>
      <w:r w:rsidRPr="00A41CE6">
        <w:rPr>
          <w:rFonts w:ascii="Times New Roman" w:hAnsi="Times New Roman" w:hint="eastAsia"/>
          <w:color w:val="000000" w:themeColor="text1"/>
          <w:sz w:val="28"/>
          <w:szCs w:val="28"/>
        </w:rPr>
        <w:t>2021</w:t>
      </w:r>
      <w:r w:rsidRPr="00A41CE6">
        <w:rPr>
          <w:rFonts w:ascii="Times New Roman" w:hAnsi="Times New Roman" w:hint="eastAsia"/>
          <w:color w:val="000000" w:themeColor="text1"/>
          <w:sz w:val="28"/>
          <w:szCs w:val="28"/>
        </w:rPr>
        <w:t>年与</w:t>
      </w:r>
      <w:r w:rsidRPr="00A41CE6">
        <w:rPr>
          <w:rFonts w:ascii="Times New Roman" w:hAnsi="Times New Roman" w:hint="eastAsia"/>
          <w:color w:val="000000" w:themeColor="text1"/>
          <w:sz w:val="28"/>
          <w:szCs w:val="28"/>
        </w:rPr>
        <w:t>2022</w:t>
      </w:r>
      <w:r w:rsidRPr="00A41CE6">
        <w:rPr>
          <w:rFonts w:ascii="Times New Roman" w:hAnsi="Times New Roman" w:hint="eastAsia"/>
          <w:color w:val="000000" w:themeColor="text1"/>
          <w:sz w:val="28"/>
          <w:szCs w:val="28"/>
        </w:rPr>
        <w:t>年），</w:t>
      </w:r>
      <w:r w:rsidRPr="00A41CE6">
        <w:rPr>
          <w:rFonts w:ascii="Times New Roman" w:hAnsi="Times New Roman" w:hint="eastAsia"/>
          <w:color w:val="000000" w:themeColor="text1"/>
          <w:sz w:val="28"/>
          <w:szCs w:val="28"/>
        </w:rPr>
        <w:t>2017- 2020</w:t>
      </w:r>
      <w:r w:rsidRPr="00A41CE6">
        <w:rPr>
          <w:rFonts w:ascii="Times New Roman" w:hAnsi="Times New Roman" w:hint="eastAsia"/>
          <w:color w:val="000000" w:themeColor="text1"/>
          <w:sz w:val="28"/>
          <w:szCs w:val="28"/>
        </w:rPr>
        <w:t>年，全市报建的太阳能热水系统建筑应用项目</w:t>
      </w:r>
      <w:r w:rsidRPr="00A41CE6">
        <w:rPr>
          <w:rFonts w:ascii="Times New Roman" w:hAnsi="Times New Roman" w:hint="eastAsia"/>
          <w:color w:val="000000" w:themeColor="text1"/>
          <w:sz w:val="28"/>
          <w:szCs w:val="28"/>
        </w:rPr>
        <w:t>154</w:t>
      </w:r>
      <w:r w:rsidRPr="00A41CE6">
        <w:rPr>
          <w:rFonts w:ascii="Times New Roman" w:hAnsi="Times New Roman" w:hint="eastAsia"/>
          <w:color w:val="000000" w:themeColor="text1"/>
          <w:sz w:val="28"/>
          <w:szCs w:val="28"/>
        </w:rPr>
        <w:t>个，总建筑面积</w:t>
      </w:r>
      <w:r w:rsidRPr="00A41CE6">
        <w:rPr>
          <w:rFonts w:ascii="Times New Roman" w:hAnsi="Times New Roman" w:hint="eastAsia"/>
          <w:color w:val="000000" w:themeColor="text1"/>
          <w:sz w:val="28"/>
          <w:szCs w:val="28"/>
        </w:rPr>
        <w:t>604</w:t>
      </w:r>
      <w:r w:rsidRPr="00A41CE6">
        <w:rPr>
          <w:rFonts w:ascii="Times New Roman" w:hAnsi="Times New Roman" w:hint="eastAsia"/>
          <w:color w:val="000000" w:themeColor="text1"/>
          <w:sz w:val="28"/>
          <w:szCs w:val="28"/>
        </w:rPr>
        <w:t>万平方米，竣工太阳能热水系统建筑应用面积</w:t>
      </w:r>
      <w:r w:rsidRPr="00A41CE6">
        <w:rPr>
          <w:rFonts w:ascii="Times New Roman" w:hAnsi="Times New Roman" w:hint="eastAsia"/>
          <w:color w:val="000000" w:themeColor="text1"/>
          <w:sz w:val="28"/>
          <w:szCs w:val="28"/>
        </w:rPr>
        <w:t>355</w:t>
      </w:r>
      <w:r w:rsidRPr="00A41CE6">
        <w:rPr>
          <w:rFonts w:ascii="Times New Roman" w:hAnsi="Times New Roman" w:hint="eastAsia"/>
          <w:color w:val="000000" w:themeColor="text1"/>
          <w:sz w:val="28"/>
          <w:szCs w:val="28"/>
        </w:rPr>
        <w:t>万平方米。</w:t>
      </w:r>
      <w:r w:rsidRPr="00A41CE6">
        <w:rPr>
          <w:rFonts w:ascii="Times New Roman" w:hAnsi="Times New Roman" w:hint="eastAsia"/>
          <w:color w:val="000000" w:themeColor="text1"/>
          <w:sz w:val="28"/>
          <w:szCs w:val="28"/>
        </w:rPr>
        <w:t>2021</w:t>
      </w:r>
      <w:r w:rsidRPr="00A41CE6">
        <w:rPr>
          <w:rFonts w:ascii="Times New Roman" w:hAnsi="Times New Roman" w:hint="eastAsia"/>
          <w:color w:val="000000" w:themeColor="text1"/>
          <w:sz w:val="28"/>
          <w:szCs w:val="28"/>
        </w:rPr>
        <w:t>年全年全市竣工验收的房屋建筑中可再生能源</w:t>
      </w:r>
      <w:r w:rsidRPr="00A41CE6">
        <w:rPr>
          <w:rFonts w:ascii="Times New Roman" w:hAnsi="Times New Roman" w:hint="eastAsia"/>
          <w:color w:val="000000" w:themeColor="text1"/>
          <w:sz w:val="28"/>
          <w:szCs w:val="28"/>
        </w:rPr>
        <w:t>(</w:t>
      </w:r>
      <w:r w:rsidRPr="00A41CE6">
        <w:rPr>
          <w:rFonts w:ascii="Times New Roman" w:hAnsi="Times New Roman" w:hint="eastAsia"/>
          <w:color w:val="000000" w:themeColor="text1"/>
          <w:sz w:val="28"/>
          <w:szCs w:val="28"/>
        </w:rPr>
        <w:t>包含太阳能</w:t>
      </w:r>
      <w:r w:rsidRPr="00A41CE6">
        <w:rPr>
          <w:rFonts w:ascii="Times New Roman" w:hAnsi="Times New Roman" w:hint="eastAsia"/>
          <w:color w:val="000000" w:themeColor="text1"/>
          <w:sz w:val="28"/>
          <w:szCs w:val="28"/>
        </w:rPr>
        <w:t>)</w:t>
      </w:r>
      <w:r w:rsidRPr="00A41CE6">
        <w:rPr>
          <w:rFonts w:ascii="Times New Roman" w:hAnsi="Times New Roman" w:hint="eastAsia"/>
          <w:color w:val="000000" w:themeColor="text1"/>
          <w:sz w:val="28"/>
          <w:szCs w:val="28"/>
        </w:rPr>
        <w:t>建筑应用面积</w:t>
      </w:r>
      <w:r w:rsidRPr="00A41CE6">
        <w:rPr>
          <w:rFonts w:ascii="Times New Roman" w:hAnsi="Times New Roman" w:hint="eastAsia"/>
          <w:color w:val="000000" w:themeColor="text1"/>
          <w:sz w:val="28"/>
          <w:szCs w:val="28"/>
        </w:rPr>
        <w:t>120.01</w:t>
      </w:r>
      <w:r w:rsidRPr="00A41CE6">
        <w:rPr>
          <w:rFonts w:ascii="Times New Roman" w:hAnsi="Times New Roman" w:hint="eastAsia"/>
          <w:color w:val="000000" w:themeColor="text1"/>
          <w:sz w:val="28"/>
          <w:szCs w:val="28"/>
        </w:rPr>
        <w:t>万平方米，太阳能建筑应用集热板</w:t>
      </w:r>
      <w:r w:rsidRPr="00A41CE6">
        <w:rPr>
          <w:rFonts w:ascii="Times New Roman" w:hAnsi="Times New Roman" w:hint="eastAsia"/>
          <w:color w:val="000000" w:themeColor="text1"/>
          <w:sz w:val="28"/>
          <w:szCs w:val="28"/>
        </w:rPr>
        <w:t>11.74</w:t>
      </w:r>
      <w:r w:rsidRPr="00A41CE6">
        <w:rPr>
          <w:rFonts w:ascii="Times New Roman" w:hAnsi="Times New Roman" w:hint="eastAsia"/>
          <w:color w:val="000000" w:themeColor="text1"/>
          <w:sz w:val="28"/>
          <w:szCs w:val="28"/>
        </w:rPr>
        <w:t>万平方米。下一步推进光伏和光热相结合的太阳能利用方式，按照</w:t>
      </w:r>
      <w:r w:rsidRPr="00A41CE6">
        <w:rPr>
          <w:rFonts w:ascii="Times New Roman" w:hAnsi="Times New Roman" w:hint="eastAsia"/>
          <w:color w:val="000000" w:themeColor="text1"/>
          <w:sz w:val="28"/>
          <w:szCs w:val="28"/>
        </w:rPr>
        <w:t>2021</w:t>
      </w:r>
      <w:r w:rsidRPr="00A41CE6">
        <w:rPr>
          <w:rFonts w:ascii="Times New Roman" w:hAnsi="Times New Roman" w:hint="eastAsia"/>
          <w:color w:val="000000" w:themeColor="text1"/>
          <w:sz w:val="28"/>
          <w:szCs w:val="28"/>
        </w:rPr>
        <w:t>年的发展势头，截止到</w:t>
      </w:r>
      <w:r w:rsidRPr="00A41CE6">
        <w:rPr>
          <w:rFonts w:ascii="Times New Roman" w:hAnsi="Times New Roman" w:hint="eastAsia"/>
          <w:color w:val="000000" w:themeColor="text1"/>
          <w:sz w:val="28"/>
          <w:szCs w:val="28"/>
        </w:rPr>
        <w:t>2025</w:t>
      </w:r>
      <w:r w:rsidRPr="00A41CE6">
        <w:rPr>
          <w:rFonts w:ascii="Times New Roman" w:hAnsi="Times New Roman" w:hint="eastAsia"/>
          <w:color w:val="000000" w:themeColor="text1"/>
          <w:sz w:val="28"/>
          <w:szCs w:val="28"/>
        </w:rPr>
        <w:t>年太阳能建筑应用集热板将建设</w:t>
      </w:r>
      <w:r w:rsidRPr="00A41CE6">
        <w:rPr>
          <w:rFonts w:ascii="Times New Roman" w:hAnsi="Times New Roman" w:hint="eastAsia"/>
          <w:color w:val="000000" w:themeColor="text1"/>
          <w:sz w:val="28"/>
          <w:szCs w:val="28"/>
        </w:rPr>
        <w:t>58.7</w:t>
      </w:r>
      <w:r w:rsidRPr="00A41CE6">
        <w:rPr>
          <w:rFonts w:ascii="Times New Roman" w:hAnsi="Times New Roman" w:hint="eastAsia"/>
          <w:color w:val="000000" w:themeColor="text1"/>
          <w:sz w:val="28"/>
          <w:szCs w:val="28"/>
        </w:rPr>
        <w:t>万平方米。</w:t>
      </w:r>
    </w:p>
    <w:p w:rsidR="00980710" w:rsidRPr="00A41CE6" w:rsidRDefault="00980710" w:rsidP="0077614A">
      <w:pPr>
        <w:spacing w:line="360" w:lineRule="auto"/>
        <w:ind w:firstLineChars="150" w:firstLine="420"/>
        <w:rPr>
          <w:rFonts w:ascii="Times New Roman" w:hAnsi="Times New Roman"/>
          <w:color w:val="000000" w:themeColor="text1"/>
          <w:sz w:val="28"/>
          <w:szCs w:val="28"/>
        </w:rPr>
      </w:pPr>
      <w:r w:rsidRPr="00A41CE6">
        <w:rPr>
          <w:rFonts w:ascii="Times New Roman" w:hAnsi="Times New Roman" w:hint="eastAsia"/>
          <w:color w:val="000000" w:themeColor="text1"/>
          <w:sz w:val="28"/>
          <w:szCs w:val="28"/>
        </w:rPr>
        <w:t>江东新区的海口江东新区生态文明及零碳新城规划和设计导则，要求</w:t>
      </w:r>
      <w:r w:rsidRPr="00A41CE6">
        <w:rPr>
          <w:rFonts w:ascii="Times New Roman" w:hAnsi="Times New Roman" w:hint="eastAsia"/>
          <w:color w:val="000000" w:themeColor="text1"/>
          <w:sz w:val="28"/>
          <w:szCs w:val="28"/>
        </w:rPr>
        <w:t>2025</w:t>
      </w:r>
      <w:r w:rsidRPr="00A41CE6">
        <w:rPr>
          <w:rFonts w:ascii="Times New Roman" w:hAnsi="Times New Roman" w:hint="eastAsia"/>
          <w:color w:val="000000" w:themeColor="text1"/>
          <w:sz w:val="28"/>
          <w:szCs w:val="28"/>
        </w:rPr>
        <w:t>年建成低碳新城，具体指标是：屋顶光伏</w:t>
      </w:r>
      <w:r w:rsidRPr="00A41CE6">
        <w:rPr>
          <w:rFonts w:ascii="Times New Roman" w:hAnsi="Times New Roman" w:hint="eastAsia"/>
          <w:color w:val="000000" w:themeColor="text1"/>
          <w:sz w:val="28"/>
          <w:szCs w:val="28"/>
        </w:rPr>
        <w:t>410</w:t>
      </w:r>
      <w:r w:rsidRPr="00A41CE6">
        <w:rPr>
          <w:rFonts w:ascii="Times New Roman" w:hAnsi="Times New Roman" w:hint="eastAsia"/>
          <w:color w:val="000000" w:themeColor="text1"/>
          <w:sz w:val="28"/>
          <w:szCs w:val="28"/>
        </w:rPr>
        <w:t>万平方米</w:t>
      </w:r>
      <w:r w:rsidRPr="00A41CE6">
        <w:rPr>
          <w:rFonts w:ascii="Times New Roman" w:hAnsi="Times New Roman" w:hint="eastAsia"/>
          <w:color w:val="000000" w:themeColor="text1"/>
          <w:sz w:val="28"/>
          <w:szCs w:val="28"/>
        </w:rPr>
        <w:t>84</w:t>
      </w:r>
      <w:r w:rsidRPr="00A41CE6">
        <w:rPr>
          <w:rFonts w:ascii="Times New Roman" w:hAnsi="Times New Roman" w:hint="eastAsia"/>
          <w:color w:val="000000" w:themeColor="text1"/>
          <w:sz w:val="28"/>
          <w:szCs w:val="28"/>
        </w:rPr>
        <w:t>兆瓦，降碳</w:t>
      </w:r>
      <w:r w:rsidRPr="00A41CE6">
        <w:rPr>
          <w:rFonts w:ascii="Times New Roman" w:hAnsi="Times New Roman" w:hint="eastAsia"/>
          <w:color w:val="000000" w:themeColor="text1"/>
          <w:sz w:val="28"/>
          <w:szCs w:val="28"/>
        </w:rPr>
        <w:t>47.1</w:t>
      </w:r>
      <w:r w:rsidRPr="00A41CE6">
        <w:rPr>
          <w:rFonts w:ascii="Times New Roman" w:hAnsi="Times New Roman" w:hint="eastAsia"/>
          <w:color w:val="000000" w:themeColor="text1"/>
          <w:sz w:val="28"/>
          <w:szCs w:val="28"/>
        </w:rPr>
        <w:t>万吨。根据相关光伏应用案例，万宁第二中学科技楼屋顶，屋面面积约</w:t>
      </w:r>
      <w:r w:rsidRPr="00A41CE6">
        <w:rPr>
          <w:rFonts w:ascii="Times New Roman" w:hAnsi="Times New Roman"/>
          <w:color w:val="000000" w:themeColor="text1"/>
          <w:sz w:val="28"/>
          <w:szCs w:val="28"/>
        </w:rPr>
        <w:t>691</w:t>
      </w:r>
      <w:r w:rsidRPr="00A41CE6">
        <w:rPr>
          <w:rFonts w:ascii="Times New Roman" w:hAnsi="Times New Roman" w:hint="eastAsia"/>
          <w:color w:val="000000" w:themeColor="text1"/>
          <w:sz w:val="28"/>
          <w:szCs w:val="28"/>
        </w:rPr>
        <w:t>平方米，光伏组件</w:t>
      </w:r>
      <w:r w:rsidRPr="00A41CE6">
        <w:rPr>
          <w:rFonts w:ascii="Times New Roman" w:hAnsi="Times New Roman"/>
          <w:color w:val="000000" w:themeColor="text1"/>
          <w:sz w:val="28"/>
          <w:szCs w:val="28"/>
        </w:rPr>
        <w:t>106</w:t>
      </w:r>
      <w:r w:rsidRPr="00A41CE6">
        <w:rPr>
          <w:rFonts w:ascii="Times New Roman" w:hAnsi="Times New Roman" w:hint="eastAsia"/>
          <w:color w:val="000000" w:themeColor="text1"/>
          <w:sz w:val="28"/>
          <w:szCs w:val="28"/>
        </w:rPr>
        <w:t>块，装机容量</w:t>
      </w:r>
      <w:r w:rsidRPr="00A41CE6">
        <w:rPr>
          <w:rFonts w:ascii="Times New Roman" w:hAnsi="Times New Roman"/>
          <w:color w:val="000000" w:themeColor="text1"/>
          <w:sz w:val="28"/>
          <w:szCs w:val="28"/>
        </w:rPr>
        <w:t>57.24</w:t>
      </w:r>
      <w:r w:rsidRPr="00A41CE6">
        <w:rPr>
          <w:rFonts w:ascii="Times New Roman" w:hAnsi="Times New Roman" w:hint="eastAsia"/>
          <w:color w:val="000000" w:themeColor="text1"/>
          <w:sz w:val="28"/>
          <w:szCs w:val="28"/>
        </w:rPr>
        <w:t>千万，折算得出每千瓦装机容量对应的屋面面积约为</w:t>
      </w:r>
      <w:r w:rsidRPr="00A41CE6">
        <w:rPr>
          <w:rFonts w:ascii="Times New Roman" w:hAnsi="Times New Roman"/>
          <w:color w:val="000000" w:themeColor="text1"/>
          <w:sz w:val="28"/>
          <w:szCs w:val="28"/>
        </w:rPr>
        <w:t>12.07</w:t>
      </w:r>
      <w:r w:rsidRPr="00A41CE6">
        <w:rPr>
          <w:rFonts w:ascii="Times New Roman" w:hAnsi="Times New Roman" w:hint="eastAsia"/>
          <w:color w:val="000000" w:themeColor="text1"/>
          <w:sz w:val="28"/>
          <w:szCs w:val="28"/>
        </w:rPr>
        <w:t>平方米，那么太阳能光电或光热系统的建筑应用屋面面积大概在</w:t>
      </w:r>
      <w:r w:rsidRPr="00A41CE6">
        <w:rPr>
          <w:rFonts w:ascii="Times New Roman" w:hAnsi="Times New Roman" w:hint="eastAsia"/>
          <w:color w:val="000000" w:themeColor="text1"/>
          <w:sz w:val="28"/>
          <w:szCs w:val="28"/>
        </w:rPr>
        <w:t>101</w:t>
      </w:r>
      <w:r w:rsidRPr="00A41CE6">
        <w:rPr>
          <w:rFonts w:ascii="Times New Roman" w:hAnsi="Times New Roman" w:hint="eastAsia"/>
          <w:color w:val="000000" w:themeColor="text1"/>
          <w:sz w:val="28"/>
          <w:szCs w:val="28"/>
        </w:rPr>
        <w:t>万平方米。所以定的总体目标为：</w:t>
      </w:r>
      <w:r w:rsidRPr="00567DC0">
        <w:rPr>
          <w:rFonts w:ascii="Times New Roman" w:hAnsi="Times New Roman" w:hint="eastAsia"/>
          <w:color w:val="000000" w:themeColor="text1"/>
          <w:sz w:val="28"/>
          <w:szCs w:val="28"/>
        </w:rPr>
        <w:t>“</w:t>
      </w:r>
      <w:r w:rsidRPr="00567DC0">
        <w:rPr>
          <w:rFonts w:ascii="Times New Roman" w:hAnsi="Times New Roman"/>
          <w:color w:val="000000" w:themeColor="text1"/>
          <w:sz w:val="28"/>
          <w:szCs w:val="28"/>
        </w:rPr>
        <w:t>2021~2025</w:t>
      </w:r>
      <w:r w:rsidRPr="00567DC0">
        <w:rPr>
          <w:rFonts w:ascii="Times New Roman" w:hAnsi="Times New Roman" w:hint="eastAsia"/>
          <w:color w:val="000000" w:themeColor="text1"/>
          <w:sz w:val="28"/>
          <w:szCs w:val="28"/>
        </w:rPr>
        <w:t>年期间太阳能光电或光热系统的建筑应用屋面面积不少于</w:t>
      </w:r>
      <w:r w:rsidRPr="00567DC0">
        <w:rPr>
          <w:rFonts w:ascii="Times New Roman" w:hAnsi="Times New Roman"/>
          <w:color w:val="000000" w:themeColor="text1"/>
          <w:sz w:val="28"/>
          <w:szCs w:val="28"/>
        </w:rPr>
        <w:t>75</w:t>
      </w:r>
      <w:r w:rsidRPr="00567DC0">
        <w:rPr>
          <w:rFonts w:ascii="Times New Roman" w:hAnsi="Times New Roman" w:hint="eastAsia"/>
          <w:color w:val="000000" w:themeColor="text1"/>
          <w:sz w:val="28"/>
          <w:szCs w:val="28"/>
        </w:rPr>
        <w:t>万平方米。”</w:t>
      </w:r>
    </w:p>
    <w:p w:rsidR="00C93623" w:rsidRPr="00A41CE6" w:rsidRDefault="00C93623">
      <w:pPr>
        <w:spacing w:after="0" w:line="240" w:lineRule="auto"/>
        <w:rPr>
          <w:rFonts w:ascii="Times New Roman" w:hAnsi="Times New Roman"/>
          <w:sz w:val="28"/>
          <w:szCs w:val="28"/>
        </w:rPr>
      </w:pPr>
      <w:r w:rsidRPr="00A41CE6">
        <w:rPr>
          <w:rFonts w:ascii="Times New Roman" w:hAnsi="Times New Roman"/>
          <w:sz w:val="28"/>
          <w:szCs w:val="28"/>
        </w:rPr>
        <w:br w:type="page"/>
      </w:r>
    </w:p>
    <w:p w:rsidR="00980710" w:rsidRPr="00A41CE6" w:rsidRDefault="00980710" w:rsidP="006166C2">
      <w:pPr>
        <w:spacing w:after="0" w:line="360" w:lineRule="auto"/>
        <w:rPr>
          <w:rFonts w:ascii="Times New Roman" w:eastAsia="黑体" w:hAnsi="Times New Roman"/>
          <w:color w:val="000000" w:themeColor="text1"/>
          <w:sz w:val="28"/>
          <w:szCs w:val="28"/>
        </w:rPr>
      </w:pPr>
      <w:r w:rsidRPr="00A41CE6">
        <w:rPr>
          <w:rFonts w:ascii="Times New Roman" w:eastAsia="黑体" w:hAnsi="Times New Roman" w:hint="eastAsia"/>
          <w:color w:val="000000" w:themeColor="text1"/>
          <w:sz w:val="28"/>
          <w:szCs w:val="28"/>
        </w:rPr>
        <w:lastRenderedPageBreak/>
        <w:t>附件</w:t>
      </w:r>
      <w:r w:rsidRPr="00A41CE6">
        <w:rPr>
          <w:rFonts w:ascii="Times New Roman" w:eastAsia="黑体" w:hAnsi="Times New Roman" w:hint="eastAsia"/>
          <w:color w:val="000000" w:themeColor="text1"/>
          <w:sz w:val="28"/>
          <w:szCs w:val="28"/>
        </w:rPr>
        <w:t>9</w:t>
      </w:r>
      <w:r w:rsidR="00C93623" w:rsidRPr="00A41CE6">
        <w:rPr>
          <w:rFonts w:ascii="Times New Roman" w:eastAsia="黑体" w:hAnsi="Times New Roman" w:hint="eastAsia"/>
          <w:color w:val="000000" w:themeColor="text1"/>
          <w:sz w:val="28"/>
          <w:szCs w:val="28"/>
        </w:rPr>
        <w:t>：</w:t>
      </w:r>
      <w:r w:rsidRPr="00A41CE6">
        <w:rPr>
          <w:rFonts w:ascii="Times New Roman" w:eastAsia="黑体" w:hAnsi="Times New Roman" w:hint="eastAsia"/>
          <w:color w:val="000000" w:themeColor="text1"/>
          <w:sz w:val="28"/>
          <w:szCs w:val="28"/>
        </w:rPr>
        <w:t>既有建筑节能改造面积估算</w:t>
      </w:r>
    </w:p>
    <w:p w:rsidR="00980710" w:rsidRPr="00A41CE6" w:rsidRDefault="00980710" w:rsidP="0077614A">
      <w:pPr>
        <w:spacing w:line="360" w:lineRule="auto"/>
        <w:ind w:firstLineChars="150" w:firstLine="420"/>
        <w:rPr>
          <w:rFonts w:ascii="Times New Roman" w:hAnsi="Times New Roman"/>
          <w:color w:val="000000" w:themeColor="text1"/>
          <w:sz w:val="28"/>
          <w:szCs w:val="28"/>
        </w:rPr>
      </w:pPr>
      <w:r w:rsidRPr="00A41CE6">
        <w:rPr>
          <w:rFonts w:ascii="Times New Roman" w:hAnsi="Times New Roman" w:hint="eastAsia"/>
          <w:color w:val="000000" w:themeColor="text1"/>
          <w:sz w:val="28"/>
          <w:szCs w:val="28"/>
        </w:rPr>
        <w:t>既有建筑节能改造包含既有居住建筑和公共建筑的节能改造。既有居住建筑绿色改造与城市更新、老旧小区改造、海绵城市建设等工作有机结合。既有公共建筑节能绿色改造范围，指大型公共建筑节能监管和高耗能建筑节能改造工作。根据海南省住建厅及海口市住建局相关数据，十三五期间海南省新增建筑面积约</w:t>
      </w:r>
      <w:r w:rsidRPr="00A41CE6">
        <w:rPr>
          <w:rFonts w:ascii="Times New Roman" w:hAnsi="Times New Roman" w:hint="eastAsia"/>
          <w:sz w:val="28"/>
          <w:szCs w:val="28"/>
        </w:rPr>
        <w:t>为</w:t>
      </w:r>
      <w:r w:rsidRPr="00A41CE6">
        <w:rPr>
          <w:rFonts w:ascii="Times New Roman" w:hAnsi="Times New Roman"/>
          <w:sz w:val="28"/>
          <w:szCs w:val="28"/>
        </w:rPr>
        <w:t>15934.58</w:t>
      </w:r>
      <w:r w:rsidRPr="00A41CE6">
        <w:rPr>
          <w:rFonts w:ascii="Times New Roman" w:hAnsi="Times New Roman" w:hint="eastAsia"/>
          <w:sz w:val="28"/>
          <w:szCs w:val="28"/>
        </w:rPr>
        <w:t>平方米，海口市总建筑面积</w:t>
      </w:r>
      <w:r w:rsidRPr="00A41CE6">
        <w:rPr>
          <w:rFonts w:ascii="Times New Roman" w:hAnsi="Times New Roman" w:hint="eastAsia"/>
          <w:sz w:val="28"/>
          <w:szCs w:val="28"/>
        </w:rPr>
        <w:t xml:space="preserve">1484 </w:t>
      </w:r>
      <w:r w:rsidRPr="00A41CE6">
        <w:rPr>
          <w:rFonts w:ascii="Times New Roman" w:hAnsi="Times New Roman" w:hint="eastAsia"/>
          <w:sz w:val="28"/>
          <w:szCs w:val="28"/>
        </w:rPr>
        <w:t>万平方米（源于海口市年鉴</w:t>
      </w:r>
      <w:r w:rsidRPr="00A41CE6">
        <w:rPr>
          <w:rFonts w:ascii="Times New Roman" w:hAnsi="Times New Roman" w:hint="eastAsia"/>
          <w:sz w:val="28"/>
          <w:szCs w:val="28"/>
        </w:rPr>
        <w:t>2021</w:t>
      </w:r>
      <w:r w:rsidRPr="00A41CE6">
        <w:rPr>
          <w:rFonts w:ascii="Times New Roman" w:hAnsi="Times New Roman" w:hint="eastAsia"/>
          <w:sz w:val="28"/>
          <w:szCs w:val="28"/>
        </w:rPr>
        <w:t>年），约占全省的比例为</w:t>
      </w:r>
      <w:r w:rsidRPr="00A41CE6">
        <w:rPr>
          <w:rFonts w:ascii="Times New Roman" w:hAnsi="Times New Roman" w:hint="eastAsia"/>
          <w:sz w:val="28"/>
          <w:szCs w:val="28"/>
        </w:rPr>
        <w:t>9.31</w:t>
      </w:r>
      <w:r w:rsidRPr="00A41CE6">
        <w:rPr>
          <w:rFonts w:ascii="Times New Roman" w:hAnsi="Times New Roman"/>
          <w:sz w:val="28"/>
          <w:szCs w:val="28"/>
        </w:rPr>
        <w:t>%</w:t>
      </w:r>
      <w:r w:rsidRPr="00A41CE6">
        <w:rPr>
          <w:rFonts w:ascii="Times New Roman" w:hAnsi="Times New Roman" w:hint="eastAsia"/>
          <w:sz w:val="28"/>
          <w:szCs w:val="28"/>
        </w:rPr>
        <w:t>；根据</w:t>
      </w:r>
      <w:r w:rsidRPr="00A41CE6">
        <w:rPr>
          <w:rFonts w:ascii="Times New Roman" w:eastAsiaTheme="minorEastAsia" w:hAnsi="Times New Roman" w:hint="eastAsia"/>
          <w:sz w:val="28"/>
          <w:szCs w:val="28"/>
        </w:rPr>
        <w:t>《</w:t>
      </w:r>
      <w:r w:rsidRPr="00A41CE6">
        <w:rPr>
          <w:rFonts w:ascii="Times New Roman" w:eastAsiaTheme="minorEastAsia" w:hAnsi="Times New Roman" w:cs="Times New Roman" w:hint="eastAsia"/>
          <w:sz w:val="28"/>
          <w:szCs w:val="28"/>
        </w:rPr>
        <w:t>海南省绿色建筑（装配式建筑）“十四五”规划（</w:t>
      </w:r>
      <w:r w:rsidRPr="00A41CE6">
        <w:rPr>
          <w:rFonts w:ascii="Times New Roman" w:eastAsiaTheme="minorEastAsia" w:hAnsi="Times New Roman" w:cs="Times New Roman"/>
          <w:sz w:val="28"/>
          <w:szCs w:val="28"/>
        </w:rPr>
        <w:t>2021-2025</w:t>
      </w:r>
      <w:r w:rsidRPr="00A41CE6">
        <w:rPr>
          <w:rFonts w:ascii="Times New Roman" w:eastAsiaTheme="minorEastAsia" w:hAnsi="Times New Roman" w:cs="Times New Roman" w:hint="eastAsia"/>
          <w:sz w:val="28"/>
          <w:szCs w:val="28"/>
        </w:rPr>
        <w:t>）</w:t>
      </w:r>
      <w:r w:rsidRPr="00A41CE6">
        <w:rPr>
          <w:rFonts w:ascii="Times New Roman" w:eastAsiaTheme="minorEastAsia" w:hAnsi="Times New Roman" w:hint="eastAsia"/>
          <w:sz w:val="28"/>
          <w:szCs w:val="28"/>
        </w:rPr>
        <w:t>》</w:t>
      </w:r>
      <w:r w:rsidRPr="00A41CE6">
        <w:rPr>
          <w:rFonts w:ascii="Times New Roman" w:hAnsi="Times New Roman" w:hint="eastAsia"/>
          <w:sz w:val="28"/>
          <w:szCs w:val="28"/>
        </w:rPr>
        <w:t>，“十四五”期间完成城镇老旧小区改造</w:t>
      </w:r>
      <w:r w:rsidRPr="00A41CE6">
        <w:rPr>
          <w:rFonts w:ascii="Times New Roman" w:hAnsi="Times New Roman"/>
          <w:sz w:val="28"/>
          <w:szCs w:val="28"/>
        </w:rPr>
        <w:t>500</w:t>
      </w:r>
      <w:r w:rsidRPr="00A41CE6">
        <w:rPr>
          <w:rFonts w:ascii="Times New Roman" w:hAnsi="Times New Roman" w:hint="eastAsia"/>
          <w:sz w:val="28"/>
          <w:szCs w:val="28"/>
        </w:rPr>
        <w:t>万平方米，按城镇建筑面积比例折算，海口市“十四五”期间需要完成城镇老旧小区改造约为</w:t>
      </w:r>
      <w:r w:rsidRPr="00A41CE6">
        <w:rPr>
          <w:rFonts w:ascii="Times New Roman" w:hAnsi="Times New Roman" w:hint="eastAsia"/>
          <w:sz w:val="28"/>
          <w:szCs w:val="28"/>
        </w:rPr>
        <w:t>46.55</w:t>
      </w:r>
      <w:r w:rsidRPr="00A41CE6">
        <w:rPr>
          <w:rFonts w:ascii="Times New Roman" w:hAnsi="Times New Roman" w:hint="eastAsia"/>
          <w:sz w:val="28"/>
          <w:szCs w:val="28"/>
        </w:rPr>
        <w:t>万平方米，本规划考虑到海口重点园区等发展情况，制定的十四五期间的目标为：完成老旧小区改造面积</w:t>
      </w:r>
      <w:r w:rsidRPr="00A41CE6">
        <w:rPr>
          <w:rFonts w:ascii="Times New Roman" w:eastAsia="楷体" w:hAnsi="Times New Roman" w:cs="Times New Roman" w:hint="eastAsia"/>
          <w:sz w:val="28"/>
          <w:szCs w:val="28"/>
        </w:rPr>
        <w:t>50</w:t>
      </w:r>
      <w:r w:rsidRPr="00A41CE6">
        <w:rPr>
          <w:rFonts w:ascii="Times New Roman" w:hAnsi="Times New Roman" w:hint="eastAsia"/>
          <w:sz w:val="28"/>
          <w:szCs w:val="28"/>
        </w:rPr>
        <w:t>万平方米以上。</w:t>
      </w:r>
    </w:p>
    <w:p w:rsidR="000F6E44" w:rsidRDefault="000F6E44">
      <w:pPr>
        <w:spacing w:after="0" w:line="240" w:lineRule="auto"/>
        <w:rPr>
          <w:rFonts w:ascii="Times New Roman" w:eastAsia="黑体" w:hAnsi="Times New Roman"/>
          <w:color w:val="000000" w:themeColor="text1"/>
          <w:sz w:val="28"/>
          <w:szCs w:val="28"/>
        </w:rPr>
      </w:pPr>
      <w:r>
        <w:rPr>
          <w:rFonts w:ascii="Times New Roman" w:eastAsia="黑体" w:hAnsi="Times New Roman"/>
          <w:color w:val="000000" w:themeColor="text1"/>
          <w:sz w:val="28"/>
          <w:szCs w:val="28"/>
        </w:rPr>
        <w:br w:type="page"/>
      </w:r>
    </w:p>
    <w:p w:rsidR="00CF0E45" w:rsidRPr="00A41CE6" w:rsidRDefault="00CF0E45" w:rsidP="006166C2">
      <w:pPr>
        <w:spacing w:after="0" w:line="360" w:lineRule="auto"/>
        <w:rPr>
          <w:rFonts w:ascii="Times New Roman" w:eastAsia="黑体" w:hAnsi="Times New Roman"/>
          <w:color w:val="000000" w:themeColor="text1"/>
          <w:sz w:val="28"/>
          <w:szCs w:val="28"/>
        </w:rPr>
      </w:pPr>
      <w:r w:rsidRPr="00A41CE6">
        <w:rPr>
          <w:rFonts w:ascii="Times New Roman" w:eastAsia="黑体" w:hAnsi="Times New Roman" w:hint="eastAsia"/>
          <w:color w:val="000000" w:themeColor="text1"/>
          <w:sz w:val="28"/>
          <w:szCs w:val="28"/>
        </w:rPr>
        <w:lastRenderedPageBreak/>
        <w:t>附件</w:t>
      </w:r>
      <w:r w:rsidRPr="00A41CE6">
        <w:rPr>
          <w:rFonts w:ascii="Times New Roman" w:eastAsia="黑体" w:hAnsi="Times New Roman"/>
          <w:color w:val="000000" w:themeColor="text1"/>
          <w:sz w:val="28"/>
          <w:szCs w:val="28"/>
        </w:rPr>
        <w:t>10</w:t>
      </w:r>
      <w:r w:rsidRPr="00A41CE6">
        <w:rPr>
          <w:rFonts w:ascii="Times New Roman" w:eastAsia="黑体" w:hAnsi="Times New Roman" w:hint="eastAsia"/>
          <w:color w:val="000000" w:themeColor="text1"/>
          <w:sz w:val="28"/>
          <w:szCs w:val="28"/>
        </w:rPr>
        <w:t>：装配式建筑产能需求测算</w:t>
      </w:r>
    </w:p>
    <w:p w:rsidR="00CF0E45" w:rsidRPr="00A41CE6" w:rsidRDefault="00CF0E45" w:rsidP="00CF0E45">
      <w:pPr>
        <w:adjustRightInd w:val="0"/>
        <w:snapToGrid w:val="0"/>
        <w:spacing w:after="0" w:line="360" w:lineRule="auto"/>
        <w:ind w:firstLineChars="200" w:firstLine="560"/>
        <w:rPr>
          <w:rFonts w:ascii="Times New Roman" w:eastAsiaTheme="minorEastAsia" w:hAnsi="Times New Roman"/>
          <w:color w:val="000000" w:themeColor="text1"/>
          <w:sz w:val="28"/>
          <w:szCs w:val="28"/>
        </w:rPr>
      </w:pPr>
      <w:r w:rsidRPr="00A41CE6">
        <w:rPr>
          <w:rFonts w:ascii="Times New Roman" w:eastAsiaTheme="minorEastAsia" w:hAnsi="Times New Roman" w:hint="eastAsia"/>
          <w:color w:val="000000" w:themeColor="text1"/>
          <w:sz w:val="28"/>
          <w:szCs w:val="28"/>
        </w:rPr>
        <w:t>对</w:t>
      </w:r>
      <w:r w:rsidRPr="00A41CE6">
        <w:rPr>
          <w:rFonts w:ascii="Times New Roman" w:eastAsiaTheme="minorEastAsia" w:hAnsi="Times New Roman"/>
          <w:color w:val="000000" w:themeColor="text1"/>
          <w:sz w:val="28"/>
          <w:szCs w:val="28"/>
        </w:rPr>
        <w:t>装配式混凝土结构，尤其是多高层住宅，混凝土用量的统计数据</w:t>
      </w:r>
      <w:r w:rsidRPr="00A41CE6">
        <w:rPr>
          <w:rFonts w:ascii="Times New Roman" w:eastAsiaTheme="minorEastAsia" w:hAnsi="Times New Roman" w:hint="eastAsia"/>
          <w:color w:val="000000" w:themeColor="text1"/>
          <w:sz w:val="28"/>
          <w:szCs w:val="28"/>
        </w:rPr>
        <w:t>为</w:t>
      </w:r>
      <w:r w:rsidRPr="00A41CE6">
        <w:rPr>
          <w:rFonts w:ascii="Times New Roman" w:eastAsiaTheme="minorEastAsia" w:hAnsi="Times New Roman"/>
          <w:color w:val="000000" w:themeColor="text1"/>
          <w:sz w:val="28"/>
          <w:szCs w:val="28"/>
        </w:rPr>
        <w:t>每平方米建筑面积</w:t>
      </w:r>
      <w:r w:rsidRPr="00A41CE6">
        <w:rPr>
          <w:rFonts w:ascii="Times New Roman" w:eastAsiaTheme="minorEastAsia" w:hAnsi="Times New Roman" w:hint="eastAsia"/>
          <w:color w:val="000000" w:themeColor="text1"/>
          <w:sz w:val="28"/>
          <w:szCs w:val="28"/>
        </w:rPr>
        <w:t>0.3</w:t>
      </w:r>
      <w:r w:rsidRPr="00A41CE6">
        <w:rPr>
          <w:rFonts w:ascii="Times New Roman" w:eastAsiaTheme="minorEastAsia" w:hAnsi="Times New Roman"/>
          <w:color w:val="000000" w:themeColor="text1"/>
          <w:sz w:val="28"/>
          <w:szCs w:val="28"/>
        </w:rPr>
        <w:t>~0.4</w:t>
      </w:r>
      <w:r w:rsidRPr="00A41CE6">
        <w:rPr>
          <w:rFonts w:ascii="Times New Roman" w:eastAsiaTheme="minorEastAsia" w:hAnsi="Times New Roman" w:hint="eastAsia"/>
          <w:color w:val="000000" w:themeColor="text1"/>
          <w:sz w:val="28"/>
          <w:szCs w:val="28"/>
        </w:rPr>
        <w:t>立方米</w:t>
      </w:r>
      <w:r w:rsidRPr="00A41CE6">
        <w:rPr>
          <w:rFonts w:ascii="Times New Roman" w:eastAsiaTheme="minorEastAsia" w:hAnsi="Times New Roman"/>
          <w:color w:val="000000" w:themeColor="text1"/>
          <w:sz w:val="28"/>
          <w:szCs w:val="28"/>
        </w:rPr>
        <w:t>；按照</w:t>
      </w:r>
      <w:r w:rsidRPr="00A41CE6">
        <w:rPr>
          <w:rFonts w:ascii="Times New Roman" w:eastAsiaTheme="minorEastAsia" w:hAnsi="Times New Roman" w:hint="eastAsia"/>
          <w:color w:val="000000" w:themeColor="text1"/>
          <w:sz w:val="28"/>
          <w:szCs w:val="28"/>
        </w:rPr>
        <w:t>50</w:t>
      </w:r>
      <w:r w:rsidRPr="00A41CE6">
        <w:rPr>
          <w:rFonts w:ascii="Times New Roman" w:eastAsiaTheme="minorEastAsia" w:hAnsi="Times New Roman"/>
          <w:color w:val="000000" w:themeColor="text1"/>
          <w:sz w:val="28"/>
          <w:szCs w:val="28"/>
        </w:rPr>
        <w:t>%</w:t>
      </w:r>
      <w:r w:rsidRPr="00A41CE6">
        <w:rPr>
          <w:rFonts w:ascii="Times New Roman" w:eastAsiaTheme="minorEastAsia" w:hAnsi="Times New Roman"/>
          <w:color w:val="000000" w:themeColor="text1"/>
          <w:sz w:val="28"/>
          <w:szCs w:val="28"/>
        </w:rPr>
        <w:t>装配率的要求，则每平方米建筑面积装配式混凝土结构需要</w:t>
      </w:r>
      <w:r w:rsidRPr="00A41CE6">
        <w:rPr>
          <w:rFonts w:ascii="Times New Roman" w:eastAsiaTheme="minorEastAsia" w:hAnsi="Times New Roman" w:hint="eastAsia"/>
          <w:color w:val="000000" w:themeColor="text1"/>
          <w:sz w:val="28"/>
          <w:szCs w:val="28"/>
        </w:rPr>
        <w:t>PC</w:t>
      </w:r>
      <w:r w:rsidRPr="00A41CE6">
        <w:rPr>
          <w:rFonts w:ascii="Times New Roman" w:eastAsiaTheme="minorEastAsia" w:hAnsi="Times New Roman" w:hint="eastAsia"/>
          <w:color w:val="000000" w:themeColor="text1"/>
          <w:sz w:val="28"/>
          <w:szCs w:val="28"/>
        </w:rPr>
        <w:t>构件</w:t>
      </w:r>
      <w:r w:rsidRPr="00A41CE6">
        <w:rPr>
          <w:rFonts w:ascii="Times New Roman" w:eastAsiaTheme="minorEastAsia" w:hAnsi="Times New Roman" w:hint="eastAsia"/>
          <w:color w:val="000000" w:themeColor="text1"/>
          <w:sz w:val="28"/>
          <w:szCs w:val="28"/>
        </w:rPr>
        <w:t>0.1</w:t>
      </w:r>
      <w:r w:rsidRPr="00A41CE6">
        <w:rPr>
          <w:rFonts w:ascii="Times New Roman" w:eastAsiaTheme="minorEastAsia" w:hAnsi="Times New Roman" w:hint="eastAsia"/>
          <w:color w:val="000000" w:themeColor="text1"/>
          <w:sz w:val="28"/>
          <w:szCs w:val="28"/>
        </w:rPr>
        <w:t>立方米左右</w:t>
      </w:r>
      <w:r w:rsidRPr="00A41CE6">
        <w:rPr>
          <w:rFonts w:ascii="Times New Roman" w:eastAsiaTheme="minorEastAsia" w:hAnsi="Times New Roman"/>
          <w:color w:val="000000" w:themeColor="text1"/>
          <w:sz w:val="28"/>
          <w:szCs w:val="28"/>
        </w:rPr>
        <w:t>。</w:t>
      </w:r>
    </w:p>
    <w:p w:rsidR="00CF0E45" w:rsidRPr="00A41CE6" w:rsidRDefault="00CF0E45" w:rsidP="00CF0E45">
      <w:pPr>
        <w:adjustRightInd w:val="0"/>
        <w:snapToGrid w:val="0"/>
        <w:spacing w:after="0" w:line="360" w:lineRule="auto"/>
        <w:ind w:firstLineChars="200" w:firstLine="560"/>
        <w:rPr>
          <w:rFonts w:ascii="Times New Roman" w:eastAsiaTheme="minorEastAsia" w:hAnsi="Times New Roman"/>
          <w:color w:val="000000" w:themeColor="text1"/>
          <w:sz w:val="28"/>
          <w:szCs w:val="28"/>
        </w:rPr>
      </w:pPr>
      <w:r w:rsidRPr="00A41CE6">
        <w:rPr>
          <w:rFonts w:ascii="Times New Roman" w:eastAsiaTheme="minorEastAsia" w:hAnsi="Times New Roman" w:hint="eastAsia"/>
          <w:color w:val="000000" w:themeColor="text1"/>
          <w:sz w:val="28"/>
          <w:szCs w:val="28"/>
        </w:rPr>
        <w:t>对于</w:t>
      </w:r>
      <w:r w:rsidRPr="00A41CE6">
        <w:rPr>
          <w:rFonts w:ascii="Times New Roman" w:eastAsiaTheme="minorEastAsia" w:hAnsi="Times New Roman"/>
          <w:color w:val="000000" w:themeColor="text1"/>
          <w:sz w:val="28"/>
          <w:szCs w:val="28"/>
        </w:rPr>
        <w:t>装配式钢结构建筑，其中高层和大跨度建筑用钢量较高，</w:t>
      </w:r>
      <w:r w:rsidRPr="00A41CE6">
        <w:rPr>
          <w:rFonts w:ascii="Times New Roman" w:eastAsiaTheme="minorEastAsia" w:hAnsi="Times New Roman" w:hint="eastAsia"/>
          <w:color w:val="000000" w:themeColor="text1"/>
          <w:sz w:val="28"/>
          <w:szCs w:val="28"/>
        </w:rPr>
        <w:t>低</w:t>
      </w:r>
      <w:r w:rsidRPr="00A41CE6">
        <w:rPr>
          <w:rFonts w:ascii="Times New Roman" w:eastAsiaTheme="minorEastAsia" w:hAnsi="Times New Roman"/>
          <w:color w:val="000000" w:themeColor="text1"/>
          <w:sz w:val="28"/>
          <w:szCs w:val="28"/>
        </w:rPr>
        <w:t>多层建筑用钢量较低</w:t>
      </w:r>
      <w:r w:rsidRPr="00A41CE6">
        <w:rPr>
          <w:rFonts w:ascii="Times New Roman" w:eastAsiaTheme="minorEastAsia" w:hAnsi="Times New Roman" w:hint="eastAsia"/>
          <w:color w:val="000000" w:themeColor="text1"/>
          <w:sz w:val="28"/>
          <w:szCs w:val="28"/>
        </w:rPr>
        <w:t>。</w:t>
      </w:r>
      <w:r w:rsidRPr="00A41CE6">
        <w:rPr>
          <w:rFonts w:ascii="Times New Roman" w:eastAsiaTheme="minorEastAsia" w:hAnsi="Times New Roman"/>
          <w:color w:val="000000" w:themeColor="text1"/>
          <w:sz w:val="28"/>
          <w:szCs w:val="28"/>
        </w:rPr>
        <w:t>综合考虑，每平方米建筑面积装配式钢结构建筑需要的钢构件按照</w:t>
      </w:r>
      <w:r w:rsidRPr="00A41CE6">
        <w:rPr>
          <w:rFonts w:ascii="Times New Roman" w:eastAsiaTheme="minorEastAsia" w:hAnsi="Times New Roman" w:hint="eastAsia"/>
          <w:color w:val="000000" w:themeColor="text1"/>
          <w:sz w:val="28"/>
          <w:szCs w:val="28"/>
        </w:rPr>
        <w:t>40</w:t>
      </w:r>
      <w:r w:rsidRPr="00A41CE6">
        <w:rPr>
          <w:rFonts w:ascii="Times New Roman" w:eastAsiaTheme="minorEastAsia" w:hAnsi="Times New Roman" w:hint="eastAsia"/>
          <w:color w:val="000000" w:themeColor="text1"/>
          <w:sz w:val="28"/>
          <w:szCs w:val="28"/>
        </w:rPr>
        <w:t>千克考虑</w:t>
      </w:r>
      <w:r w:rsidRPr="00A41CE6">
        <w:rPr>
          <w:rFonts w:ascii="Times New Roman" w:eastAsiaTheme="minorEastAsia" w:hAnsi="Times New Roman"/>
          <w:color w:val="000000" w:themeColor="text1"/>
          <w:sz w:val="28"/>
          <w:szCs w:val="28"/>
        </w:rPr>
        <w:t>。</w:t>
      </w:r>
    </w:p>
    <w:p w:rsidR="00CF0E45" w:rsidRPr="000F6E44" w:rsidRDefault="000F6E44" w:rsidP="00CF0E45">
      <w:pPr>
        <w:adjustRightInd w:val="0"/>
        <w:snapToGrid w:val="0"/>
        <w:spacing w:line="360" w:lineRule="auto"/>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 xml:space="preserve">表10-1 </w:t>
      </w:r>
      <w:r w:rsidR="00CF0E45" w:rsidRPr="000F6E44">
        <w:rPr>
          <w:rFonts w:asciiTheme="minorEastAsia" w:eastAsiaTheme="minorEastAsia" w:hAnsiTheme="minorEastAsia" w:hint="eastAsia"/>
          <w:b/>
          <w:color w:val="000000" w:themeColor="text1"/>
          <w:sz w:val="24"/>
          <w:szCs w:val="24"/>
        </w:rPr>
        <w:t>海口市</w:t>
      </w:r>
      <w:r w:rsidR="00CF0E45" w:rsidRPr="000F6E44">
        <w:rPr>
          <w:rFonts w:asciiTheme="minorEastAsia" w:eastAsiaTheme="minorEastAsia" w:hAnsiTheme="minorEastAsia"/>
          <w:b/>
          <w:color w:val="000000" w:themeColor="text1"/>
          <w:sz w:val="24"/>
          <w:szCs w:val="24"/>
        </w:rPr>
        <w:t>2025</w:t>
      </w:r>
      <w:r w:rsidR="00CF0E45" w:rsidRPr="000F6E44">
        <w:rPr>
          <w:rFonts w:asciiTheme="minorEastAsia" w:eastAsiaTheme="minorEastAsia" w:hAnsiTheme="minorEastAsia" w:hint="eastAsia"/>
          <w:b/>
          <w:color w:val="000000" w:themeColor="text1"/>
          <w:sz w:val="24"/>
          <w:szCs w:val="24"/>
        </w:rPr>
        <w:t>年装配式建筑构件产能需求测算</w:t>
      </w:r>
    </w:p>
    <w:tbl>
      <w:tblPr>
        <w:tblW w:w="5000" w:type="pct"/>
        <w:jc w:val="center"/>
        <w:tblLook w:val="04A0" w:firstRow="1" w:lastRow="0" w:firstColumn="1" w:lastColumn="0" w:noHBand="0" w:noVBand="1"/>
      </w:tblPr>
      <w:tblGrid>
        <w:gridCol w:w="1384"/>
        <w:gridCol w:w="1432"/>
        <w:gridCol w:w="1246"/>
        <w:gridCol w:w="1115"/>
        <w:gridCol w:w="1115"/>
        <w:gridCol w:w="1115"/>
        <w:gridCol w:w="1115"/>
      </w:tblGrid>
      <w:tr w:rsidR="00CF0E45" w:rsidRPr="000F6E44" w:rsidTr="00A8699E">
        <w:trPr>
          <w:trHeight w:val="1020"/>
          <w:jc w:val="center"/>
        </w:trPr>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CF0E45" w:rsidRPr="000F6E44" w:rsidRDefault="00CF0E45" w:rsidP="00A8699E">
            <w:pPr>
              <w:spacing w:after="0" w:line="240" w:lineRule="auto"/>
              <w:jc w:val="center"/>
              <w:rPr>
                <w:rFonts w:asciiTheme="minorEastAsia" w:eastAsiaTheme="minorEastAsia" w:hAnsiTheme="minorEastAsia" w:cs="Times New Roman"/>
                <w:b/>
                <w:color w:val="000000" w:themeColor="text1"/>
                <w:sz w:val="24"/>
                <w:szCs w:val="24"/>
              </w:rPr>
            </w:pPr>
            <w:r w:rsidRPr="000F6E44">
              <w:rPr>
                <w:rFonts w:asciiTheme="minorEastAsia" w:eastAsiaTheme="minorEastAsia" w:hAnsiTheme="minorEastAsia" w:cs="Times New Roman"/>
                <w:b/>
                <w:color w:val="000000" w:themeColor="text1"/>
                <w:sz w:val="24"/>
                <w:szCs w:val="24"/>
              </w:rPr>
              <w:t>地区</w:t>
            </w:r>
          </w:p>
        </w:tc>
        <w:tc>
          <w:tcPr>
            <w:tcW w:w="840" w:type="pct"/>
            <w:tcBorders>
              <w:top w:val="single" w:sz="4" w:space="0" w:color="auto"/>
              <w:left w:val="nil"/>
              <w:bottom w:val="single" w:sz="4" w:space="0" w:color="auto"/>
              <w:right w:val="single" w:sz="4" w:space="0" w:color="auto"/>
            </w:tcBorders>
            <w:shd w:val="clear" w:color="auto" w:fill="auto"/>
            <w:vAlign w:val="center"/>
          </w:tcPr>
          <w:p w:rsidR="00CF0E45" w:rsidRPr="000F6E44" w:rsidRDefault="00CF0E45" w:rsidP="00A8699E">
            <w:pPr>
              <w:spacing w:after="0" w:line="240" w:lineRule="auto"/>
              <w:jc w:val="center"/>
              <w:rPr>
                <w:rFonts w:asciiTheme="minorEastAsia" w:eastAsiaTheme="minorEastAsia" w:hAnsiTheme="minorEastAsia" w:cs="Times New Roman"/>
                <w:b/>
                <w:color w:val="000000" w:themeColor="text1"/>
                <w:sz w:val="24"/>
                <w:szCs w:val="24"/>
              </w:rPr>
            </w:pPr>
            <w:r w:rsidRPr="000F6E44">
              <w:rPr>
                <w:rFonts w:asciiTheme="minorEastAsia" w:eastAsiaTheme="minorEastAsia" w:hAnsiTheme="minorEastAsia" w:cs="Times New Roman"/>
                <w:b/>
                <w:color w:val="000000" w:themeColor="text1"/>
                <w:sz w:val="24"/>
                <w:szCs w:val="24"/>
              </w:rPr>
              <w:t xml:space="preserve">新开工建筑面积（万 </w:t>
            </w:r>
            <w:r w:rsidRPr="000F6E44">
              <w:rPr>
                <w:rFonts w:asciiTheme="minorEastAsia" w:eastAsiaTheme="minorEastAsia" w:hAnsiTheme="minorEastAsia" w:cs="Times New Roman" w:hint="eastAsia"/>
                <w:b/>
                <w:color w:val="000000" w:themeColor="text1"/>
                <w:sz w:val="24"/>
                <w:szCs w:val="24"/>
              </w:rPr>
              <w:t>平方米</w:t>
            </w:r>
            <w:r w:rsidRPr="000F6E44">
              <w:rPr>
                <w:rFonts w:asciiTheme="minorEastAsia" w:eastAsiaTheme="minorEastAsia" w:hAnsiTheme="minorEastAsia" w:cs="Times New Roman"/>
                <w:b/>
                <w:color w:val="000000" w:themeColor="text1"/>
                <w:sz w:val="24"/>
                <w:szCs w:val="24"/>
              </w:rPr>
              <w:t>）</w:t>
            </w:r>
          </w:p>
        </w:tc>
        <w:tc>
          <w:tcPr>
            <w:tcW w:w="731" w:type="pct"/>
            <w:tcBorders>
              <w:top w:val="single" w:sz="4" w:space="0" w:color="auto"/>
              <w:left w:val="nil"/>
              <w:bottom w:val="single" w:sz="4" w:space="0" w:color="auto"/>
              <w:right w:val="single" w:sz="4" w:space="0" w:color="auto"/>
            </w:tcBorders>
            <w:shd w:val="clear" w:color="auto" w:fill="auto"/>
            <w:vAlign w:val="center"/>
          </w:tcPr>
          <w:p w:rsidR="00CF0E45" w:rsidRPr="000F6E44" w:rsidRDefault="00CF0E45" w:rsidP="00A8699E">
            <w:pPr>
              <w:spacing w:after="0" w:line="240" w:lineRule="auto"/>
              <w:jc w:val="center"/>
              <w:rPr>
                <w:rFonts w:asciiTheme="minorEastAsia" w:eastAsiaTheme="minorEastAsia" w:hAnsiTheme="minorEastAsia" w:cs="Times New Roman"/>
                <w:b/>
                <w:color w:val="000000" w:themeColor="text1"/>
                <w:sz w:val="24"/>
                <w:szCs w:val="24"/>
              </w:rPr>
            </w:pPr>
            <w:r w:rsidRPr="000F6E44">
              <w:rPr>
                <w:rFonts w:asciiTheme="minorEastAsia" w:eastAsiaTheme="minorEastAsia" w:hAnsiTheme="minorEastAsia" w:cs="Times New Roman"/>
                <w:b/>
                <w:color w:val="000000" w:themeColor="text1"/>
                <w:sz w:val="24"/>
                <w:szCs w:val="24"/>
              </w:rPr>
              <w:t>装配式建筑面积（万</w:t>
            </w:r>
            <w:r w:rsidRPr="000F6E44">
              <w:rPr>
                <w:rFonts w:asciiTheme="minorEastAsia" w:eastAsiaTheme="minorEastAsia" w:hAnsiTheme="minorEastAsia" w:cs="Times New Roman" w:hint="eastAsia"/>
                <w:b/>
                <w:color w:val="000000" w:themeColor="text1"/>
                <w:sz w:val="24"/>
                <w:szCs w:val="24"/>
              </w:rPr>
              <w:t>平方米</w:t>
            </w:r>
            <w:r w:rsidRPr="000F6E44">
              <w:rPr>
                <w:rFonts w:asciiTheme="minorEastAsia" w:eastAsiaTheme="minorEastAsia" w:hAnsiTheme="minorEastAsia" w:cs="Times New Roman"/>
                <w:b/>
                <w:color w:val="000000" w:themeColor="text1"/>
                <w:sz w:val="24"/>
                <w:szCs w:val="24"/>
              </w:rPr>
              <w:t>）</w:t>
            </w:r>
          </w:p>
        </w:tc>
        <w:tc>
          <w:tcPr>
            <w:tcW w:w="654" w:type="pct"/>
            <w:tcBorders>
              <w:top w:val="single" w:sz="4" w:space="0" w:color="auto"/>
              <w:left w:val="nil"/>
              <w:bottom w:val="single" w:sz="4" w:space="0" w:color="auto"/>
              <w:right w:val="single" w:sz="4" w:space="0" w:color="auto"/>
            </w:tcBorders>
            <w:shd w:val="clear" w:color="auto" w:fill="auto"/>
            <w:vAlign w:val="center"/>
          </w:tcPr>
          <w:p w:rsidR="00CF0E45" w:rsidRPr="000F6E44" w:rsidRDefault="00CF0E45" w:rsidP="00A8699E">
            <w:pPr>
              <w:spacing w:after="0" w:line="240" w:lineRule="auto"/>
              <w:jc w:val="center"/>
              <w:rPr>
                <w:rFonts w:asciiTheme="minorEastAsia" w:eastAsiaTheme="minorEastAsia" w:hAnsiTheme="minorEastAsia" w:cs="Times New Roman"/>
                <w:b/>
                <w:color w:val="000000" w:themeColor="text1"/>
                <w:sz w:val="24"/>
                <w:szCs w:val="24"/>
              </w:rPr>
            </w:pPr>
            <w:r w:rsidRPr="000F6E44">
              <w:rPr>
                <w:rFonts w:asciiTheme="minorEastAsia" w:eastAsiaTheme="minorEastAsia" w:hAnsiTheme="minorEastAsia" w:cs="Times New Roman"/>
                <w:b/>
                <w:color w:val="000000" w:themeColor="text1"/>
                <w:sz w:val="24"/>
                <w:szCs w:val="24"/>
              </w:rPr>
              <w:t xml:space="preserve">装配式混凝土建筑面积（万 </w:t>
            </w:r>
            <w:r w:rsidRPr="000F6E44">
              <w:rPr>
                <w:rFonts w:asciiTheme="minorEastAsia" w:eastAsiaTheme="minorEastAsia" w:hAnsiTheme="minorEastAsia" w:cs="Times New Roman" w:hint="eastAsia"/>
                <w:b/>
                <w:color w:val="000000" w:themeColor="text1"/>
                <w:sz w:val="24"/>
                <w:szCs w:val="24"/>
              </w:rPr>
              <w:t>平方米</w:t>
            </w:r>
            <w:r w:rsidRPr="000F6E44">
              <w:rPr>
                <w:rFonts w:asciiTheme="minorEastAsia" w:eastAsiaTheme="minorEastAsia" w:hAnsiTheme="minorEastAsia" w:cs="Times New Roman"/>
                <w:b/>
                <w:color w:val="000000" w:themeColor="text1"/>
                <w:sz w:val="24"/>
                <w:szCs w:val="24"/>
              </w:rPr>
              <w:t>）</w:t>
            </w:r>
          </w:p>
        </w:tc>
        <w:tc>
          <w:tcPr>
            <w:tcW w:w="654" w:type="pct"/>
            <w:tcBorders>
              <w:top w:val="single" w:sz="4" w:space="0" w:color="auto"/>
              <w:left w:val="nil"/>
              <w:bottom w:val="single" w:sz="4" w:space="0" w:color="auto"/>
              <w:right w:val="single" w:sz="4" w:space="0" w:color="auto"/>
            </w:tcBorders>
            <w:shd w:val="clear" w:color="auto" w:fill="auto"/>
            <w:vAlign w:val="center"/>
          </w:tcPr>
          <w:p w:rsidR="00CF0E45" w:rsidRPr="000F6E44" w:rsidRDefault="00CF0E45" w:rsidP="00A8699E">
            <w:pPr>
              <w:spacing w:after="0" w:line="240" w:lineRule="auto"/>
              <w:jc w:val="center"/>
              <w:rPr>
                <w:rFonts w:asciiTheme="minorEastAsia" w:eastAsiaTheme="minorEastAsia" w:hAnsiTheme="minorEastAsia" w:cs="Times New Roman"/>
                <w:b/>
                <w:color w:val="000000" w:themeColor="text1"/>
                <w:sz w:val="24"/>
                <w:szCs w:val="24"/>
              </w:rPr>
            </w:pPr>
            <w:r w:rsidRPr="000F6E44">
              <w:rPr>
                <w:rFonts w:asciiTheme="minorEastAsia" w:eastAsiaTheme="minorEastAsia" w:hAnsiTheme="minorEastAsia" w:cs="Times New Roman"/>
                <w:b/>
                <w:color w:val="000000" w:themeColor="text1"/>
                <w:sz w:val="24"/>
                <w:szCs w:val="24"/>
              </w:rPr>
              <w:t xml:space="preserve">混凝土构件需求量（万 </w:t>
            </w:r>
            <w:r w:rsidRPr="000F6E44">
              <w:rPr>
                <w:rFonts w:asciiTheme="minorEastAsia" w:eastAsiaTheme="minorEastAsia" w:hAnsiTheme="minorEastAsia" w:cs="Times New Roman" w:hint="eastAsia"/>
                <w:b/>
                <w:color w:val="000000" w:themeColor="text1"/>
                <w:sz w:val="24"/>
                <w:szCs w:val="24"/>
              </w:rPr>
              <w:t>立方米</w:t>
            </w:r>
            <w:r w:rsidRPr="000F6E44">
              <w:rPr>
                <w:rFonts w:asciiTheme="minorEastAsia" w:eastAsiaTheme="minorEastAsia" w:hAnsiTheme="minorEastAsia" w:cs="Times New Roman"/>
                <w:b/>
                <w:color w:val="000000" w:themeColor="text1"/>
                <w:sz w:val="24"/>
                <w:szCs w:val="24"/>
              </w:rPr>
              <w:t>）</w:t>
            </w:r>
          </w:p>
        </w:tc>
        <w:tc>
          <w:tcPr>
            <w:tcW w:w="654" w:type="pct"/>
            <w:tcBorders>
              <w:top w:val="single" w:sz="4" w:space="0" w:color="auto"/>
              <w:left w:val="nil"/>
              <w:bottom w:val="single" w:sz="4" w:space="0" w:color="auto"/>
              <w:right w:val="single" w:sz="4" w:space="0" w:color="auto"/>
            </w:tcBorders>
            <w:shd w:val="clear" w:color="auto" w:fill="auto"/>
            <w:vAlign w:val="center"/>
          </w:tcPr>
          <w:p w:rsidR="00CF0E45" w:rsidRPr="000F6E44" w:rsidRDefault="00CF0E45" w:rsidP="00A8699E">
            <w:pPr>
              <w:spacing w:after="0" w:line="240" w:lineRule="auto"/>
              <w:jc w:val="center"/>
              <w:rPr>
                <w:rFonts w:asciiTheme="minorEastAsia" w:eastAsiaTheme="minorEastAsia" w:hAnsiTheme="minorEastAsia" w:cs="Times New Roman"/>
                <w:b/>
                <w:color w:val="000000" w:themeColor="text1"/>
                <w:sz w:val="24"/>
                <w:szCs w:val="24"/>
              </w:rPr>
            </w:pPr>
            <w:r w:rsidRPr="000F6E44">
              <w:rPr>
                <w:rFonts w:asciiTheme="minorEastAsia" w:eastAsiaTheme="minorEastAsia" w:hAnsiTheme="minorEastAsia" w:cs="Times New Roman"/>
                <w:b/>
                <w:color w:val="000000" w:themeColor="text1"/>
                <w:sz w:val="24"/>
                <w:szCs w:val="24"/>
              </w:rPr>
              <w:t xml:space="preserve">装配式钢结构建筑面积（万 </w:t>
            </w:r>
            <w:r w:rsidRPr="000F6E44">
              <w:rPr>
                <w:rFonts w:asciiTheme="minorEastAsia" w:eastAsiaTheme="minorEastAsia" w:hAnsiTheme="minorEastAsia" w:cs="Times New Roman" w:hint="eastAsia"/>
                <w:b/>
                <w:color w:val="000000" w:themeColor="text1"/>
                <w:sz w:val="24"/>
                <w:szCs w:val="24"/>
              </w:rPr>
              <w:t>平方米</w:t>
            </w:r>
            <w:r w:rsidRPr="000F6E44">
              <w:rPr>
                <w:rFonts w:asciiTheme="minorEastAsia" w:eastAsiaTheme="minorEastAsia" w:hAnsiTheme="minorEastAsia" w:cs="Times New Roman"/>
                <w:b/>
                <w:color w:val="000000" w:themeColor="text1"/>
                <w:sz w:val="24"/>
                <w:szCs w:val="24"/>
              </w:rPr>
              <w:t>）</w:t>
            </w:r>
          </w:p>
        </w:tc>
        <w:tc>
          <w:tcPr>
            <w:tcW w:w="654" w:type="pct"/>
            <w:tcBorders>
              <w:top w:val="single" w:sz="4" w:space="0" w:color="auto"/>
              <w:left w:val="nil"/>
              <w:bottom w:val="single" w:sz="4" w:space="0" w:color="auto"/>
              <w:right w:val="single" w:sz="4" w:space="0" w:color="auto"/>
            </w:tcBorders>
            <w:shd w:val="clear" w:color="auto" w:fill="auto"/>
            <w:vAlign w:val="center"/>
          </w:tcPr>
          <w:p w:rsidR="00CF0E45" w:rsidRPr="000F6E44" w:rsidRDefault="00CF0E45" w:rsidP="00A8699E">
            <w:pPr>
              <w:spacing w:after="0" w:line="240" w:lineRule="auto"/>
              <w:jc w:val="center"/>
              <w:rPr>
                <w:rFonts w:asciiTheme="minorEastAsia" w:eastAsiaTheme="minorEastAsia" w:hAnsiTheme="minorEastAsia" w:cs="Times New Roman"/>
                <w:b/>
                <w:color w:val="000000" w:themeColor="text1"/>
                <w:sz w:val="24"/>
                <w:szCs w:val="24"/>
              </w:rPr>
            </w:pPr>
            <w:r w:rsidRPr="000F6E44">
              <w:rPr>
                <w:rFonts w:asciiTheme="minorEastAsia" w:eastAsiaTheme="minorEastAsia" w:hAnsiTheme="minorEastAsia" w:cs="Times New Roman"/>
                <w:b/>
                <w:color w:val="000000" w:themeColor="text1"/>
                <w:sz w:val="24"/>
                <w:szCs w:val="24"/>
              </w:rPr>
              <w:t>钢构件需求量（万</w:t>
            </w:r>
            <w:r w:rsidRPr="000F6E44">
              <w:rPr>
                <w:rFonts w:asciiTheme="minorEastAsia" w:eastAsiaTheme="minorEastAsia" w:hAnsiTheme="minorEastAsia" w:cs="Times New Roman" w:hint="eastAsia"/>
                <w:b/>
                <w:color w:val="000000" w:themeColor="text1"/>
                <w:sz w:val="24"/>
                <w:szCs w:val="24"/>
              </w:rPr>
              <w:t>吨</w:t>
            </w:r>
            <w:r w:rsidRPr="000F6E44">
              <w:rPr>
                <w:rFonts w:asciiTheme="minorEastAsia" w:eastAsiaTheme="minorEastAsia" w:hAnsiTheme="minorEastAsia" w:cs="Times New Roman"/>
                <w:b/>
                <w:color w:val="000000" w:themeColor="text1"/>
                <w:sz w:val="24"/>
                <w:szCs w:val="24"/>
              </w:rPr>
              <w:t>）</w:t>
            </w:r>
          </w:p>
        </w:tc>
      </w:tr>
      <w:tr w:rsidR="00CF0E45" w:rsidRPr="000F6E44" w:rsidTr="00A8699E">
        <w:trPr>
          <w:trHeight w:val="397"/>
          <w:jc w:val="center"/>
        </w:trPr>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CF0E45" w:rsidRPr="000F6E44" w:rsidRDefault="00CF0E45" w:rsidP="00A8699E">
            <w:pPr>
              <w:jc w:val="center"/>
              <w:rPr>
                <w:rFonts w:asciiTheme="minorEastAsia" w:eastAsiaTheme="minorEastAsia" w:hAnsiTheme="minorEastAsia" w:cs="Times New Roman"/>
                <w:color w:val="000000" w:themeColor="text1"/>
                <w:sz w:val="24"/>
                <w:szCs w:val="24"/>
              </w:rPr>
            </w:pPr>
            <w:r w:rsidRPr="000F6E44">
              <w:rPr>
                <w:rFonts w:asciiTheme="minorEastAsia" w:eastAsiaTheme="minorEastAsia" w:hAnsiTheme="minorEastAsia" w:cs="Times New Roman" w:hint="eastAsia"/>
                <w:color w:val="000000" w:themeColor="text1"/>
                <w:sz w:val="24"/>
                <w:szCs w:val="24"/>
              </w:rPr>
              <w:t>海口</w:t>
            </w:r>
            <w:r w:rsidRPr="000F6E44">
              <w:rPr>
                <w:rFonts w:asciiTheme="minorEastAsia" w:eastAsiaTheme="minorEastAsia" w:hAnsiTheme="minorEastAsia" w:cs="Times New Roman"/>
                <w:color w:val="000000" w:themeColor="text1"/>
                <w:sz w:val="24"/>
                <w:szCs w:val="24"/>
              </w:rPr>
              <w:t xml:space="preserve">市 </w:t>
            </w:r>
          </w:p>
        </w:tc>
        <w:tc>
          <w:tcPr>
            <w:tcW w:w="840" w:type="pct"/>
            <w:tcBorders>
              <w:top w:val="nil"/>
              <w:left w:val="nil"/>
              <w:bottom w:val="single" w:sz="4" w:space="0" w:color="auto"/>
              <w:right w:val="single" w:sz="4" w:space="0" w:color="auto"/>
            </w:tcBorders>
            <w:shd w:val="clear" w:color="auto" w:fill="auto"/>
            <w:vAlign w:val="center"/>
          </w:tcPr>
          <w:p w:rsidR="00CF0E45" w:rsidRPr="000F6E44" w:rsidRDefault="00CF0E45" w:rsidP="00A8699E">
            <w:pPr>
              <w:jc w:val="center"/>
              <w:rPr>
                <w:rFonts w:asciiTheme="minorEastAsia" w:eastAsiaTheme="minorEastAsia" w:hAnsiTheme="minorEastAsia" w:cs="Times New Roman"/>
                <w:color w:val="000000" w:themeColor="text1"/>
                <w:sz w:val="24"/>
                <w:szCs w:val="24"/>
              </w:rPr>
            </w:pPr>
            <w:r w:rsidRPr="000F6E44">
              <w:rPr>
                <w:rFonts w:asciiTheme="minorEastAsia" w:eastAsiaTheme="minorEastAsia" w:hAnsiTheme="minorEastAsia" w:cs="Times New Roman"/>
                <w:color w:val="000000" w:themeColor="text1"/>
                <w:sz w:val="24"/>
                <w:szCs w:val="24"/>
              </w:rPr>
              <w:t>618.57</w:t>
            </w:r>
          </w:p>
        </w:tc>
        <w:tc>
          <w:tcPr>
            <w:tcW w:w="731" w:type="pct"/>
            <w:tcBorders>
              <w:top w:val="nil"/>
              <w:left w:val="nil"/>
              <w:bottom w:val="single" w:sz="4" w:space="0" w:color="auto"/>
              <w:right w:val="single" w:sz="4" w:space="0" w:color="auto"/>
            </w:tcBorders>
            <w:shd w:val="clear" w:color="auto" w:fill="auto"/>
            <w:vAlign w:val="center"/>
          </w:tcPr>
          <w:p w:rsidR="00CF0E45" w:rsidRPr="000F6E44" w:rsidRDefault="00CF0E45" w:rsidP="00A8699E">
            <w:pPr>
              <w:jc w:val="center"/>
              <w:rPr>
                <w:rFonts w:asciiTheme="minorEastAsia" w:eastAsiaTheme="minorEastAsia" w:hAnsiTheme="minorEastAsia" w:cs="Times New Roman"/>
                <w:color w:val="000000" w:themeColor="text1"/>
                <w:sz w:val="24"/>
                <w:szCs w:val="24"/>
              </w:rPr>
            </w:pPr>
            <w:r w:rsidRPr="000F6E44">
              <w:rPr>
                <w:rFonts w:asciiTheme="minorEastAsia" w:eastAsiaTheme="minorEastAsia" w:hAnsiTheme="minorEastAsia" w:cs="Times New Roman"/>
                <w:color w:val="000000" w:themeColor="text1"/>
                <w:sz w:val="24"/>
                <w:szCs w:val="24"/>
              </w:rPr>
              <w:t>500</w:t>
            </w:r>
          </w:p>
        </w:tc>
        <w:tc>
          <w:tcPr>
            <w:tcW w:w="1115" w:type="dxa"/>
            <w:tcBorders>
              <w:top w:val="nil"/>
              <w:left w:val="nil"/>
              <w:bottom w:val="single" w:sz="4" w:space="0" w:color="auto"/>
              <w:right w:val="single" w:sz="4" w:space="0" w:color="auto"/>
            </w:tcBorders>
            <w:shd w:val="clear" w:color="auto" w:fill="auto"/>
            <w:vAlign w:val="center"/>
          </w:tcPr>
          <w:p w:rsidR="00CF0E45" w:rsidRPr="000F6E44" w:rsidRDefault="00CF0E45" w:rsidP="00A8699E">
            <w:pPr>
              <w:jc w:val="center"/>
              <w:rPr>
                <w:rFonts w:asciiTheme="minorEastAsia" w:eastAsiaTheme="minorEastAsia" w:hAnsiTheme="minorEastAsia" w:cs="Times New Roman"/>
                <w:color w:val="000000" w:themeColor="text1"/>
                <w:sz w:val="24"/>
                <w:szCs w:val="24"/>
              </w:rPr>
            </w:pPr>
            <w:r w:rsidRPr="000F6E44">
              <w:rPr>
                <w:rFonts w:asciiTheme="minorEastAsia" w:eastAsiaTheme="minorEastAsia" w:hAnsiTheme="minorEastAsia"/>
                <w:color w:val="000000" w:themeColor="text1"/>
                <w:sz w:val="24"/>
                <w:szCs w:val="24"/>
              </w:rPr>
              <w:t>350</w:t>
            </w:r>
          </w:p>
        </w:tc>
        <w:tc>
          <w:tcPr>
            <w:tcW w:w="1115" w:type="dxa"/>
            <w:tcBorders>
              <w:top w:val="nil"/>
              <w:left w:val="nil"/>
              <w:bottom w:val="single" w:sz="4" w:space="0" w:color="auto"/>
              <w:right w:val="single" w:sz="4" w:space="0" w:color="auto"/>
            </w:tcBorders>
            <w:shd w:val="clear" w:color="auto" w:fill="auto"/>
            <w:vAlign w:val="center"/>
          </w:tcPr>
          <w:p w:rsidR="00CF0E45" w:rsidRPr="000F6E44" w:rsidRDefault="00CF0E45" w:rsidP="00A8699E">
            <w:pPr>
              <w:jc w:val="center"/>
              <w:rPr>
                <w:rFonts w:asciiTheme="minorEastAsia" w:eastAsiaTheme="minorEastAsia" w:hAnsiTheme="minorEastAsia" w:cs="Times New Roman"/>
                <w:color w:val="000000" w:themeColor="text1"/>
                <w:sz w:val="24"/>
                <w:szCs w:val="24"/>
              </w:rPr>
            </w:pPr>
            <w:r w:rsidRPr="000F6E44">
              <w:rPr>
                <w:rFonts w:asciiTheme="minorEastAsia" w:eastAsiaTheme="minorEastAsia" w:hAnsiTheme="minorEastAsia"/>
                <w:color w:val="000000" w:themeColor="text1"/>
                <w:sz w:val="24"/>
                <w:szCs w:val="24"/>
              </w:rPr>
              <w:t>35</w:t>
            </w:r>
          </w:p>
        </w:tc>
        <w:tc>
          <w:tcPr>
            <w:tcW w:w="1115" w:type="dxa"/>
            <w:tcBorders>
              <w:top w:val="nil"/>
              <w:left w:val="nil"/>
              <w:bottom w:val="single" w:sz="4" w:space="0" w:color="auto"/>
              <w:right w:val="single" w:sz="4" w:space="0" w:color="auto"/>
            </w:tcBorders>
            <w:shd w:val="clear" w:color="auto" w:fill="auto"/>
            <w:vAlign w:val="center"/>
          </w:tcPr>
          <w:p w:rsidR="00CF0E45" w:rsidRPr="000F6E44" w:rsidRDefault="00CF0E45" w:rsidP="00A8699E">
            <w:pPr>
              <w:jc w:val="center"/>
              <w:rPr>
                <w:rFonts w:asciiTheme="minorEastAsia" w:eastAsiaTheme="minorEastAsia" w:hAnsiTheme="minorEastAsia" w:cs="Times New Roman"/>
                <w:color w:val="000000" w:themeColor="text1"/>
                <w:sz w:val="24"/>
                <w:szCs w:val="24"/>
              </w:rPr>
            </w:pPr>
            <w:r w:rsidRPr="000F6E44">
              <w:rPr>
                <w:rFonts w:asciiTheme="minorEastAsia" w:eastAsiaTheme="minorEastAsia" w:hAnsiTheme="minorEastAsia"/>
                <w:color w:val="000000" w:themeColor="text1"/>
                <w:sz w:val="24"/>
                <w:szCs w:val="24"/>
              </w:rPr>
              <w:t>150</w:t>
            </w:r>
          </w:p>
        </w:tc>
        <w:tc>
          <w:tcPr>
            <w:tcW w:w="1115" w:type="dxa"/>
            <w:tcBorders>
              <w:top w:val="nil"/>
              <w:left w:val="nil"/>
              <w:bottom w:val="single" w:sz="4" w:space="0" w:color="auto"/>
              <w:right w:val="single" w:sz="4" w:space="0" w:color="auto"/>
            </w:tcBorders>
            <w:shd w:val="clear" w:color="auto" w:fill="auto"/>
            <w:vAlign w:val="center"/>
          </w:tcPr>
          <w:p w:rsidR="00CF0E45" w:rsidRPr="000F6E44" w:rsidRDefault="00CF0E45" w:rsidP="00A8699E">
            <w:pPr>
              <w:jc w:val="center"/>
              <w:rPr>
                <w:rFonts w:asciiTheme="minorEastAsia" w:eastAsiaTheme="minorEastAsia" w:hAnsiTheme="minorEastAsia" w:cs="Times New Roman"/>
                <w:color w:val="000000" w:themeColor="text1"/>
                <w:sz w:val="24"/>
                <w:szCs w:val="24"/>
              </w:rPr>
            </w:pPr>
            <w:r w:rsidRPr="000F6E44">
              <w:rPr>
                <w:rFonts w:asciiTheme="minorEastAsia" w:eastAsiaTheme="minorEastAsia" w:hAnsiTheme="minorEastAsia" w:cs="Times New Roman"/>
                <w:color w:val="000000" w:themeColor="text1"/>
                <w:sz w:val="24"/>
                <w:szCs w:val="24"/>
              </w:rPr>
              <w:t>10.5</w:t>
            </w:r>
          </w:p>
        </w:tc>
      </w:tr>
    </w:tbl>
    <w:p w:rsidR="00CF0E45" w:rsidRPr="00A41CE6" w:rsidRDefault="00CF0E45" w:rsidP="00CF0E45">
      <w:pPr>
        <w:adjustRightInd w:val="0"/>
        <w:snapToGrid w:val="0"/>
        <w:spacing w:after="0" w:line="360" w:lineRule="auto"/>
        <w:ind w:firstLineChars="200" w:firstLine="560"/>
        <w:rPr>
          <w:rFonts w:ascii="Times New Roman" w:eastAsiaTheme="minorEastAsia" w:hAnsi="Times New Roman"/>
          <w:color w:val="000000" w:themeColor="text1"/>
          <w:sz w:val="28"/>
          <w:szCs w:val="28"/>
        </w:rPr>
      </w:pPr>
      <w:r w:rsidRPr="00A41CE6">
        <w:rPr>
          <w:rFonts w:ascii="Times New Roman" w:eastAsiaTheme="minorEastAsia" w:hAnsi="Times New Roman" w:hint="eastAsia"/>
          <w:color w:val="000000" w:themeColor="text1"/>
          <w:sz w:val="28"/>
          <w:szCs w:val="28"/>
        </w:rPr>
        <w:t>根据估算得知，海口市</w:t>
      </w:r>
      <w:r w:rsidRPr="00A41CE6">
        <w:rPr>
          <w:rFonts w:ascii="Times New Roman" w:eastAsiaTheme="minorEastAsia" w:hAnsi="Times New Roman" w:hint="eastAsia"/>
          <w:color w:val="000000" w:themeColor="text1"/>
          <w:sz w:val="28"/>
          <w:szCs w:val="28"/>
        </w:rPr>
        <w:t>2025</w:t>
      </w:r>
      <w:r w:rsidRPr="00A41CE6">
        <w:rPr>
          <w:rFonts w:ascii="Times New Roman" w:eastAsiaTheme="minorEastAsia" w:hAnsi="Times New Roman" w:hint="eastAsia"/>
          <w:color w:val="000000" w:themeColor="text1"/>
          <w:sz w:val="28"/>
          <w:szCs w:val="28"/>
        </w:rPr>
        <w:t>年混凝土构件需求量约为</w:t>
      </w:r>
      <w:r w:rsidRPr="00A41CE6">
        <w:rPr>
          <w:rFonts w:ascii="Times New Roman" w:eastAsiaTheme="minorEastAsia" w:hAnsi="Times New Roman"/>
          <w:color w:val="000000" w:themeColor="text1"/>
          <w:sz w:val="28"/>
          <w:szCs w:val="28"/>
        </w:rPr>
        <w:t>35</w:t>
      </w:r>
      <w:r w:rsidRPr="00A41CE6">
        <w:rPr>
          <w:rFonts w:ascii="Times New Roman" w:eastAsiaTheme="minorEastAsia" w:hAnsi="Times New Roman" w:hint="eastAsia"/>
          <w:color w:val="000000" w:themeColor="text1"/>
          <w:sz w:val="28"/>
          <w:szCs w:val="28"/>
        </w:rPr>
        <w:t>万立方米，钢构件需求量约为</w:t>
      </w:r>
      <w:r w:rsidRPr="00A41CE6">
        <w:rPr>
          <w:rFonts w:ascii="Times New Roman" w:eastAsiaTheme="minorEastAsia" w:hAnsi="Times New Roman"/>
          <w:color w:val="000000" w:themeColor="text1"/>
          <w:sz w:val="28"/>
          <w:szCs w:val="28"/>
        </w:rPr>
        <w:t>10.5</w:t>
      </w:r>
      <w:r w:rsidRPr="00A41CE6">
        <w:rPr>
          <w:rFonts w:ascii="Times New Roman" w:eastAsiaTheme="minorEastAsia" w:hAnsi="Times New Roman" w:hint="eastAsia"/>
          <w:color w:val="000000" w:themeColor="text1"/>
          <w:sz w:val="28"/>
          <w:szCs w:val="28"/>
        </w:rPr>
        <w:t>万吨，目前海口市预制混凝土构件厂年产能约为</w:t>
      </w:r>
      <w:r w:rsidRPr="00A41CE6">
        <w:rPr>
          <w:rFonts w:ascii="Times New Roman" w:eastAsiaTheme="minorEastAsia" w:hAnsi="Times New Roman" w:hint="eastAsia"/>
          <w:color w:val="000000" w:themeColor="text1"/>
          <w:sz w:val="28"/>
          <w:szCs w:val="28"/>
        </w:rPr>
        <w:t>40</w:t>
      </w:r>
      <w:r w:rsidRPr="00A41CE6">
        <w:rPr>
          <w:rFonts w:ascii="Times New Roman" w:eastAsiaTheme="minorEastAsia" w:hAnsi="Times New Roman" w:hint="eastAsia"/>
          <w:color w:val="000000" w:themeColor="text1"/>
          <w:sz w:val="28"/>
          <w:szCs w:val="28"/>
        </w:rPr>
        <w:t>万立方米、预制钢结构构件厂年产能约为</w:t>
      </w:r>
      <w:r w:rsidRPr="00A41CE6">
        <w:rPr>
          <w:rFonts w:ascii="Times New Roman" w:eastAsiaTheme="minorEastAsia" w:hAnsi="Times New Roman" w:hint="eastAsia"/>
          <w:color w:val="000000" w:themeColor="text1"/>
          <w:sz w:val="28"/>
          <w:szCs w:val="28"/>
        </w:rPr>
        <w:t>1</w:t>
      </w:r>
      <w:r w:rsidRPr="00A41CE6">
        <w:rPr>
          <w:rFonts w:ascii="Times New Roman" w:eastAsiaTheme="minorEastAsia" w:hAnsi="Times New Roman"/>
          <w:color w:val="000000" w:themeColor="text1"/>
          <w:sz w:val="28"/>
          <w:szCs w:val="28"/>
        </w:rPr>
        <w:t>2</w:t>
      </w:r>
      <w:r w:rsidRPr="00A41CE6">
        <w:rPr>
          <w:rFonts w:ascii="Times New Roman" w:eastAsiaTheme="minorEastAsia" w:hAnsi="Times New Roman"/>
          <w:color w:val="000000" w:themeColor="text1"/>
          <w:sz w:val="28"/>
          <w:szCs w:val="28"/>
        </w:rPr>
        <w:t>万吨，均可</w:t>
      </w:r>
      <w:r w:rsidRPr="00A41CE6">
        <w:rPr>
          <w:rFonts w:ascii="Times New Roman" w:eastAsiaTheme="minorEastAsia" w:hAnsi="Times New Roman" w:hint="eastAsia"/>
          <w:color w:val="000000" w:themeColor="text1"/>
          <w:sz w:val="28"/>
          <w:szCs w:val="28"/>
        </w:rPr>
        <w:t>满足预制构件使用需求。</w:t>
      </w:r>
    </w:p>
    <w:p w:rsidR="005A1264" w:rsidRPr="00A41CE6" w:rsidRDefault="005A1264">
      <w:pPr>
        <w:spacing w:after="0" w:line="240" w:lineRule="auto"/>
        <w:rPr>
          <w:rFonts w:ascii="Times New Roman" w:eastAsia="仿宋" w:hAnsi="Times New Roman"/>
          <w:color w:val="000000" w:themeColor="text1"/>
          <w:sz w:val="28"/>
          <w:szCs w:val="28"/>
        </w:rPr>
      </w:pPr>
    </w:p>
    <w:sectPr w:rsidR="005A1264" w:rsidRPr="00A41CE6">
      <w:pgSz w:w="11906" w:h="16838"/>
      <w:pgMar w:top="1440" w:right="1800" w:bottom="1440" w:left="1800" w:header="851" w:footer="567"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0767A7" w15:done="0"/>
  <w15:commentEx w15:paraId="6D0A19FE" w15:done="0"/>
  <w15:commentEx w15:paraId="558460D5" w15:done="0"/>
  <w15:commentEx w15:paraId="100F5851" w15:done="0"/>
  <w15:commentEx w15:paraId="21344054" w15:done="0"/>
  <w15:commentEx w15:paraId="143700F7" w15:done="0"/>
  <w15:commentEx w15:paraId="32432008" w15:done="0"/>
  <w15:commentEx w15:paraId="4C41235A" w15:done="0"/>
  <w15:commentEx w15:paraId="0B386AC5" w15:done="0"/>
  <w15:commentEx w15:paraId="52162047" w15:done="0"/>
  <w15:commentEx w15:paraId="40172D2A" w15:done="0"/>
  <w15:commentEx w15:paraId="18A979C0" w15:done="0"/>
  <w15:commentEx w15:paraId="50EC2EB4" w15:done="0"/>
  <w15:commentEx w15:paraId="6FFA4728" w15:done="0"/>
  <w15:commentEx w15:paraId="1DCA6FF1" w15:done="0"/>
  <w15:commentEx w15:paraId="4D3D20B6" w15:done="0"/>
  <w15:commentEx w15:paraId="367A77A3" w15:done="0"/>
  <w15:commentEx w15:paraId="16BB620E" w15:done="0"/>
  <w15:commentEx w15:paraId="7A3650E9" w15:done="0"/>
  <w15:commentEx w15:paraId="185C4F98" w15:done="0"/>
  <w15:commentEx w15:paraId="1E2C5029" w15:done="0"/>
  <w15:commentEx w15:paraId="2BFE10D2" w15:done="0"/>
  <w15:commentEx w15:paraId="2A4E258F" w15:done="0"/>
  <w15:commentEx w15:paraId="6CE90FAE" w15:done="0"/>
  <w15:commentEx w15:paraId="69223496" w15:done="0"/>
  <w15:commentEx w15:paraId="7A936BB3" w15:done="0"/>
  <w15:commentEx w15:paraId="12F964A9" w15:done="0"/>
  <w15:commentEx w15:paraId="55F37040" w15:done="0"/>
  <w15:commentEx w15:paraId="67A749B0" w15:done="0"/>
  <w15:commentEx w15:paraId="2D962B2B" w15:done="0"/>
  <w15:commentEx w15:paraId="7B340FDA" w15:done="0"/>
  <w15:commentEx w15:paraId="2FF056A9" w15:done="0"/>
  <w15:commentEx w15:paraId="3AD45499" w15:done="0"/>
  <w15:commentEx w15:paraId="3E1910EE" w15:done="0"/>
  <w15:commentEx w15:paraId="67D76815" w15:done="0"/>
  <w15:commentEx w15:paraId="064976C1" w15:done="0"/>
  <w15:commentEx w15:paraId="1EAA7465" w15:done="0"/>
  <w15:commentEx w15:paraId="31A42205" w15:done="0"/>
  <w15:commentEx w15:paraId="7D923001" w15:done="0"/>
  <w15:commentEx w15:paraId="7A482DF3" w15:done="0"/>
  <w15:commentEx w15:paraId="4EDA42CE" w15:done="0"/>
  <w15:commentEx w15:paraId="0B3C2D00" w15:done="0"/>
  <w15:commentEx w15:paraId="64FC021A" w15:done="0"/>
  <w15:commentEx w15:paraId="4B0D3152" w15:done="0"/>
  <w15:commentEx w15:paraId="5AFE2897" w15:done="0"/>
  <w15:commentEx w15:paraId="3B32412A" w15:done="0"/>
  <w15:commentEx w15:paraId="64131966" w15:done="0"/>
  <w15:commentEx w15:paraId="76D36906" w15:done="0"/>
  <w15:commentEx w15:paraId="710D238B" w15:done="0"/>
  <w15:commentEx w15:paraId="33F93997" w15:done="0"/>
  <w15:commentEx w15:paraId="6AC45343" w15:done="0"/>
  <w15:commentEx w15:paraId="28D62215" w15:done="0"/>
  <w15:commentEx w15:paraId="44745BE4" w15:done="0"/>
  <w15:commentEx w15:paraId="4A333E87" w15:done="0"/>
  <w15:commentEx w15:paraId="2E61356D" w15:done="0"/>
  <w15:commentEx w15:paraId="392B0030" w15:done="0"/>
  <w15:commentEx w15:paraId="63B2095B" w15:done="0"/>
  <w15:commentEx w15:paraId="0BC342E9" w15:done="0"/>
  <w15:commentEx w15:paraId="1EE22A25" w15:done="0"/>
  <w15:commentEx w15:paraId="4A2660EF" w15:done="0"/>
  <w15:commentEx w15:paraId="4C670FD9" w15:done="0"/>
  <w15:commentEx w15:paraId="6CF178BC" w15:done="0"/>
  <w15:commentEx w15:paraId="6F9014DC" w15:done="0"/>
  <w15:commentEx w15:paraId="7E260C85" w15:done="0"/>
  <w15:commentEx w15:paraId="769C5065" w15:done="0"/>
  <w15:commentEx w15:paraId="46BA4AF1" w15:done="0"/>
  <w15:commentEx w15:paraId="49B83FF4" w15:done="0"/>
  <w15:commentEx w15:paraId="326E5A89" w15:done="0"/>
  <w15:commentEx w15:paraId="0D710DA7" w15:done="0"/>
  <w15:commentEx w15:paraId="46906B23" w15:done="0"/>
  <w15:commentEx w15:paraId="174173B2" w15:done="0"/>
  <w15:commentEx w15:paraId="0D9030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55C" w:rsidRDefault="00C5655C">
      <w:pPr>
        <w:spacing w:line="240" w:lineRule="auto"/>
      </w:pPr>
      <w:r>
        <w:separator/>
      </w:r>
    </w:p>
  </w:endnote>
  <w:endnote w:type="continuationSeparator" w:id="0">
    <w:p w:rsidR="00C5655C" w:rsidRDefault="00C56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BB2" w:rsidRDefault="00F62BB2">
    <w:pPr>
      <w:pStyle w:val="a8"/>
      <w:jc w:val="center"/>
    </w:pPr>
    <w:r>
      <w:fldChar w:fldCharType="begin"/>
    </w:r>
    <w:r>
      <w:instrText>PAGE   \* MERGEFORMAT</w:instrText>
    </w:r>
    <w:r>
      <w:fldChar w:fldCharType="separate"/>
    </w:r>
    <w:r w:rsidR="00D1055B" w:rsidRPr="00D1055B">
      <w:rPr>
        <w:noProof/>
        <w:lang w:val="zh-CN"/>
      </w:rPr>
      <w:t>26</w:t>
    </w:r>
    <w:r>
      <w:fldChar w:fldCharType="end"/>
    </w:r>
  </w:p>
  <w:p w:rsidR="00F62BB2" w:rsidRDefault="00F62B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55C" w:rsidRDefault="00C5655C">
      <w:pPr>
        <w:spacing w:after="0"/>
      </w:pPr>
      <w:r>
        <w:separator/>
      </w:r>
    </w:p>
  </w:footnote>
  <w:footnote w:type="continuationSeparator" w:id="0">
    <w:p w:rsidR="00C5655C" w:rsidRDefault="00C5655C">
      <w:pPr>
        <w:spacing w:after="0"/>
      </w:pPr>
      <w:r>
        <w:continuationSeparator/>
      </w:r>
    </w:p>
  </w:footnote>
  <w:footnote w:id="1">
    <w:p w:rsidR="00F62BB2" w:rsidRPr="00D8645D" w:rsidRDefault="00F62BB2">
      <w:pPr>
        <w:pStyle w:val="ab"/>
      </w:pPr>
      <w:r w:rsidRPr="00D8645D">
        <w:rPr>
          <w:rStyle w:val="af4"/>
        </w:rPr>
        <w:footnoteRef/>
      </w:r>
      <w:r w:rsidRPr="007731E6">
        <w:rPr>
          <w:rFonts w:hint="eastAsia"/>
        </w:rPr>
        <w:t>海口年鉴</w:t>
      </w:r>
      <w:r w:rsidRPr="00FC2837">
        <w:t>2022</w:t>
      </w:r>
    </w:p>
  </w:footnote>
  <w:footnote w:id="2">
    <w:p w:rsidR="00F62BB2" w:rsidRDefault="00F62BB2">
      <w:pPr>
        <w:pStyle w:val="ab"/>
      </w:pPr>
      <w:r w:rsidRPr="007306EA">
        <w:rPr>
          <w:rStyle w:val="af4"/>
        </w:rPr>
        <w:footnoteRef/>
      </w:r>
      <w:r w:rsidRPr="007306EA">
        <w:rPr>
          <w:rFonts w:hint="eastAsia"/>
        </w:rPr>
        <w:t>海口年鉴</w:t>
      </w:r>
      <w:r w:rsidRPr="007306EA">
        <w:rPr>
          <w:rFonts w:hint="eastAsia"/>
        </w:rPr>
        <w:t>2022</w:t>
      </w:r>
    </w:p>
  </w:footnote>
  <w:footnote w:id="3">
    <w:p w:rsidR="00F62BB2" w:rsidRPr="00440CCE" w:rsidRDefault="00F62BB2">
      <w:pPr>
        <w:pStyle w:val="ab"/>
      </w:pPr>
      <w:r>
        <w:rPr>
          <w:rStyle w:val="af4"/>
        </w:rPr>
        <w:footnoteRef/>
      </w:r>
      <w:r>
        <w:t xml:space="preserve"> </w:t>
      </w:r>
      <w:r>
        <w:rPr>
          <w:rFonts w:hint="eastAsia"/>
        </w:rPr>
        <w:t>数据来源于海南省住房和城乡建设厅，统计口径为当年城镇新开工建筑面积</w:t>
      </w:r>
    </w:p>
  </w:footnote>
  <w:footnote w:id="4">
    <w:p w:rsidR="00F62BB2" w:rsidRDefault="00F62BB2">
      <w:pPr>
        <w:pStyle w:val="ab"/>
      </w:pPr>
      <w:r>
        <w:rPr>
          <w:rStyle w:val="af4"/>
        </w:rPr>
        <w:footnoteRef/>
      </w:r>
      <w:r>
        <w:t xml:space="preserve"> </w:t>
      </w:r>
      <w:r>
        <w:rPr>
          <w:rFonts w:hint="eastAsia"/>
        </w:rPr>
        <w:t>数据来源于海口市统计局</w:t>
      </w:r>
    </w:p>
  </w:footnote>
  <w:footnote w:id="5">
    <w:p w:rsidR="00F62BB2" w:rsidRDefault="00F62BB2">
      <w:pPr>
        <w:pStyle w:val="ab"/>
      </w:pPr>
      <w:r>
        <w:rPr>
          <w:rStyle w:val="af4"/>
        </w:rPr>
        <w:footnoteRef/>
      </w:r>
      <w:r>
        <w:rPr>
          <w:rFonts w:hint="eastAsia"/>
        </w:rPr>
        <w:t>海口年鉴</w:t>
      </w:r>
      <w:r>
        <w:rPr>
          <w:rFonts w:hint="eastAsia"/>
        </w:rPr>
        <w:t>2021~2022</w:t>
      </w:r>
      <w:r>
        <w:rPr>
          <w:rFonts w:hint="eastAsia"/>
        </w:rPr>
        <w:t>；</w:t>
      </w:r>
    </w:p>
  </w:footnote>
  <w:footnote w:id="6">
    <w:p w:rsidR="00F62BB2" w:rsidRDefault="00F62BB2">
      <w:pPr>
        <w:pStyle w:val="ab"/>
      </w:pPr>
      <w:r>
        <w:rPr>
          <w:rStyle w:val="af4"/>
        </w:rPr>
        <w:footnoteRef/>
      </w:r>
      <w:r>
        <w:t xml:space="preserve"> </w:t>
      </w:r>
      <w:r>
        <w:rPr>
          <w:rFonts w:hint="eastAsia"/>
        </w:rPr>
        <w:t>数据来源：全国房屋建筑和市政设施调查系统</w:t>
      </w:r>
    </w:p>
  </w:footnote>
  <w:footnote w:id="7">
    <w:p w:rsidR="00F62BB2" w:rsidRDefault="00F62BB2">
      <w:pPr>
        <w:pStyle w:val="ab"/>
      </w:pPr>
      <w:r>
        <w:rPr>
          <w:rStyle w:val="af4"/>
        </w:rPr>
        <w:footnoteRef/>
      </w:r>
      <w:r>
        <w:t xml:space="preserve"> </w:t>
      </w:r>
      <w:r>
        <w:rPr>
          <w:rFonts w:hint="eastAsia"/>
        </w:rPr>
        <w:t>数据来源：海南省住房和城乡建设厅</w:t>
      </w:r>
    </w:p>
  </w:footnote>
  <w:footnote w:id="8">
    <w:p w:rsidR="00F62BB2" w:rsidRDefault="00F62BB2">
      <w:pPr>
        <w:pStyle w:val="ab"/>
      </w:pPr>
      <w:r>
        <w:rPr>
          <w:rStyle w:val="af4"/>
        </w:rPr>
        <w:footnoteRef/>
      </w:r>
      <w:r>
        <w:t xml:space="preserve"> </w:t>
      </w:r>
      <w:r>
        <w:rPr>
          <w:rFonts w:hint="eastAsia"/>
        </w:rPr>
        <w:t>数据来源于海口市住建局，统计口径为报建阶段通过装配式实施方案的项目统计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27443"/>
    <w:multiLevelType w:val="hybridMultilevel"/>
    <w:tmpl w:val="4EC4218A"/>
    <w:lvl w:ilvl="0" w:tplc="A2ECAFBC">
      <w:start w:val="1"/>
      <w:numFmt w:val="japaneseCounting"/>
      <w:lvlText w:val="%1．"/>
      <w:lvlJc w:val="left"/>
      <w:pPr>
        <w:ind w:left="528" w:hanging="528"/>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196568DB"/>
    <w:multiLevelType w:val="hybridMultilevel"/>
    <w:tmpl w:val="0714D58E"/>
    <w:lvl w:ilvl="0" w:tplc="82AC850E">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y hah酋长">
    <w15:presenceInfo w15:providerId="WPS Office" w15:userId="219284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defaultTabStop w:val="420"/>
  <w:drawingGridHorizontalSpacing w:val="1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ZjQzZTVhMzAzNTA1YmQ3ZDM2ZmVlZjczOWVhMGUifQ=="/>
  </w:docVars>
  <w:rsids>
    <w:rsidRoot w:val="00FD6081"/>
    <w:rsid w:val="00001852"/>
    <w:rsid w:val="0000210B"/>
    <w:rsid w:val="00002293"/>
    <w:rsid w:val="000026A3"/>
    <w:rsid w:val="0000316F"/>
    <w:rsid w:val="00003A26"/>
    <w:rsid w:val="000044FB"/>
    <w:rsid w:val="00004BD2"/>
    <w:rsid w:val="00006B7D"/>
    <w:rsid w:val="00006B84"/>
    <w:rsid w:val="0000780F"/>
    <w:rsid w:val="0000790E"/>
    <w:rsid w:val="00010DDC"/>
    <w:rsid w:val="00011AF3"/>
    <w:rsid w:val="00011FAD"/>
    <w:rsid w:val="000121B9"/>
    <w:rsid w:val="000127A3"/>
    <w:rsid w:val="00012B69"/>
    <w:rsid w:val="00012E88"/>
    <w:rsid w:val="000131C4"/>
    <w:rsid w:val="00013641"/>
    <w:rsid w:val="00015415"/>
    <w:rsid w:val="0001626B"/>
    <w:rsid w:val="00021AA3"/>
    <w:rsid w:val="000231E5"/>
    <w:rsid w:val="00026D1E"/>
    <w:rsid w:val="000303A2"/>
    <w:rsid w:val="00031164"/>
    <w:rsid w:val="000313B4"/>
    <w:rsid w:val="000314F4"/>
    <w:rsid w:val="000328CA"/>
    <w:rsid w:val="000349FC"/>
    <w:rsid w:val="00034A71"/>
    <w:rsid w:val="0003543D"/>
    <w:rsid w:val="000358CE"/>
    <w:rsid w:val="00035FF7"/>
    <w:rsid w:val="0003652D"/>
    <w:rsid w:val="00036A83"/>
    <w:rsid w:val="00036FDE"/>
    <w:rsid w:val="00037221"/>
    <w:rsid w:val="000379F0"/>
    <w:rsid w:val="000419CF"/>
    <w:rsid w:val="00042A33"/>
    <w:rsid w:val="00042F50"/>
    <w:rsid w:val="0004337A"/>
    <w:rsid w:val="000446D7"/>
    <w:rsid w:val="0004510D"/>
    <w:rsid w:val="0004548B"/>
    <w:rsid w:val="0004611E"/>
    <w:rsid w:val="00052A70"/>
    <w:rsid w:val="00052D75"/>
    <w:rsid w:val="0005319B"/>
    <w:rsid w:val="0005448F"/>
    <w:rsid w:val="00056581"/>
    <w:rsid w:val="00057167"/>
    <w:rsid w:val="000571DB"/>
    <w:rsid w:val="00057861"/>
    <w:rsid w:val="00057C2B"/>
    <w:rsid w:val="000611A6"/>
    <w:rsid w:val="00061594"/>
    <w:rsid w:val="00062FD5"/>
    <w:rsid w:val="00065097"/>
    <w:rsid w:val="000657AB"/>
    <w:rsid w:val="00066F25"/>
    <w:rsid w:val="000718EE"/>
    <w:rsid w:val="000719D9"/>
    <w:rsid w:val="00072486"/>
    <w:rsid w:val="0007267A"/>
    <w:rsid w:val="00072F81"/>
    <w:rsid w:val="000746E5"/>
    <w:rsid w:val="00075B24"/>
    <w:rsid w:val="0007716D"/>
    <w:rsid w:val="00083E01"/>
    <w:rsid w:val="00084B0C"/>
    <w:rsid w:val="0008528D"/>
    <w:rsid w:val="0008563F"/>
    <w:rsid w:val="000869E1"/>
    <w:rsid w:val="00086D17"/>
    <w:rsid w:val="0008767B"/>
    <w:rsid w:val="00090047"/>
    <w:rsid w:val="000900FD"/>
    <w:rsid w:val="00092E32"/>
    <w:rsid w:val="00093C49"/>
    <w:rsid w:val="000958DA"/>
    <w:rsid w:val="00095C85"/>
    <w:rsid w:val="000973C3"/>
    <w:rsid w:val="000A1294"/>
    <w:rsid w:val="000A2DAD"/>
    <w:rsid w:val="000A4561"/>
    <w:rsid w:val="000A4DF8"/>
    <w:rsid w:val="000A542E"/>
    <w:rsid w:val="000A58A8"/>
    <w:rsid w:val="000A6683"/>
    <w:rsid w:val="000B04EA"/>
    <w:rsid w:val="000B287B"/>
    <w:rsid w:val="000B3A45"/>
    <w:rsid w:val="000B3B95"/>
    <w:rsid w:val="000B459F"/>
    <w:rsid w:val="000B6362"/>
    <w:rsid w:val="000B733B"/>
    <w:rsid w:val="000B7CD2"/>
    <w:rsid w:val="000C010E"/>
    <w:rsid w:val="000C18E2"/>
    <w:rsid w:val="000C227F"/>
    <w:rsid w:val="000C4D34"/>
    <w:rsid w:val="000D0FEB"/>
    <w:rsid w:val="000D254D"/>
    <w:rsid w:val="000D2DDE"/>
    <w:rsid w:val="000D4773"/>
    <w:rsid w:val="000D69C4"/>
    <w:rsid w:val="000D71C7"/>
    <w:rsid w:val="000D73FE"/>
    <w:rsid w:val="000E13FA"/>
    <w:rsid w:val="000E15B4"/>
    <w:rsid w:val="000E48C6"/>
    <w:rsid w:val="000E5126"/>
    <w:rsid w:val="000E68A3"/>
    <w:rsid w:val="000E6D32"/>
    <w:rsid w:val="000E7896"/>
    <w:rsid w:val="000E7A8D"/>
    <w:rsid w:val="000F0FF4"/>
    <w:rsid w:val="000F2451"/>
    <w:rsid w:val="000F446F"/>
    <w:rsid w:val="000F4748"/>
    <w:rsid w:val="000F4AD1"/>
    <w:rsid w:val="000F58EE"/>
    <w:rsid w:val="000F5B69"/>
    <w:rsid w:val="000F6172"/>
    <w:rsid w:val="000F641A"/>
    <w:rsid w:val="000F6A1E"/>
    <w:rsid w:val="000F6E44"/>
    <w:rsid w:val="000F6FA8"/>
    <w:rsid w:val="00104ADC"/>
    <w:rsid w:val="00104C3D"/>
    <w:rsid w:val="001060AD"/>
    <w:rsid w:val="00106EB6"/>
    <w:rsid w:val="00107FF0"/>
    <w:rsid w:val="00110AEA"/>
    <w:rsid w:val="0011260B"/>
    <w:rsid w:val="001133EE"/>
    <w:rsid w:val="001145A2"/>
    <w:rsid w:val="00116BD1"/>
    <w:rsid w:val="00120F02"/>
    <w:rsid w:val="0012218B"/>
    <w:rsid w:val="00122DBC"/>
    <w:rsid w:val="00123B06"/>
    <w:rsid w:val="0012401D"/>
    <w:rsid w:val="00125166"/>
    <w:rsid w:val="00125541"/>
    <w:rsid w:val="00126DA5"/>
    <w:rsid w:val="00132841"/>
    <w:rsid w:val="00133369"/>
    <w:rsid w:val="00133AF3"/>
    <w:rsid w:val="00133F5A"/>
    <w:rsid w:val="00136E61"/>
    <w:rsid w:val="001408F9"/>
    <w:rsid w:val="001414AC"/>
    <w:rsid w:val="00141570"/>
    <w:rsid w:val="0014225C"/>
    <w:rsid w:val="001445B2"/>
    <w:rsid w:val="0014587E"/>
    <w:rsid w:val="00146A28"/>
    <w:rsid w:val="00152451"/>
    <w:rsid w:val="00155202"/>
    <w:rsid w:val="0015626F"/>
    <w:rsid w:val="001619B3"/>
    <w:rsid w:val="00161C56"/>
    <w:rsid w:val="0016498C"/>
    <w:rsid w:val="00164DCB"/>
    <w:rsid w:val="00167B32"/>
    <w:rsid w:val="001706C3"/>
    <w:rsid w:val="00170EEE"/>
    <w:rsid w:val="0017167B"/>
    <w:rsid w:val="00174D45"/>
    <w:rsid w:val="001751D4"/>
    <w:rsid w:val="00175FEC"/>
    <w:rsid w:val="0017611D"/>
    <w:rsid w:val="001808FD"/>
    <w:rsid w:val="00182C8F"/>
    <w:rsid w:val="0018504E"/>
    <w:rsid w:val="001902FC"/>
    <w:rsid w:val="00190D5B"/>
    <w:rsid w:val="00194217"/>
    <w:rsid w:val="0019602C"/>
    <w:rsid w:val="00196CB5"/>
    <w:rsid w:val="00197A01"/>
    <w:rsid w:val="00197B22"/>
    <w:rsid w:val="001A06C0"/>
    <w:rsid w:val="001A12D4"/>
    <w:rsid w:val="001A2829"/>
    <w:rsid w:val="001A306C"/>
    <w:rsid w:val="001A3122"/>
    <w:rsid w:val="001A57CA"/>
    <w:rsid w:val="001A7AFE"/>
    <w:rsid w:val="001A7BCC"/>
    <w:rsid w:val="001B17B9"/>
    <w:rsid w:val="001B1818"/>
    <w:rsid w:val="001B1CCE"/>
    <w:rsid w:val="001B2204"/>
    <w:rsid w:val="001B2F40"/>
    <w:rsid w:val="001B35FC"/>
    <w:rsid w:val="001B3D5A"/>
    <w:rsid w:val="001B51CD"/>
    <w:rsid w:val="001B59C0"/>
    <w:rsid w:val="001C0248"/>
    <w:rsid w:val="001C1239"/>
    <w:rsid w:val="001C157E"/>
    <w:rsid w:val="001C3C14"/>
    <w:rsid w:val="001C60FB"/>
    <w:rsid w:val="001C6D15"/>
    <w:rsid w:val="001C738B"/>
    <w:rsid w:val="001D02F6"/>
    <w:rsid w:val="001D030C"/>
    <w:rsid w:val="001D2767"/>
    <w:rsid w:val="001D541E"/>
    <w:rsid w:val="001D5632"/>
    <w:rsid w:val="001D5FB3"/>
    <w:rsid w:val="001D6093"/>
    <w:rsid w:val="001E06F8"/>
    <w:rsid w:val="001E2C47"/>
    <w:rsid w:val="001E39AA"/>
    <w:rsid w:val="001E4CE8"/>
    <w:rsid w:val="001E5C4B"/>
    <w:rsid w:val="001F1376"/>
    <w:rsid w:val="001F2103"/>
    <w:rsid w:val="001F4B88"/>
    <w:rsid w:val="001F54DC"/>
    <w:rsid w:val="001F5E5A"/>
    <w:rsid w:val="001F60CE"/>
    <w:rsid w:val="001F63DC"/>
    <w:rsid w:val="00200352"/>
    <w:rsid w:val="00203A03"/>
    <w:rsid w:val="00203FD3"/>
    <w:rsid w:val="002052BE"/>
    <w:rsid w:val="002055BA"/>
    <w:rsid w:val="00207047"/>
    <w:rsid w:val="002075F3"/>
    <w:rsid w:val="00210047"/>
    <w:rsid w:val="00211409"/>
    <w:rsid w:val="00211DA5"/>
    <w:rsid w:val="00216781"/>
    <w:rsid w:val="00221BD3"/>
    <w:rsid w:val="00221F36"/>
    <w:rsid w:val="002223A4"/>
    <w:rsid w:val="00222A1C"/>
    <w:rsid w:val="00222A4B"/>
    <w:rsid w:val="002235CA"/>
    <w:rsid w:val="002239EE"/>
    <w:rsid w:val="002249BC"/>
    <w:rsid w:val="00230FF3"/>
    <w:rsid w:val="002313C9"/>
    <w:rsid w:val="00232C07"/>
    <w:rsid w:val="00232CF9"/>
    <w:rsid w:val="002354F8"/>
    <w:rsid w:val="00235BAB"/>
    <w:rsid w:val="00235FFE"/>
    <w:rsid w:val="00236B87"/>
    <w:rsid w:val="00236E26"/>
    <w:rsid w:val="002370D3"/>
    <w:rsid w:val="002371CB"/>
    <w:rsid w:val="0024125E"/>
    <w:rsid w:val="002421FD"/>
    <w:rsid w:val="00242472"/>
    <w:rsid w:val="002424FA"/>
    <w:rsid w:val="002424FB"/>
    <w:rsid w:val="002434E7"/>
    <w:rsid w:val="00247DCC"/>
    <w:rsid w:val="00253677"/>
    <w:rsid w:val="00253A95"/>
    <w:rsid w:val="00254911"/>
    <w:rsid w:val="00255877"/>
    <w:rsid w:val="00255C45"/>
    <w:rsid w:val="00255D45"/>
    <w:rsid w:val="00255F00"/>
    <w:rsid w:val="00256CE4"/>
    <w:rsid w:val="0025743D"/>
    <w:rsid w:val="0025772B"/>
    <w:rsid w:val="00257C75"/>
    <w:rsid w:val="00260049"/>
    <w:rsid w:val="00260C0B"/>
    <w:rsid w:val="002628E5"/>
    <w:rsid w:val="00263921"/>
    <w:rsid w:val="00263B22"/>
    <w:rsid w:val="002656F6"/>
    <w:rsid w:val="002657C3"/>
    <w:rsid w:val="00266EBF"/>
    <w:rsid w:val="00267090"/>
    <w:rsid w:val="002706F5"/>
    <w:rsid w:val="002711F2"/>
    <w:rsid w:val="002714E9"/>
    <w:rsid w:val="00271DD8"/>
    <w:rsid w:val="002720CE"/>
    <w:rsid w:val="00276101"/>
    <w:rsid w:val="00277960"/>
    <w:rsid w:val="0028131A"/>
    <w:rsid w:val="0028207A"/>
    <w:rsid w:val="00282834"/>
    <w:rsid w:val="00283084"/>
    <w:rsid w:val="00284048"/>
    <w:rsid w:val="002844B6"/>
    <w:rsid w:val="0028540B"/>
    <w:rsid w:val="00290613"/>
    <w:rsid w:val="00291F9A"/>
    <w:rsid w:val="002936FD"/>
    <w:rsid w:val="00293976"/>
    <w:rsid w:val="00295A1E"/>
    <w:rsid w:val="00295F41"/>
    <w:rsid w:val="0029639D"/>
    <w:rsid w:val="00297C43"/>
    <w:rsid w:val="002A0B68"/>
    <w:rsid w:val="002A1C68"/>
    <w:rsid w:val="002A2FD9"/>
    <w:rsid w:val="002A372A"/>
    <w:rsid w:val="002A5184"/>
    <w:rsid w:val="002A53B3"/>
    <w:rsid w:val="002A67AC"/>
    <w:rsid w:val="002B1570"/>
    <w:rsid w:val="002B2E69"/>
    <w:rsid w:val="002B3E23"/>
    <w:rsid w:val="002B43C7"/>
    <w:rsid w:val="002B5184"/>
    <w:rsid w:val="002B5E52"/>
    <w:rsid w:val="002B65DB"/>
    <w:rsid w:val="002B667B"/>
    <w:rsid w:val="002C2DB8"/>
    <w:rsid w:val="002C438B"/>
    <w:rsid w:val="002C5850"/>
    <w:rsid w:val="002C7EBE"/>
    <w:rsid w:val="002D125A"/>
    <w:rsid w:val="002D197E"/>
    <w:rsid w:val="002D1C33"/>
    <w:rsid w:val="002D2A4B"/>
    <w:rsid w:val="002D2A95"/>
    <w:rsid w:val="002D6019"/>
    <w:rsid w:val="002D61AE"/>
    <w:rsid w:val="002D6E0C"/>
    <w:rsid w:val="002E1698"/>
    <w:rsid w:val="002E1ED0"/>
    <w:rsid w:val="002E208A"/>
    <w:rsid w:val="002E24B7"/>
    <w:rsid w:val="002E410C"/>
    <w:rsid w:val="002E4164"/>
    <w:rsid w:val="002E60E4"/>
    <w:rsid w:val="002E6730"/>
    <w:rsid w:val="002E7569"/>
    <w:rsid w:val="002E76B6"/>
    <w:rsid w:val="002E76C5"/>
    <w:rsid w:val="002F2169"/>
    <w:rsid w:val="002F2A93"/>
    <w:rsid w:val="002F6ACC"/>
    <w:rsid w:val="002F7644"/>
    <w:rsid w:val="002F7667"/>
    <w:rsid w:val="00302C23"/>
    <w:rsid w:val="0030306C"/>
    <w:rsid w:val="003036BC"/>
    <w:rsid w:val="00303C24"/>
    <w:rsid w:val="003044FA"/>
    <w:rsid w:val="0030546D"/>
    <w:rsid w:val="00305985"/>
    <w:rsid w:val="00306681"/>
    <w:rsid w:val="00307CCD"/>
    <w:rsid w:val="003115EE"/>
    <w:rsid w:val="00311B25"/>
    <w:rsid w:val="00311CF4"/>
    <w:rsid w:val="00312A81"/>
    <w:rsid w:val="003202A6"/>
    <w:rsid w:val="0032085A"/>
    <w:rsid w:val="00322335"/>
    <w:rsid w:val="0032519A"/>
    <w:rsid w:val="003256F3"/>
    <w:rsid w:val="003270B6"/>
    <w:rsid w:val="0032725C"/>
    <w:rsid w:val="003310EE"/>
    <w:rsid w:val="00331A4A"/>
    <w:rsid w:val="003353F1"/>
    <w:rsid w:val="0033555B"/>
    <w:rsid w:val="00335768"/>
    <w:rsid w:val="00335B9B"/>
    <w:rsid w:val="003401F6"/>
    <w:rsid w:val="00340C51"/>
    <w:rsid w:val="00341FA4"/>
    <w:rsid w:val="00342440"/>
    <w:rsid w:val="0034290E"/>
    <w:rsid w:val="003437E4"/>
    <w:rsid w:val="00344D33"/>
    <w:rsid w:val="00346DCE"/>
    <w:rsid w:val="0034719F"/>
    <w:rsid w:val="00354442"/>
    <w:rsid w:val="00356CE4"/>
    <w:rsid w:val="0036049E"/>
    <w:rsid w:val="003654CF"/>
    <w:rsid w:val="003655ED"/>
    <w:rsid w:val="00365D1C"/>
    <w:rsid w:val="003662C4"/>
    <w:rsid w:val="00366F6B"/>
    <w:rsid w:val="00367E33"/>
    <w:rsid w:val="00373D7F"/>
    <w:rsid w:val="00374345"/>
    <w:rsid w:val="0038124B"/>
    <w:rsid w:val="0038222C"/>
    <w:rsid w:val="003851C4"/>
    <w:rsid w:val="0038596A"/>
    <w:rsid w:val="00386098"/>
    <w:rsid w:val="0038642C"/>
    <w:rsid w:val="00387A92"/>
    <w:rsid w:val="00387DFB"/>
    <w:rsid w:val="00390522"/>
    <w:rsid w:val="00390932"/>
    <w:rsid w:val="00391585"/>
    <w:rsid w:val="00391DE6"/>
    <w:rsid w:val="00392112"/>
    <w:rsid w:val="00392711"/>
    <w:rsid w:val="003934DE"/>
    <w:rsid w:val="003937A3"/>
    <w:rsid w:val="00393B7D"/>
    <w:rsid w:val="003949F0"/>
    <w:rsid w:val="00395384"/>
    <w:rsid w:val="00395637"/>
    <w:rsid w:val="00396FAF"/>
    <w:rsid w:val="0039774E"/>
    <w:rsid w:val="003A012A"/>
    <w:rsid w:val="003A188B"/>
    <w:rsid w:val="003A30EE"/>
    <w:rsid w:val="003A35A6"/>
    <w:rsid w:val="003A361F"/>
    <w:rsid w:val="003A3C78"/>
    <w:rsid w:val="003A724C"/>
    <w:rsid w:val="003A7694"/>
    <w:rsid w:val="003B08FF"/>
    <w:rsid w:val="003B0903"/>
    <w:rsid w:val="003B316B"/>
    <w:rsid w:val="003B3F07"/>
    <w:rsid w:val="003B4853"/>
    <w:rsid w:val="003C0082"/>
    <w:rsid w:val="003C06F7"/>
    <w:rsid w:val="003C11C6"/>
    <w:rsid w:val="003C3F79"/>
    <w:rsid w:val="003C5FFA"/>
    <w:rsid w:val="003C6530"/>
    <w:rsid w:val="003C765A"/>
    <w:rsid w:val="003D1F27"/>
    <w:rsid w:val="003D3378"/>
    <w:rsid w:val="003D37D9"/>
    <w:rsid w:val="003D5B7B"/>
    <w:rsid w:val="003D6110"/>
    <w:rsid w:val="003D62C7"/>
    <w:rsid w:val="003D7929"/>
    <w:rsid w:val="003E07D6"/>
    <w:rsid w:val="003E2142"/>
    <w:rsid w:val="003E2B26"/>
    <w:rsid w:val="003E399E"/>
    <w:rsid w:val="003E4288"/>
    <w:rsid w:val="003E508C"/>
    <w:rsid w:val="003E50F9"/>
    <w:rsid w:val="003E55F9"/>
    <w:rsid w:val="003E5D2A"/>
    <w:rsid w:val="003E6540"/>
    <w:rsid w:val="003E6F5A"/>
    <w:rsid w:val="003E717F"/>
    <w:rsid w:val="003F1919"/>
    <w:rsid w:val="003F345E"/>
    <w:rsid w:val="003F433A"/>
    <w:rsid w:val="003F44AC"/>
    <w:rsid w:val="003F4D47"/>
    <w:rsid w:val="003F4D95"/>
    <w:rsid w:val="003F6905"/>
    <w:rsid w:val="003F7C49"/>
    <w:rsid w:val="004004E1"/>
    <w:rsid w:val="00401E11"/>
    <w:rsid w:val="00402472"/>
    <w:rsid w:val="004050B4"/>
    <w:rsid w:val="0040631F"/>
    <w:rsid w:val="004074EB"/>
    <w:rsid w:val="00407C1F"/>
    <w:rsid w:val="00410A04"/>
    <w:rsid w:val="0041261B"/>
    <w:rsid w:val="00412731"/>
    <w:rsid w:val="00414052"/>
    <w:rsid w:val="00414146"/>
    <w:rsid w:val="00415BD4"/>
    <w:rsid w:val="004164B2"/>
    <w:rsid w:val="00416AA9"/>
    <w:rsid w:val="004178BA"/>
    <w:rsid w:val="00417909"/>
    <w:rsid w:val="00420590"/>
    <w:rsid w:val="0042188C"/>
    <w:rsid w:val="0042227A"/>
    <w:rsid w:val="004228AA"/>
    <w:rsid w:val="0042393F"/>
    <w:rsid w:val="004241B8"/>
    <w:rsid w:val="00424EE0"/>
    <w:rsid w:val="00434B9A"/>
    <w:rsid w:val="00435319"/>
    <w:rsid w:val="004353A0"/>
    <w:rsid w:val="00440CCE"/>
    <w:rsid w:val="0044247B"/>
    <w:rsid w:val="00443321"/>
    <w:rsid w:val="00443903"/>
    <w:rsid w:val="0044393A"/>
    <w:rsid w:val="00443C9A"/>
    <w:rsid w:val="004447CF"/>
    <w:rsid w:val="00444D97"/>
    <w:rsid w:val="004453BF"/>
    <w:rsid w:val="004461BD"/>
    <w:rsid w:val="00446CE3"/>
    <w:rsid w:val="00447073"/>
    <w:rsid w:val="004475FD"/>
    <w:rsid w:val="00447967"/>
    <w:rsid w:val="00447B3E"/>
    <w:rsid w:val="004500BD"/>
    <w:rsid w:val="00451729"/>
    <w:rsid w:val="00451813"/>
    <w:rsid w:val="00452095"/>
    <w:rsid w:val="00453BCC"/>
    <w:rsid w:val="00454BEC"/>
    <w:rsid w:val="004553C9"/>
    <w:rsid w:val="00457328"/>
    <w:rsid w:val="00457623"/>
    <w:rsid w:val="0046050C"/>
    <w:rsid w:val="004605AE"/>
    <w:rsid w:val="00461098"/>
    <w:rsid w:val="00462946"/>
    <w:rsid w:val="004629E8"/>
    <w:rsid w:val="00463577"/>
    <w:rsid w:val="00464E32"/>
    <w:rsid w:val="00465502"/>
    <w:rsid w:val="00470FE5"/>
    <w:rsid w:val="0047246A"/>
    <w:rsid w:val="00476050"/>
    <w:rsid w:val="004762C3"/>
    <w:rsid w:val="00476966"/>
    <w:rsid w:val="0047799B"/>
    <w:rsid w:val="00480D43"/>
    <w:rsid w:val="00483007"/>
    <w:rsid w:val="004843CF"/>
    <w:rsid w:val="00484BD1"/>
    <w:rsid w:val="00484F1A"/>
    <w:rsid w:val="004855A0"/>
    <w:rsid w:val="0048728F"/>
    <w:rsid w:val="004906F7"/>
    <w:rsid w:val="00490904"/>
    <w:rsid w:val="0049128A"/>
    <w:rsid w:val="00491B6F"/>
    <w:rsid w:val="00492F35"/>
    <w:rsid w:val="00494926"/>
    <w:rsid w:val="004953D2"/>
    <w:rsid w:val="00495C0F"/>
    <w:rsid w:val="00495D52"/>
    <w:rsid w:val="00495F9A"/>
    <w:rsid w:val="00496A33"/>
    <w:rsid w:val="004A0323"/>
    <w:rsid w:val="004A151B"/>
    <w:rsid w:val="004A189B"/>
    <w:rsid w:val="004A1C9A"/>
    <w:rsid w:val="004A1D30"/>
    <w:rsid w:val="004A38E9"/>
    <w:rsid w:val="004A3911"/>
    <w:rsid w:val="004A3C63"/>
    <w:rsid w:val="004A60EC"/>
    <w:rsid w:val="004B28E9"/>
    <w:rsid w:val="004B28F3"/>
    <w:rsid w:val="004B2D54"/>
    <w:rsid w:val="004B52E8"/>
    <w:rsid w:val="004B5ABB"/>
    <w:rsid w:val="004B635E"/>
    <w:rsid w:val="004B6772"/>
    <w:rsid w:val="004B6B9B"/>
    <w:rsid w:val="004C02DC"/>
    <w:rsid w:val="004C0850"/>
    <w:rsid w:val="004C1295"/>
    <w:rsid w:val="004C1A9A"/>
    <w:rsid w:val="004C283E"/>
    <w:rsid w:val="004C4510"/>
    <w:rsid w:val="004C4F36"/>
    <w:rsid w:val="004C5CE3"/>
    <w:rsid w:val="004C6C47"/>
    <w:rsid w:val="004C709B"/>
    <w:rsid w:val="004C7191"/>
    <w:rsid w:val="004C7CA4"/>
    <w:rsid w:val="004D1388"/>
    <w:rsid w:val="004D359C"/>
    <w:rsid w:val="004D45B5"/>
    <w:rsid w:val="004D5364"/>
    <w:rsid w:val="004D75CC"/>
    <w:rsid w:val="004E0373"/>
    <w:rsid w:val="004E3621"/>
    <w:rsid w:val="004E5B32"/>
    <w:rsid w:val="004E6CCB"/>
    <w:rsid w:val="004F0D65"/>
    <w:rsid w:val="004F2FC6"/>
    <w:rsid w:val="004F3B8C"/>
    <w:rsid w:val="004F5F39"/>
    <w:rsid w:val="004F7337"/>
    <w:rsid w:val="005010E7"/>
    <w:rsid w:val="0050345B"/>
    <w:rsid w:val="005042E2"/>
    <w:rsid w:val="00505393"/>
    <w:rsid w:val="00505734"/>
    <w:rsid w:val="0050578B"/>
    <w:rsid w:val="00505E0C"/>
    <w:rsid w:val="00506596"/>
    <w:rsid w:val="005106C1"/>
    <w:rsid w:val="0051149F"/>
    <w:rsid w:val="00512DC3"/>
    <w:rsid w:val="0051594B"/>
    <w:rsid w:val="00516109"/>
    <w:rsid w:val="005178D0"/>
    <w:rsid w:val="005250DB"/>
    <w:rsid w:val="00526124"/>
    <w:rsid w:val="005263ED"/>
    <w:rsid w:val="00526FCB"/>
    <w:rsid w:val="00532E87"/>
    <w:rsid w:val="00535204"/>
    <w:rsid w:val="00536E21"/>
    <w:rsid w:val="005418B4"/>
    <w:rsid w:val="00542766"/>
    <w:rsid w:val="00543111"/>
    <w:rsid w:val="005432D6"/>
    <w:rsid w:val="0054456E"/>
    <w:rsid w:val="005474D2"/>
    <w:rsid w:val="00547B15"/>
    <w:rsid w:val="00550379"/>
    <w:rsid w:val="00552409"/>
    <w:rsid w:val="005533CC"/>
    <w:rsid w:val="0055347C"/>
    <w:rsid w:val="0055561D"/>
    <w:rsid w:val="005558E1"/>
    <w:rsid w:val="00556903"/>
    <w:rsid w:val="0056071D"/>
    <w:rsid w:val="005608EC"/>
    <w:rsid w:val="00560BF3"/>
    <w:rsid w:val="0056119C"/>
    <w:rsid w:val="00564C5E"/>
    <w:rsid w:val="005650DE"/>
    <w:rsid w:val="005662AC"/>
    <w:rsid w:val="00566329"/>
    <w:rsid w:val="0056706E"/>
    <w:rsid w:val="0056738D"/>
    <w:rsid w:val="00567410"/>
    <w:rsid w:val="00567B8C"/>
    <w:rsid w:val="00567DC0"/>
    <w:rsid w:val="00570A08"/>
    <w:rsid w:val="00572ABC"/>
    <w:rsid w:val="00573722"/>
    <w:rsid w:val="00573B5C"/>
    <w:rsid w:val="00574623"/>
    <w:rsid w:val="00575DEA"/>
    <w:rsid w:val="00576E5C"/>
    <w:rsid w:val="00580C8A"/>
    <w:rsid w:val="00581A34"/>
    <w:rsid w:val="00582181"/>
    <w:rsid w:val="00582667"/>
    <w:rsid w:val="005858B4"/>
    <w:rsid w:val="0059079B"/>
    <w:rsid w:val="00591A9A"/>
    <w:rsid w:val="0059392E"/>
    <w:rsid w:val="005965E0"/>
    <w:rsid w:val="00597BCD"/>
    <w:rsid w:val="005A011A"/>
    <w:rsid w:val="005A033E"/>
    <w:rsid w:val="005A1264"/>
    <w:rsid w:val="005A13F2"/>
    <w:rsid w:val="005A2421"/>
    <w:rsid w:val="005A30ED"/>
    <w:rsid w:val="005A43EA"/>
    <w:rsid w:val="005A54EE"/>
    <w:rsid w:val="005A64BC"/>
    <w:rsid w:val="005A7146"/>
    <w:rsid w:val="005B1357"/>
    <w:rsid w:val="005B1717"/>
    <w:rsid w:val="005B1F7D"/>
    <w:rsid w:val="005B227A"/>
    <w:rsid w:val="005B271A"/>
    <w:rsid w:val="005B2CDE"/>
    <w:rsid w:val="005B2EF7"/>
    <w:rsid w:val="005B3E04"/>
    <w:rsid w:val="005B3FEB"/>
    <w:rsid w:val="005B537D"/>
    <w:rsid w:val="005B6B60"/>
    <w:rsid w:val="005C019C"/>
    <w:rsid w:val="005C1735"/>
    <w:rsid w:val="005C26B0"/>
    <w:rsid w:val="005C2B90"/>
    <w:rsid w:val="005C591D"/>
    <w:rsid w:val="005C73BA"/>
    <w:rsid w:val="005C75C2"/>
    <w:rsid w:val="005C76DF"/>
    <w:rsid w:val="005D00D7"/>
    <w:rsid w:val="005D0CEF"/>
    <w:rsid w:val="005D13B6"/>
    <w:rsid w:val="005D1FAE"/>
    <w:rsid w:val="005D3270"/>
    <w:rsid w:val="005D6741"/>
    <w:rsid w:val="005D6962"/>
    <w:rsid w:val="005D6E13"/>
    <w:rsid w:val="005E0BFE"/>
    <w:rsid w:val="005E13E6"/>
    <w:rsid w:val="005E26A9"/>
    <w:rsid w:val="005E5E5D"/>
    <w:rsid w:val="005E7211"/>
    <w:rsid w:val="005F14F2"/>
    <w:rsid w:val="005F2AF7"/>
    <w:rsid w:val="005F2F65"/>
    <w:rsid w:val="005F382E"/>
    <w:rsid w:val="005F3AC0"/>
    <w:rsid w:val="005F3E58"/>
    <w:rsid w:val="005F4245"/>
    <w:rsid w:val="005F5071"/>
    <w:rsid w:val="005F522C"/>
    <w:rsid w:val="005F56B2"/>
    <w:rsid w:val="005F5C78"/>
    <w:rsid w:val="005F7A98"/>
    <w:rsid w:val="005F7D40"/>
    <w:rsid w:val="00600876"/>
    <w:rsid w:val="00602DAC"/>
    <w:rsid w:val="006030F0"/>
    <w:rsid w:val="00603BFA"/>
    <w:rsid w:val="006047B8"/>
    <w:rsid w:val="006052D6"/>
    <w:rsid w:val="00605D27"/>
    <w:rsid w:val="00606BF9"/>
    <w:rsid w:val="00607F4D"/>
    <w:rsid w:val="0061101A"/>
    <w:rsid w:val="00611DD0"/>
    <w:rsid w:val="00613B9B"/>
    <w:rsid w:val="00613BDF"/>
    <w:rsid w:val="00614152"/>
    <w:rsid w:val="0061488E"/>
    <w:rsid w:val="00615E1A"/>
    <w:rsid w:val="00615FA9"/>
    <w:rsid w:val="006166C2"/>
    <w:rsid w:val="00617AE3"/>
    <w:rsid w:val="006237A5"/>
    <w:rsid w:val="006239B5"/>
    <w:rsid w:val="00624DAB"/>
    <w:rsid w:val="006255AE"/>
    <w:rsid w:val="00625A8D"/>
    <w:rsid w:val="00625EE3"/>
    <w:rsid w:val="00630B44"/>
    <w:rsid w:val="00631269"/>
    <w:rsid w:val="0063157B"/>
    <w:rsid w:val="00631A61"/>
    <w:rsid w:val="00632BFF"/>
    <w:rsid w:val="00634BC8"/>
    <w:rsid w:val="006353F6"/>
    <w:rsid w:val="006360FA"/>
    <w:rsid w:val="00636922"/>
    <w:rsid w:val="006408F8"/>
    <w:rsid w:val="00641C2B"/>
    <w:rsid w:val="00641FF9"/>
    <w:rsid w:val="006425D1"/>
    <w:rsid w:val="006426D5"/>
    <w:rsid w:val="00646552"/>
    <w:rsid w:val="00647C50"/>
    <w:rsid w:val="0065096C"/>
    <w:rsid w:val="00651725"/>
    <w:rsid w:val="006519F8"/>
    <w:rsid w:val="00653372"/>
    <w:rsid w:val="0065395E"/>
    <w:rsid w:val="00654BBF"/>
    <w:rsid w:val="006568DD"/>
    <w:rsid w:val="00657133"/>
    <w:rsid w:val="00657B37"/>
    <w:rsid w:val="00661466"/>
    <w:rsid w:val="00663857"/>
    <w:rsid w:val="00665E92"/>
    <w:rsid w:val="006673B2"/>
    <w:rsid w:val="006702CE"/>
    <w:rsid w:val="0067068B"/>
    <w:rsid w:val="00671598"/>
    <w:rsid w:val="00671E02"/>
    <w:rsid w:val="00672234"/>
    <w:rsid w:val="00673295"/>
    <w:rsid w:val="0067561A"/>
    <w:rsid w:val="00675834"/>
    <w:rsid w:val="00677877"/>
    <w:rsid w:val="006821C9"/>
    <w:rsid w:val="0068300C"/>
    <w:rsid w:val="006830CB"/>
    <w:rsid w:val="00684612"/>
    <w:rsid w:val="00684F68"/>
    <w:rsid w:val="00685716"/>
    <w:rsid w:val="00686915"/>
    <w:rsid w:val="00686A90"/>
    <w:rsid w:val="00687AF1"/>
    <w:rsid w:val="00690691"/>
    <w:rsid w:val="00690BAC"/>
    <w:rsid w:val="006911BF"/>
    <w:rsid w:val="006956F2"/>
    <w:rsid w:val="00696FF5"/>
    <w:rsid w:val="006A1801"/>
    <w:rsid w:val="006A1DD3"/>
    <w:rsid w:val="006A2FBD"/>
    <w:rsid w:val="006A3EA1"/>
    <w:rsid w:val="006A46AF"/>
    <w:rsid w:val="006A5060"/>
    <w:rsid w:val="006A7848"/>
    <w:rsid w:val="006B0C7D"/>
    <w:rsid w:val="006B2083"/>
    <w:rsid w:val="006B2BB3"/>
    <w:rsid w:val="006B3C05"/>
    <w:rsid w:val="006B3E43"/>
    <w:rsid w:val="006B5185"/>
    <w:rsid w:val="006B59FD"/>
    <w:rsid w:val="006B5D8F"/>
    <w:rsid w:val="006B6362"/>
    <w:rsid w:val="006C1377"/>
    <w:rsid w:val="006C1543"/>
    <w:rsid w:val="006C1B78"/>
    <w:rsid w:val="006C2606"/>
    <w:rsid w:val="006C4018"/>
    <w:rsid w:val="006C4D21"/>
    <w:rsid w:val="006C54F8"/>
    <w:rsid w:val="006C7266"/>
    <w:rsid w:val="006C7F65"/>
    <w:rsid w:val="006D0974"/>
    <w:rsid w:val="006D0A26"/>
    <w:rsid w:val="006D13E2"/>
    <w:rsid w:val="006D2880"/>
    <w:rsid w:val="006D4530"/>
    <w:rsid w:val="006D75BD"/>
    <w:rsid w:val="006E0BBF"/>
    <w:rsid w:val="006E14AF"/>
    <w:rsid w:val="006E21B2"/>
    <w:rsid w:val="006E410C"/>
    <w:rsid w:val="006E4805"/>
    <w:rsid w:val="006E4B2D"/>
    <w:rsid w:val="006E5256"/>
    <w:rsid w:val="006E6331"/>
    <w:rsid w:val="006F1D47"/>
    <w:rsid w:val="006F3618"/>
    <w:rsid w:val="006F4DC7"/>
    <w:rsid w:val="006F5DF5"/>
    <w:rsid w:val="006F64C9"/>
    <w:rsid w:val="006F6B79"/>
    <w:rsid w:val="006F74F6"/>
    <w:rsid w:val="00701918"/>
    <w:rsid w:val="00702EBB"/>
    <w:rsid w:val="007052DE"/>
    <w:rsid w:val="00705D41"/>
    <w:rsid w:val="00705EB9"/>
    <w:rsid w:val="0070623C"/>
    <w:rsid w:val="0070784D"/>
    <w:rsid w:val="00707E7E"/>
    <w:rsid w:val="00710ED8"/>
    <w:rsid w:val="00711183"/>
    <w:rsid w:val="0071141F"/>
    <w:rsid w:val="00711BCF"/>
    <w:rsid w:val="00715DBE"/>
    <w:rsid w:val="00720595"/>
    <w:rsid w:val="00720766"/>
    <w:rsid w:val="00723D77"/>
    <w:rsid w:val="00725080"/>
    <w:rsid w:val="00726B46"/>
    <w:rsid w:val="00726B96"/>
    <w:rsid w:val="00727FCC"/>
    <w:rsid w:val="007306EA"/>
    <w:rsid w:val="0073104C"/>
    <w:rsid w:val="00731740"/>
    <w:rsid w:val="00732374"/>
    <w:rsid w:val="00732A66"/>
    <w:rsid w:val="00732CE5"/>
    <w:rsid w:val="00733274"/>
    <w:rsid w:val="00737C9B"/>
    <w:rsid w:val="00741137"/>
    <w:rsid w:val="00741560"/>
    <w:rsid w:val="007429E9"/>
    <w:rsid w:val="00743200"/>
    <w:rsid w:val="00745030"/>
    <w:rsid w:val="007454D7"/>
    <w:rsid w:val="00745597"/>
    <w:rsid w:val="007471E0"/>
    <w:rsid w:val="00751024"/>
    <w:rsid w:val="00752A7A"/>
    <w:rsid w:val="007542E7"/>
    <w:rsid w:val="007570DF"/>
    <w:rsid w:val="00757661"/>
    <w:rsid w:val="007579FB"/>
    <w:rsid w:val="00757B0F"/>
    <w:rsid w:val="00760308"/>
    <w:rsid w:val="007608DE"/>
    <w:rsid w:val="00760E30"/>
    <w:rsid w:val="00762506"/>
    <w:rsid w:val="00763153"/>
    <w:rsid w:val="00763C79"/>
    <w:rsid w:val="00764DBE"/>
    <w:rsid w:val="00765925"/>
    <w:rsid w:val="00766AAB"/>
    <w:rsid w:val="00771AB4"/>
    <w:rsid w:val="0077299F"/>
    <w:rsid w:val="007731E6"/>
    <w:rsid w:val="0077329D"/>
    <w:rsid w:val="00773D6E"/>
    <w:rsid w:val="00775563"/>
    <w:rsid w:val="00776023"/>
    <w:rsid w:val="0077614A"/>
    <w:rsid w:val="00776A8D"/>
    <w:rsid w:val="00777501"/>
    <w:rsid w:val="00777EDA"/>
    <w:rsid w:val="007803AC"/>
    <w:rsid w:val="00780678"/>
    <w:rsid w:val="007806B2"/>
    <w:rsid w:val="00782D2B"/>
    <w:rsid w:val="00785304"/>
    <w:rsid w:val="00785638"/>
    <w:rsid w:val="007859CC"/>
    <w:rsid w:val="00786B2D"/>
    <w:rsid w:val="00790093"/>
    <w:rsid w:val="00790888"/>
    <w:rsid w:val="00793BFF"/>
    <w:rsid w:val="00794946"/>
    <w:rsid w:val="00796179"/>
    <w:rsid w:val="00796A4A"/>
    <w:rsid w:val="007A0FC4"/>
    <w:rsid w:val="007A171D"/>
    <w:rsid w:val="007A1981"/>
    <w:rsid w:val="007A2137"/>
    <w:rsid w:val="007A37B9"/>
    <w:rsid w:val="007A424F"/>
    <w:rsid w:val="007A4295"/>
    <w:rsid w:val="007A6337"/>
    <w:rsid w:val="007A7025"/>
    <w:rsid w:val="007A7234"/>
    <w:rsid w:val="007A7673"/>
    <w:rsid w:val="007B193D"/>
    <w:rsid w:val="007B37A2"/>
    <w:rsid w:val="007B4BB3"/>
    <w:rsid w:val="007B6473"/>
    <w:rsid w:val="007B6B27"/>
    <w:rsid w:val="007B764C"/>
    <w:rsid w:val="007C098C"/>
    <w:rsid w:val="007C15B8"/>
    <w:rsid w:val="007C3C2E"/>
    <w:rsid w:val="007C5CB6"/>
    <w:rsid w:val="007C6105"/>
    <w:rsid w:val="007C6274"/>
    <w:rsid w:val="007C7AFB"/>
    <w:rsid w:val="007D1D12"/>
    <w:rsid w:val="007D2579"/>
    <w:rsid w:val="007D274E"/>
    <w:rsid w:val="007D3C25"/>
    <w:rsid w:val="007D40B6"/>
    <w:rsid w:val="007D40FE"/>
    <w:rsid w:val="007D5C24"/>
    <w:rsid w:val="007D6099"/>
    <w:rsid w:val="007D6BCC"/>
    <w:rsid w:val="007D74AF"/>
    <w:rsid w:val="007E122B"/>
    <w:rsid w:val="007E2DFD"/>
    <w:rsid w:val="007E5D5D"/>
    <w:rsid w:val="007E6F32"/>
    <w:rsid w:val="007F02D1"/>
    <w:rsid w:val="007F0D9C"/>
    <w:rsid w:val="007F12C6"/>
    <w:rsid w:val="007F379B"/>
    <w:rsid w:val="007F3B51"/>
    <w:rsid w:val="007F4311"/>
    <w:rsid w:val="007F6AB4"/>
    <w:rsid w:val="007F7721"/>
    <w:rsid w:val="007F7DA0"/>
    <w:rsid w:val="008019AC"/>
    <w:rsid w:val="008029F4"/>
    <w:rsid w:val="00802B90"/>
    <w:rsid w:val="00805B3C"/>
    <w:rsid w:val="00805D66"/>
    <w:rsid w:val="0080625E"/>
    <w:rsid w:val="008066CE"/>
    <w:rsid w:val="0081324F"/>
    <w:rsid w:val="008134B5"/>
    <w:rsid w:val="00814C31"/>
    <w:rsid w:val="00814C92"/>
    <w:rsid w:val="00815AAF"/>
    <w:rsid w:val="00817EF7"/>
    <w:rsid w:val="008205D6"/>
    <w:rsid w:val="0082064C"/>
    <w:rsid w:val="00821349"/>
    <w:rsid w:val="0082283D"/>
    <w:rsid w:val="00823F32"/>
    <w:rsid w:val="00824CF4"/>
    <w:rsid w:val="00824DF9"/>
    <w:rsid w:val="008250EE"/>
    <w:rsid w:val="008254A8"/>
    <w:rsid w:val="00825AB7"/>
    <w:rsid w:val="00826000"/>
    <w:rsid w:val="00827A69"/>
    <w:rsid w:val="00831138"/>
    <w:rsid w:val="00832AB6"/>
    <w:rsid w:val="00833730"/>
    <w:rsid w:val="00836482"/>
    <w:rsid w:val="008376D8"/>
    <w:rsid w:val="008378E9"/>
    <w:rsid w:val="00837FA0"/>
    <w:rsid w:val="00841604"/>
    <w:rsid w:val="008416C2"/>
    <w:rsid w:val="00842EC0"/>
    <w:rsid w:val="00843D38"/>
    <w:rsid w:val="00844F61"/>
    <w:rsid w:val="00844FAF"/>
    <w:rsid w:val="00845FEC"/>
    <w:rsid w:val="00846199"/>
    <w:rsid w:val="008469BD"/>
    <w:rsid w:val="008502D8"/>
    <w:rsid w:val="00850480"/>
    <w:rsid w:val="008507E7"/>
    <w:rsid w:val="0085094E"/>
    <w:rsid w:val="008510E2"/>
    <w:rsid w:val="008525B1"/>
    <w:rsid w:val="00852A56"/>
    <w:rsid w:val="00854BBC"/>
    <w:rsid w:val="00856457"/>
    <w:rsid w:val="00856AE5"/>
    <w:rsid w:val="00857FBA"/>
    <w:rsid w:val="00865457"/>
    <w:rsid w:val="00866B91"/>
    <w:rsid w:val="0086766F"/>
    <w:rsid w:val="0087061E"/>
    <w:rsid w:val="00871064"/>
    <w:rsid w:val="008711ED"/>
    <w:rsid w:val="008736AC"/>
    <w:rsid w:val="008740CC"/>
    <w:rsid w:val="00874C29"/>
    <w:rsid w:val="0087562B"/>
    <w:rsid w:val="00877455"/>
    <w:rsid w:val="008815DD"/>
    <w:rsid w:val="00882DD1"/>
    <w:rsid w:val="008831BB"/>
    <w:rsid w:val="00884273"/>
    <w:rsid w:val="008845DF"/>
    <w:rsid w:val="00885065"/>
    <w:rsid w:val="00885A3B"/>
    <w:rsid w:val="008862F4"/>
    <w:rsid w:val="008862F7"/>
    <w:rsid w:val="00887471"/>
    <w:rsid w:val="008900BF"/>
    <w:rsid w:val="0089178C"/>
    <w:rsid w:val="008926F1"/>
    <w:rsid w:val="00892C0E"/>
    <w:rsid w:val="00895537"/>
    <w:rsid w:val="008A04FD"/>
    <w:rsid w:val="008A0DD7"/>
    <w:rsid w:val="008A2085"/>
    <w:rsid w:val="008A6F19"/>
    <w:rsid w:val="008B08FB"/>
    <w:rsid w:val="008B0CE7"/>
    <w:rsid w:val="008B1354"/>
    <w:rsid w:val="008B29B9"/>
    <w:rsid w:val="008B304B"/>
    <w:rsid w:val="008B7423"/>
    <w:rsid w:val="008B7854"/>
    <w:rsid w:val="008C034D"/>
    <w:rsid w:val="008C0B08"/>
    <w:rsid w:val="008C1341"/>
    <w:rsid w:val="008C1434"/>
    <w:rsid w:val="008C65AE"/>
    <w:rsid w:val="008C7BB7"/>
    <w:rsid w:val="008D04A3"/>
    <w:rsid w:val="008D05E1"/>
    <w:rsid w:val="008D1431"/>
    <w:rsid w:val="008D1F64"/>
    <w:rsid w:val="008D3A21"/>
    <w:rsid w:val="008D78C8"/>
    <w:rsid w:val="008E03B1"/>
    <w:rsid w:val="008E06FF"/>
    <w:rsid w:val="008E0E19"/>
    <w:rsid w:val="008E17A0"/>
    <w:rsid w:val="008E4A80"/>
    <w:rsid w:val="008E4EDB"/>
    <w:rsid w:val="008E642B"/>
    <w:rsid w:val="008E67C9"/>
    <w:rsid w:val="008E7967"/>
    <w:rsid w:val="008F0FCA"/>
    <w:rsid w:val="008F13BA"/>
    <w:rsid w:val="008F234A"/>
    <w:rsid w:val="008F24FC"/>
    <w:rsid w:val="008F258B"/>
    <w:rsid w:val="008F4269"/>
    <w:rsid w:val="008F4A41"/>
    <w:rsid w:val="008F56C0"/>
    <w:rsid w:val="008F691E"/>
    <w:rsid w:val="008F6D7D"/>
    <w:rsid w:val="008F6FFE"/>
    <w:rsid w:val="0090005B"/>
    <w:rsid w:val="0090068D"/>
    <w:rsid w:val="0090085E"/>
    <w:rsid w:val="0090294B"/>
    <w:rsid w:val="00902EDF"/>
    <w:rsid w:val="00903059"/>
    <w:rsid w:val="009035C1"/>
    <w:rsid w:val="00903765"/>
    <w:rsid w:val="00903D33"/>
    <w:rsid w:val="0090515F"/>
    <w:rsid w:val="00905716"/>
    <w:rsid w:val="0090711A"/>
    <w:rsid w:val="00907121"/>
    <w:rsid w:val="00907F6F"/>
    <w:rsid w:val="009134A0"/>
    <w:rsid w:val="00915645"/>
    <w:rsid w:val="00920A4E"/>
    <w:rsid w:val="00921B05"/>
    <w:rsid w:val="00921DEF"/>
    <w:rsid w:val="009237B0"/>
    <w:rsid w:val="00925289"/>
    <w:rsid w:val="00925487"/>
    <w:rsid w:val="00925E8B"/>
    <w:rsid w:val="009318D3"/>
    <w:rsid w:val="00931E25"/>
    <w:rsid w:val="00935C8B"/>
    <w:rsid w:val="00941515"/>
    <w:rsid w:val="00941FE1"/>
    <w:rsid w:val="00944329"/>
    <w:rsid w:val="00946A0E"/>
    <w:rsid w:val="00947CC8"/>
    <w:rsid w:val="00950037"/>
    <w:rsid w:val="00951A8A"/>
    <w:rsid w:val="009526FD"/>
    <w:rsid w:val="00952A27"/>
    <w:rsid w:val="009546E7"/>
    <w:rsid w:val="00955BCB"/>
    <w:rsid w:val="00956200"/>
    <w:rsid w:val="009603EC"/>
    <w:rsid w:val="009629EE"/>
    <w:rsid w:val="00966682"/>
    <w:rsid w:val="00971E9E"/>
    <w:rsid w:val="0097699A"/>
    <w:rsid w:val="00977E1A"/>
    <w:rsid w:val="00980710"/>
    <w:rsid w:val="00982EB4"/>
    <w:rsid w:val="009858AA"/>
    <w:rsid w:val="00985A03"/>
    <w:rsid w:val="00987886"/>
    <w:rsid w:val="00990A51"/>
    <w:rsid w:val="00991128"/>
    <w:rsid w:val="00991F6F"/>
    <w:rsid w:val="00993003"/>
    <w:rsid w:val="009930BF"/>
    <w:rsid w:val="0099494A"/>
    <w:rsid w:val="00995B76"/>
    <w:rsid w:val="00995C80"/>
    <w:rsid w:val="00995DCF"/>
    <w:rsid w:val="00996929"/>
    <w:rsid w:val="00997259"/>
    <w:rsid w:val="0099785E"/>
    <w:rsid w:val="009A00D9"/>
    <w:rsid w:val="009A1113"/>
    <w:rsid w:val="009A1B1C"/>
    <w:rsid w:val="009A30E7"/>
    <w:rsid w:val="009A4B0E"/>
    <w:rsid w:val="009A60E0"/>
    <w:rsid w:val="009A7416"/>
    <w:rsid w:val="009B2051"/>
    <w:rsid w:val="009B22EA"/>
    <w:rsid w:val="009B2763"/>
    <w:rsid w:val="009B383E"/>
    <w:rsid w:val="009B5328"/>
    <w:rsid w:val="009C1806"/>
    <w:rsid w:val="009C19A2"/>
    <w:rsid w:val="009C2000"/>
    <w:rsid w:val="009C2906"/>
    <w:rsid w:val="009C44C1"/>
    <w:rsid w:val="009C57B7"/>
    <w:rsid w:val="009C5E0E"/>
    <w:rsid w:val="009C7928"/>
    <w:rsid w:val="009D010A"/>
    <w:rsid w:val="009D21E4"/>
    <w:rsid w:val="009D496E"/>
    <w:rsid w:val="009D4EFD"/>
    <w:rsid w:val="009D5828"/>
    <w:rsid w:val="009D67A2"/>
    <w:rsid w:val="009D6A2F"/>
    <w:rsid w:val="009D785A"/>
    <w:rsid w:val="009E4E0F"/>
    <w:rsid w:val="009E4F76"/>
    <w:rsid w:val="009E5032"/>
    <w:rsid w:val="009E5BD7"/>
    <w:rsid w:val="009E5D9E"/>
    <w:rsid w:val="009E637C"/>
    <w:rsid w:val="009E69B3"/>
    <w:rsid w:val="009E6E64"/>
    <w:rsid w:val="009F00FF"/>
    <w:rsid w:val="009F2269"/>
    <w:rsid w:val="009F359E"/>
    <w:rsid w:val="009F3857"/>
    <w:rsid w:val="009F6A94"/>
    <w:rsid w:val="009F6E15"/>
    <w:rsid w:val="00A016E1"/>
    <w:rsid w:val="00A01BB8"/>
    <w:rsid w:val="00A025A7"/>
    <w:rsid w:val="00A05C6E"/>
    <w:rsid w:val="00A1069E"/>
    <w:rsid w:val="00A10D01"/>
    <w:rsid w:val="00A10DE5"/>
    <w:rsid w:val="00A11D04"/>
    <w:rsid w:val="00A137DC"/>
    <w:rsid w:val="00A13B54"/>
    <w:rsid w:val="00A13E1F"/>
    <w:rsid w:val="00A1584E"/>
    <w:rsid w:val="00A15EAC"/>
    <w:rsid w:val="00A17FF8"/>
    <w:rsid w:val="00A2255C"/>
    <w:rsid w:val="00A227D9"/>
    <w:rsid w:val="00A24725"/>
    <w:rsid w:val="00A26BF6"/>
    <w:rsid w:val="00A277CE"/>
    <w:rsid w:val="00A33EAE"/>
    <w:rsid w:val="00A34077"/>
    <w:rsid w:val="00A34AA3"/>
    <w:rsid w:val="00A37314"/>
    <w:rsid w:val="00A40412"/>
    <w:rsid w:val="00A40910"/>
    <w:rsid w:val="00A40FF9"/>
    <w:rsid w:val="00A41CE6"/>
    <w:rsid w:val="00A4264B"/>
    <w:rsid w:val="00A42D2D"/>
    <w:rsid w:val="00A44DD8"/>
    <w:rsid w:val="00A459B7"/>
    <w:rsid w:val="00A45C91"/>
    <w:rsid w:val="00A478F0"/>
    <w:rsid w:val="00A51173"/>
    <w:rsid w:val="00A511B9"/>
    <w:rsid w:val="00A51733"/>
    <w:rsid w:val="00A51B55"/>
    <w:rsid w:val="00A51EDB"/>
    <w:rsid w:val="00A5430B"/>
    <w:rsid w:val="00A60556"/>
    <w:rsid w:val="00A609A4"/>
    <w:rsid w:val="00A6126E"/>
    <w:rsid w:val="00A61756"/>
    <w:rsid w:val="00A618A2"/>
    <w:rsid w:val="00A62513"/>
    <w:rsid w:val="00A628ED"/>
    <w:rsid w:val="00A62CDD"/>
    <w:rsid w:val="00A63012"/>
    <w:rsid w:val="00A63461"/>
    <w:rsid w:val="00A63476"/>
    <w:rsid w:val="00A6358C"/>
    <w:rsid w:val="00A63633"/>
    <w:rsid w:val="00A636E9"/>
    <w:rsid w:val="00A63DB9"/>
    <w:rsid w:val="00A63F86"/>
    <w:rsid w:val="00A64734"/>
    <w:rsid w:val="00A649E6"/>
    <w:rsid w:val="00A64AAF"/>
    <w:rsid w:val="00A65877"/>
    <w:rsid w:val="00A66044"/>
    <w:rsid w:val="00A66804"/>
    <w:rsid w:val="00A712E0"/>
    <w:rsid w:val="00A71B4F"/>
    <w:rsid w:val="00A72D9E"/>
    <w:rsid w:val="00A757AD"/>
    <w:rsid w:val="00A75847"/>
    <w:rsid w:val="00A75A12"/>
    <w:rsid w:val="00A769AF"/>
    <w:rsid w:val="00A76C46"/>
    <w:rsid w:val="00A80BC3"/>
    <w:rsid w:val="00A81B33"/>
    <w:rsid w:val="00A8252D"/>
    <w:rsid w:val="00A843DA"/>
    <w:rsid w:val="00A849D0"/>
    <w:rsid w:val="00A85500"/>
    <w:rsid w:val="00A86CA2"/>
    <w:rsid w:val="00A877B9"/>
    <w:rsid w:val="00A9216A"/>
    <w:rsid w:val="00A92D25"/>
    <w:rsid w:val="00A93005"/>
    <w:rsid w:val="00A93E16"/>
    <w:rsid w:val="00A9479B"/>
    <w:rsid w:val="00A953C9"/>
    <w:rsid w:val="00AA067A"/>
    <w:rsid w:val="00AA08C7"/>
    <w:rsid w:val="00AA0CBB"/>
    <w:rsid w:val="00AA11AE"/>
    <w:rsid w:val="00AA1363"/>
    <w:rsid w:val="00AA3488"/>
    <w:rsid w:val="00AA35E6"/>
    <w:rsid w:val="00AA3824"/>
    <w:rsid w:val="00AA3F5C"/>
    <w:rsid w:val="00AA621C"/>
    <w:rsid w:val="00AA7242"/>
    <w:rsid w:val="00AA7276"/>
    <w:rsid w:val="00AB178F"/>
    <w:rsid w:val="00AB1D06"/>
    <w:rsid w:val="00AB2CDF"/>
    <w:rsid w:val="00AB312E"/>
    <w:rsid w:val="00AB3A7D"/>
    <w:rsid w:val="00AB4481"/>
    <w:rsid w:val="00AB5EB9"/>
    <w:rsid w:val="00AB7EDE"/>
    <w:rsid w:val="00AC05D6"/>
    <w:rsid w:val="00AC19DF"/>
    <w:rsid w:val="00AC37BE"/>
    <w:rsid w:val="00AC4594"/>
    <w:rsid w:val="00AC65D2"/>
    <w:rsid w:val="00AC69B2"/>
    <w:rsid w:val="00AC6E5C"/>
    <w:rsid w:val="00AC7844"/>
    <w:rsid w:val="00AC7D78"/>
    <w:rsid w:val="00AD1292"/>
    <w:rsid w:val="00AD1B8E"/>
    <w:rsid w:val="00AD2105"/>
    <w:rsid w:val="00AD2291"/>
    <w:rsid w:val="00AD2495"/>
    <w:rsid w:val="00AD37B0"/>
    <w:rsid w:val="00AD3A83"/>
    <w:rsid w:val="00AD4D9A"/>
    <w:rsid w:val="00AD5F6B"/>
    <w:rsid w:val="00AD7CDA"/>
    <w:rsid w:val="00AE062C"/>
    <w:rsid w:val="00AE0AD7"/>
    <w:rsid w:val="00AE349B"/>
    <w:rsid w:val="00AE37DB"/>
    <w:rsid w:val="00AE3968"/>
    <w:rsid w:val="00AE39D8"/>
    <w:rsid w:val="00AE3F99"/>
    <w:rsid w:val="00AE4194"/>
    <w:rsid w:val="00AE58C1"/>
    <w:rsid w:val="00AE5B10"/>
    <w:rsid w:val="00AE7960"/>
    <w:rsid w:val="00AF1F9A"/>
    <w:rsid w:val="00AF21FD"/>
    <w:rsid w:val="00AF33BA"/>
    <w:rsid w:val="00AF3735"/>
    <w:rsid w:val="00AF3929"/>
    <w:rsid w:val="00AF5F6A"/>
    <w:rsid w:val="00AF60B0"/>
    <w:rsid w:val="00AF6BAF"/>
    <w:rsid w:val="00AF7F30"/>
    <w:rsid w:val="00B0026B"/>
    <w:rsid w:val="00B030C6"/>
    <w:rsid w:val="00B03A36"/>
    <w:rsid w:val="00B04A03"/>
    <w:rsid w:val="00B04A1E"/>
    <w:rsid w:val="00B0503E"/>
    <w:rsid w:val="00B051F6"/>
    <w:rsid w:val="00B06E1F"/>
    <w:rsid w:val="00B07A06"/>
    <w:rsid w:val="00B07CF1"/>
    <w:rsid w:val="00B110E5"/>
    <w:rsid w:val="00B121BC"/>
    <w:rsid w:val="00B12AE2"/>
    <w:rsid w:val="00B13531"/>
    <w:rsid w:val="00B13D56"/>
    <w:rsid w:val="00B14CB4"/>
    <w:rsid w:val="00B14DA9"/>
    <w:rsid w:val="00B156A4"/>
    <w:rsid w:val="00B15AFB"/>
    <w:rsid w:val="00B2001C"/>
    <w:rsid w:val="00B20768"/>
    <w:rsid w:val="00B20E29"/>
    <w:rsid w:val="00B23F53"/>
    <w:rsid w:val="00B241FA"/>
    <w:rsid w:val="00B257D4"/>
    <w:rsid w:val="00B2653F"/>
    <w:rsid w:val="00B268DB"/>
    <w:rsid w:val="00B27441"/>
    <w:rsid w:val="00B2760B"/>
    <w:rsid w:val="00B27EFB"/>
    <w:rsid w:val="00B30BF4"/>
    <w:rsid w:val="00B30D53"/>
    <w:rsid w:val="00B3185E"/>
    <w:rsid w:val="00B32402"/>
    <w:rsid w:val="00B33CD5"/>
    <w:rsid w:val="00B346DD"/>
    <w:rsid w:val="00B355AA"/>
    <w:rsid w:val="00B35E05"/>
    <w:rsid w:val="00B36322"/>
    <w:rsid w:val="00B36EB4"/>
    <w:rsid w:val="00B374FF"/>
    <w:rsid w:val="00B4098A"/>
    <w:rsid w:val="00B43E9C"/>
    <w:rsid w:val="00B447A2"/>
    <w:rsid w:val="00B46ADF"/>
    <w:rsid w:val="00B472B3"/>
    <w:rsid w:val="00B47EF3"/>
    <w:rsid w:val="00B50A97"/>
    <w:rsid w:val="00B51052"/>
    <w:rsid w:val="00B526BF"/>
    <w:rsid w:val="00B53DB4"/>
    <w:rsid w:val="00B5424B"/>
    <w:rsid w:val="00B55224"/>
    <w:rsid w:val="00B569E8"/>
    <w:rsid w:val="00B576D7"/>
    <w:rsid w:val="00B57D09"/>
    <w:rsid w:val="00B61376"/>
    <w:rsid w:val="00B62645"/>
    <w:rsid w:val="00B62FA4"/>
    <w:rsid w:val="00B6368A"/>
    <w:rsid w:val="00B63C4C"/>
    <w:rsid w:val="00B63E83"/>
    <w:rsid w:val="00B65009"/>
    <w:rsid w:val="00B65CBC"/>
    <w:rsid w:val="00B65E5C"/>
    <w:rsid w:val="00B664F1"/>
    <w:rsid w:val="00B67432"/>
    <w:rsid w:val="00B71D5F"/>
    <w:rsid w:val="00B735EF"/>
    <w:rsid w:val="00B739F5"/>
    <w:rsid w:val="00B743A3"/>
    <w:rsid w:val="00B747AC"/>
    <w:rsid w:val="00B75356"/>
    <w:rsid w:val="00B75D0A"/>
    <w:rsid w:val="00B80B5C"/>
    <w:rsid w:val="00B825E7"/>
    <w:rsid w:val="00B83693"/>
    <w:rsid w:val="00B849DC"/>
    <w:rsid w:val="00B85D51"/>
    <w:rsid w:val="00B922F4"/>
    <w:rsid w:val="00B95145"/>
    <w:rsid w:val="00B978C3"/>
    <w:rsid w:val="00BA00A2"/>
    <w:rsid w:val="00BA0246"/>
    <w:rsid w:val="00BA0E41"/>
    <w:rsid w:val="00BA13B3"/>
    <w:rsid w:val="00BA2356"/>
    <w:rsid w:val="00BA32C1"/>
    <w:rsid w:val="00BA3638"/>
    <w:rsid w:val="00BA5168"/>
    <w:rsid w:val="00BA516E"/>
    <w:rsid w:val="00BA5A27"/>
    <w:rsid w:val="00BA7863"/>
    <w:rsid w:val="00BA7EF5"/>
    <w:rsid w:val="00BA7FBA"/>
    <w:rsid w:val="00BB0271"/>
    <w:rsid w:val="00BB2B22"/>
    <w:rsid w:val="00BB3BEA"/>
    <w:rsid w:val="00BB4CDA"/>
    <w:rsid w:val="00BB7A40"/>
    <w:rsid w:val="00BC1E8C"/>
    <w:rsid w:val="00BC26A2"/>
    <w:rsid w:val="00BC38F4"/>
    <w:rsid w:val="00BC4B1E"/>
    <w:rsid w:val="00BC687F"/>
    <w:rsid w:val="00BC710C"/>
    <w:rsid w:val="00BD0E20"/>
    <w:rsid w:val="00BD1AFA"/>
    <w:rsid w:val="00BD224E"/>
    <w:rsid w:val="00BD2C22"/>
    <w:rsid w:val="00BD3CDE"/>
    <w:rsid w:val="00BD5E38"/>
    <w:rsid w:val="00BD638C"/>
    <w:rsid w:val="00BD6B4F"/>
    <w:rsid w:val="00BE1349"/>
    <w:rsid w:val="00BE1FBA"/>
    <w:rsid w:val="00BE3F8E"/>
    <w:rsid w:val="00BE411A"/>
    <w:rsid w:val="00BE486C"/>
    <w:rsid w:val="00BE5E89"/>
    <w:rsid w:val="00BE72FB"/>
    <w:rsid w:val="00BE797E"/>
    <w:rsid w:val="00BF0D55"/>
    <w:rsid w:val="00BF1955"/>
    <w:rsid w:val="00BF2560"/>
    <w:rsid w:val="00BF2725"/>
    <w:rsid w:val="00BF3B09"/>
    <w:rsid w:val="00BF45E3"/>
    <w:rsid w:val="00BF560D"/>
    <w:rsid w:val="00BF6214"/>
    <w:rsid w:val="00BF6871"/>
    <w:rsid w:val="00BF786E"/>
    <w:rsid w:val="00BF7DDA"/>
    <w:rsid w:val="00C02550"/>
    <w:rsid w:val="00C03A4F"/>
    <w:rsid w:val="00C04239"/>
    <w:rsid w:val="00C049A9"/>
    <w:rsid w:val="00C04A45"/>
    <w:rsid w:val="00C0625A"/>
    <w:rsid w:val="00C063AD"/>
    <w:rsid w:val="00C065D0"/>
    <w:rsid w:val="00C06C23"/>
    <w:rsid w:val="00C07986"/>
    <w:rsid w:val="00C10BCB"/>
    <w:rsid w:val="00C11E19"/>
    <w:rsid w:val="00C137F6"/>
    <w:rsid w:val="00C15DEF"/>
    <w:rsid w:val="00C20836"/>
    <w:rsid w:val="00C21291"/>
    <w:rsid w:val="00C21DAD"/>
    <w:rsid w:val="00C227B8"/>
    <w:rsid w:val="00C22AE4"/>
    <w:rsid w:val="00C24769"/>
    <w:rsid w:val="00C25BF7"/>
    <w:rsid w:val="00C26E10"/>
    <w:rsid w:val="00C27DD5"/>
    <w:rsid w:val="00C32B93"/>
    <w:rsid w:val="00C34F1A"/>
    <w:rsid w:val="00C35F85"/>
    <w:rsid w:val="00C3616D"/>
    <w:rsid w:val="00C36A2E"/>
    <w:rsid w:val="00C379F7"/>
    <w:rsid w:val="00C40843"/>
    <w:rsid w:val="00C409A1"/>
    <w:rsid w:val="00C4128B"/>
    <w:rsid w:val="00C41A68"/>
    <w:rsid w:val="00C433E3"/>
    <w:rsid w:val="00C47170"/>
    <w:rsid w:val="00C51123"/>
    <w:rsid w:val="00C51B0A"/>
    <w:rsid w:val="00C53C75"/>
    <w:rsid w:val="00C5518B"/>
    <w:rsid w:val="00C564BE"/>
    <w:rsid w:val="00C5655C"/>
    <w:rsid w:val="00C56E28"/>
    <w:rsid w:val="00C57D38"/>
    <w:rsid w:val="00C60E47"/>
    <w:rsid w:val="00C62301"/>
    <w:rsid w:val="00C639DC"/>
    <w:rsid w:val="00C65789"/>
    <w:rsid w:val="00C661F6"/>
    <w:rsid w:val="00C67999"/>
    <w:rsid w:val="00C67F5A"/>
    <w:rsid w:val="00C70D9B"/>
    <w:rsid w:val="00C71EF3"/>
    <w:rsid w:val="00C71FA7"/>
    <w:rsid w:val="00C7450F"/>
    <w:rsid w:val="00C75917"/>
    <w:rsid w:val="00C759C8"/>
    <w:rsid w:val="00C76833"/>
    <w:rsid w:val="00C8141A"/>
    <w:rsid w:val="00C82B76"/>
    <w:rsid w:val="00C83788"/>
    <w:rsid w:val="00C8546F"/>
    <w:rsid w:val="00C85D28"/>
    <w:rsid w:val="00C86A0E"/>
    <w:rsid w:val="00C90E02"/>
    <w:rsid w:val="00C90E66"/>
    <w:rsid w:val="00C91EA1"/>
    <w:rsid w:val="00C926A3"/>
    <w:rsid w:val="00C93623"/>
    <w:rsid w:val="00C96C3D"/>
    <w:rsid w:val="00C96D37"/>
    <w:rsid w:val="00C977B7"/>
    <w:rsid w:val="00CA1C5B"/>
    <w:rsid w:val="00CA1CCC"/>
    <w:rsid w:val="00CA2077"/>
    <w:rsid w:val="00CA31BE"/>
    <w:rsid w:val="00CA3CC2"/>
    <w:rsid w:val="00CA4162"/>
    <w:rsid w:val="00CA4652"/>
    <w:rsid w:val="00CA63A0"/>
    <w:rsid w:val="00CA653D"/>
    <w:rsid w:val="00CA6E57"/>
    <w:rsid w:val="00CA76D4"/>
    <w:rsid w:val="00CA7CCA"/>
    <w:rsid w:val="00CA7D56"/>
    <w:rsid w:val="00CB0533"/>
    <w:rsid w:val="00CB0CE5"/>
    <w:rsid w:val="00CB719E"/>
    <w:rsid w:val="00CB7B33"/>
    <w:rsid w:val="00CC0DC5"/>
    <w:rsid w:val="00CC18D8"/>
    <w:rsid w:val="00CC2792"/>
    <w:rsid w:val="00CC2B4E"/>
    <w:rsid w:val="00CC2EA0"/>
    <w:rsid w:val="00CC40BF"/>
    <w:rsid w:val="00CD02A0"/>
    <w:rsid w:val="00CD0706"/>
    <w:rsid w:val="00CD08C1"/>
    <w:rsid w:val="00CD1550"/>
    <w:rsid w:val="00CD3CBA"/>
    <w:rsid w:val="00CD4963"/>
    <w:rsid w:val="00CD5E25"/>
    <w:rsid w:val="00CD7ADC"/>
    <w:rsid w:val="00CE06F9"/>
    <w:rsid w:val="00CE1287"/>
    <w:rsid w:val="00CE239B"/>
    <w:rsid w:val="00CE478E"/>
    <w:rsid w:val="00CE5679"/>
    <w:rsid w:val="00CE5A96"/>
    <w:rsid w:val="00CE69EE"/>
    <w:rsid w:val="00CF0E45"/>
    <w:rsid w:val="00CF4250"/>
    <w:rsid w:val="00CF5BC3"/>
    <w:rsid w:val="00D039AC"/>
    <w:rsid w:val="00D051E9"/>
    <w:rsid w:val="00D06D70"/>
    <w:rsid w:val="00D1055B"/>
    <w:rsid w:val="00D11F63"/>
    <w:rsid w:val="00D12201"/>
    <w:rsid w:val="00D1395E"/>
    <w:rsid w:val="00D15713"/>
    <w:rsid w:val="00D157CC"/>
    <w:rsid w:val="00D15FB2"/>
    <w:rsid w:val="00D1640C"/>
    <w:rsid w:val="00D16DEA"/>
    <w:rsid w:val="00D235A0"/>
    <w:rsid w:val="00D23F9F"/>
    <w:rsid w:val="00D25E87"/>
    <w:rsid w:val="00D25F44"/>
    <w:rsid w:val="00D26E26"/>
    <w:rsid w:val="00D27A5C"/>
    <w:rsid w:val="00D3144D"/>
    <w:rsid w:val="00D32763"/>
    <w:rsid w:val="00D339E1"/>
    <w:rsid w:val="00D34306"/>
    <w:rsid w:val="00D3485E"/>
    <w:rsid w:val="00D34CCF"/>
    <w:rsid w:val="00D35468"/>
    <w:rsid w:val="00D36C23"/>
    <w:rsid w:val="00D3774C"/>
    <w:rsid w:val="00D4057B"/>
    <w:rsid w:val="00D41F6D"/>
    <w:rsid w:val="00D427C6"/>
    <w:rsid w:val="00D438C4"/>
    <w:rsid w:val="00D45549"/>
    <w:rsid w:val="00D46655"/>
    <w:rsid w:val="00D46EB8"/>
    <w:rsid w:val="00D47614"/>
    <w:rsid w:val="00D51089"/>
    <w:rsid w:val="00D52D56"/>
    <w:rsid w:val="00D5375C"/>
    <w:rsid w:val="00D544B0"/>
    <w:rsid w:val="00D54B12"/>
    <w:rsid w:val="00D56336"/>
    <w:rsid w:val="00D566E6"/>
    <w:rsid w:val="00D57CFD"/>
    <w:rsid w:val="00D6040C"/>
    <w:rsid w:val="00D62A60"/>
    <w:rsid w:val="00D63D92"/>
    <w:rsid w:val="00D64139"/>
    <w:rsid w:val="00D65610"/>
    <w:rsid w:val="00D66AE0"/>
    <w:rsid w:val="00D67D50"/>
    <w:rsid w:val="00D700DB"/>
    <w:rsid w:val="00D740C6"/>
    <w:rsid w:val="00D74E93"/>
    <w:rsid w:val="00D7568D"/>
    <w:rsid w:val="00D75AFC"/>
    <w:rsid w:val="00D76B07"/>
    <w:rsid w:val="00D77396"/>
    <w:rsid w:val="00D77711"/>
    <w:rsid w:val="00D80341"/>
    <w:rsid w:val="00D80724"/>
    <w:rsid w:val="00D807C8"/>
    <w:rsid w:val="00D84C23"/>
    <w:rsid w:val="00D85FB1"/>
    <w:rsid w:val="00D8645D"/>
    <w:rsid w:val="00D8699F"/>
    <w:rsid w:val="00D86B9F"/>
    <w:rsid w:val="00D90954"/>
    <w:rsid w:val="00D9112A"/>
    <w:rsid w:val="00D91246"/>
    <w:rsid w:val="00D935E4"/>
    <w:rsid w:val="00D95970"/>
    <w:rsid w:val="00D9628B"/>
    <w:rsid w:val="00D974A0"/>
    <w:rsid w:val="00DA0371"/>
    <w:rsid w:val="00DA134B"/>
    <w:rsid w:val="00DA1666"/>
    <w:rsid w:val="00DA29CF"/>
    <w:rsid w:val="00DA3A07"/>
    <w:rsid w:val="00DA45B1"/>
    <w:rsid w:val="00DA4D41"/>
    <w:rsid w:val="00DA51F5"/>
    <w:rsid w:val="00DA5B47"/>
    <w:rsid w:val="00DA6077"/>
    <w:rsid w:val="00DA65CE"/>
    <w:rsid w:val="00DA65FD"/>
    <w:rsid w:val="00DB1158"/>
    <w:rsid w:val="00DB219A"/>
    <w:rsid w:val="00DB4C2D"/>
    <w:rsid w:val="00DB5C1B"/>
    <w:rsid w:val="00DB6D27"/>
    <w:rsid w:val="00DB6EC6"/>
    <w:rsid w:val="00DC4F2F"/>
    <w:rsid w:val="00DC657D"/>
    <w:rsid w:val="00DC7297"/>
    <w:rsid w:val="00DC7C5C"/>
    <w:rsid w:val="00DC7E07"/>
    <w:rsid w:val="00DD1B26"/>
    <w:rsid w:val="00DD1CD7"/>
    <w:rsid w:val="00DD3466"/>
    <w:rsid w:val="00DD3BFD"/>
    <w:rsid w:val="00DD4BAE"/>
    <w:rsid w:val="00DD4F59"/>
    <w:rsid w:val="00DD539D"/>
    <w:rsid w:val="00DD583D"/>
    <w:rsid w:val="00DD7F3B"/>
    <w:rsid w:val="00DE0A65"/>
    <w:rsid w:val="00DE3BE5"/>
    <w:rsid w:val="00DE3FFD"/>
    <w:rsid w:val="00DE4011"/>
    <w:rsid w:val="00DE44D9"/>
    <w:rsid w:val="00DE46B8"/>
    <w:rsid w:val="00DE59F8"/>
    <w:rsid w:val="00DE6A77"/>
    <w:rsid w:val="00DE6B42"/>
    <w:rsid w:val="00DE7181"/>
    <w:rsid w:val="00DF0386"/>
    <w:rsid w:val="00DF1FF4"/>
    <w:rsid w:val="00DF2B82"/>
    <w:rsid w:val="00DF30B7"/>
    <w:rsid w:val="00DF3BD4"/>
    <w:rsid w:val="00DF7454"/>
    <w:rsid w:val="00E00768"/>
    <w:rsid w:val="00E02245"/>
    <w:rsid w:val="00E03061"/>
    <w:rsid w:val="00E04203"/>
    <w:rsid w:val="00E05898"/>
    <w:rsid w:val="00E078FA"/>
    <w:rsid w:val="00E079AB"/>
    <w:rsid w:val="00E07CDA"/>
    <w:rsid w:val="00E130EC"/>
    <w:rsid w:val="00E136AF"/>
    <w:rsid w:val="00E14450"/>
    <w:rsid w:val="00E15064"/>
    <w:rsid w:val="00E1607C"/>
    <w:rsid w:val="00E16D67"/>
    <w:rsid w:val="00E17BC3"/>
    <w:rsid w:val="00E22A33"/>
    <w:rsid w:val="00E231FA"/>
    <w:rsid w:val="00E23B8A"/>
    <w:rsid w:val="00E251C6"/>
    <w:rsid w:val="00E261F3"/>
    <w:rsid w:val="00E267AC"/>
    <w:rsid w:val="00E30492"/>
    <w:rsid w:val="00E3092D"/>
    <w:rsid w:val="00E32CB1"/>
    <w:rsid w:val="00E336B9"/>
    <w:rsid w:val="00E3446F"/>
    <w:rsid w:val="00E357BC"/>
    <w:rsid w:val="00E35A76"/>
    <w:rsid w:val="00E35BD6"/>
    <w:rsid w:val="00E3749E"/>
    <w:rsid w:val="00E37933"/>
    <w:rsid w:val="00E37D37"/>
    <w:rsid w:val="00E4004E"/>
    <w:rsid w:val="00E4114E"/>
    <w:rsid w:val="00E41E9B"/>
    <w:rsid w:val="00E4367B"/>
    <w:rsid w:val="00E44486"/>
    <w:rsid w:val="00E44CC5"/>
    <w:rsid w:val="00E455B5"/>
    <w:rsid w:val="00E479F6"/>
    <w:rsid w:val="00E5090D"/>
    <w:rsid w:val="00E513EC"/>
    <w:rsid w:val="00E519E8"/>
    <w:rsid w:val="00E519F2"/>
    <w:rsid w:val="00E51BF1"/>
    <w:rsid w:val="00E51FEA"/>
    <w:rsid w:val="00E52327"/>
    <w:rsid w:val="00E524D9"/>
    <w:rsid w:val="00E5477F"/>
    <w:rsid w:val="00E5487C"/>
    <w:rsid w:val="00E5500C"/>
    <w:rsid w:val="00E55C5E"/>
    <w:rsid w:val="00E577F4"/>
    <w:rsid w:val="00E57A6E"/>
    <w:rsid w:val="00E61650"/>
    <w:rsid w:val="00E6293C"/>
    <w:rsid w:val="00E63834"/>
    <w:rsid w:val="00E649BD"/>
    <w:rsid w:val="00E6509E"/>
    <w:rsid w:val="00E659CA"/>
    <w:rsid w:val="00E70EDB"/>
    <w:rsid w:val="00E73B72"/>
    <w:rsid w:val="00E75A30"/>
    <w:rsid w:val="00E763D5"/>
    <w:rsid w:val="00E808E9"/>
    <w:rsid w:val="00E8096F"/>
    <w:rsid w:val="00E86707"/>
    <w:rsid w:val="00E86E75"/>
    <w:rsid w:val="00E8758B"/>
    <w:rsid w:val="00E904CD"/>
    <w:rsid w:val="00E90566"/>
    <w:rsid w:val="00E909AD"/>
    <w:rsid w:val="00E91909"/>
    <w:rsid w:val="00E91B1D"/>
    <w:rsid w:val="00E92199"/>
    <w:rsid w:val="00E96376"/>
    <w:rsid w:val="00E97300"/>
    <w:rsid w:val="00EA0431"/>
    <w:rsid w:val="00EA14A7"/>
    <w:rsid w:val="00EA2279"/>
    <w:rsid w:val="00EA54D7"/>
    <w:rsid w:val="00EA5608"/>
    <w:rsid w:val="00EA5730"/>
    <w:rsid w:val="00EA7C3B"/>
    <w:rsid w:val="00EB0B54"/>
    <w:rsid w:val="00EB5714"/>
    <w:rsid w:val="00EB6B9A"/>
    <w:rsid w:val="00EB7737"/>
    <w:rsid w:val="00EC0778"/>
    <w:rsid w:val="00EC0818"/>
    <w:rsid w:val="00EC0D29"/>
    <w:rsid w:val="00EC143E"/>
    <w:rsid w:val="00EC4508"/>
    <w:rsid w:val="00EC646B"/>
    <w:rsid w:val="00EC6826"/>
    <w:rsid w:val="00EC7268"/>
    <w:rsid w:val="00EC7F9E"/>
    <w:rsid w:val="00ED0703"/>
    <w:rsid w:val="00ED0ABC"/>
    <w:rsid w:val="00ED379B"/>
    <w:rsid w:val="00ED4FE6"/>
    <w:rsid w:val="00ED5D8D"/>
    <w:rsid w:val="00ED6860"/>
    <w:rsid w:val="00ED707B"/>
    <w:rsid w:val="00ED7475"/>
    <w:rsid w:val="00ED7696"/>
    <w:rsid w:val="00ED7D33"/>
    <w:rsid w:val="00EE0835"/>
    <w:rsid w:val="00EE0F64"/>
    <w:rsid w:val="00EE1547"/>
    <w:rsid w:val="00EE2BEC"/>
    <w:rsid w:val="00EE380C"/>
    <w:rsid w:val="00EE50EB"/>
    <w:rsid w:val="00EE52A8"/>
    <w:rsid w:val="00EE56BA"/>
    <w:rsid w:val="00EE631F"/>
    <w:rsid w:val="00EF1312"/>
    <w:rsid w:val="00EF139C"/>
    <w:rsid w:val="00EF14C7"/>
    <w:rsid w:val="00EF2442"/>
    <w:rsid w:val="00EF482A"/>
    <w:rsid w:val="00EF4A32"/>
    <w:rsid w:val="00EF4EB4"/>
    <w:rsid w:val="00EF6236"/>
    <w:rsid w:val="00EF6C0F"/>
    <w:rsid w:val="00F00084"/>
    <w:rsid w:val="00F00BC7"/>
    <w:rsid w:val="00F016F9"/>
    <w:rsid w:val="00F01EC6"/>
    <w:rsid w:val="00F02494"/>
    <w:rsid w:val="00F026A1"/>
    <w:rsid w:val="00F05B79"/>
    <w:rsid w:val="00F07988"/>
    <w:rsid w:val="00F10287"/>
    <w:rsid w:val="00F112FE"/>
    <w:rsid w:val="00F13932"/>
    <w:rsid w:val="00F13E1E"/>
    <w:rsid w:val="00F154CC"/>
    <w:rsid w:val="00F15776"/>
    <w:rsid w:val="00F17D55"/>
    <w:rsid w:val="00F2197A"/>
    <w:rsid w:val="00F21FFA"/>
    <w:rsid w:val="00F2335C"/>
    <w:rsid w:val="00F2414D"/>
    <w:rsid w:val="00F24992"/>
    <w:rsid w:val="00F253A9"/>
    <w:rsid w:val="00F25FB7"/>
    <w:rsid w:val="00F26A9C"/>
    <w:rsid w:val="00F26D1D"/>
    <w:rsid w:val="00F27A01"/>
    <w:rsid w:val="00F325A9"/>
    <w:rsid w:val="00F33888"/>
    <w:rsid w:val="00F3577C"/>
    <w:rsid w:val="00F362DE"/>
    <w:rsid w:val="00F37B3C"/>
    <w:rsid w:val="00F41122"/>
    <w:rsid w:val="00F422E8"/>
    <w:rsid w:val="00F42895"/>
    <w:rsid w:val="00F429BC"/>
    <w:rsid w:val="00F42DD7"/>
    <w:rsid w:val="00F42FF7"/>
    <w:rsid w:val="00F4324C"/>
    <w:rsid w:val="00F44B19"/>
    <w:rsid w:val="00F46E82"/>
    <w:rsid w:val="00F47189"/>
    <w:rsid w:val="00F476D0"/>
    <w:rsid w:val="00F47C16"/>
    <w:rsid w:val="00F47C65"/>
    <w:rsid w:val="00F501E6"/>
    <w:rsid w:val="00F50D1E"/>
    <w:rsid w:val="00F53582"/>
    <w:rsid w:val="00F541C5"/>
    <w:rsid w:val="00F55C61"/>
    <w:rsid w:val="00F566A5"/>
    <w:rsid w:val="00F57620"/>
    <w:rsid w:val="00F60006"/>
    <w:rsid w:val="00F6054C"/>
    <w:rsid w:val="00F62BB2"/>
    <w:rsid w:val="00F63CF7"/>
    <w:rsid w:val="00F6498D"/>
    <w:rsid w:val="00F64DA3"/>
    <w:rsid w:val="00F658D1"/>
    <w:rsid w:val="00F6651A"/>
    <w:rsid w:val="00F66B2B"/>
    <w:rsid w:val="00F677E8"/>
    <w:rsid w:val="00F70C07"/>
    <w:rsid w:val="00F70EFB"/>
    <w:rsid w:val="00F70F68"/>
    <w:rsid w:val="00F7172E"/>
    <w:rsid w:val="00F72313"/>
    <w:rsid w:val="00F742F4"/>
    <w:rsid w:val="00F74F29"/>
    <w:rsid w:val="00F7531B"/>
    <w:rsid w:val="00F76B14"/>
    <w:rsid w:val="00F770F3"/>
    <w:rsid w:val="00F80591"/>
    <w:rsid w:val="00F85EAA"/>
    <w:rsid w:val="00F86E60"/>
    <w:rsid w:val="00F87C60"/>
    <w:rsid w:val="00F9136F"/>
    <w:rsid w:val="00F94697"/>
    <w:rsid w:val="00F950BF"/>
    <w:rsid w:val="00F95E78"/>
    <w:rsid w:val="00FA2538"/>
    <w:rsid w:val="00FA46D1"/>
    <w:rsid w:val="00FA67DC"/>
    <w:rsid w:val="00FA7A21"/>
    <w:rsid w:val="00FA7E5D"/>
    <w:rsid w:val="00FB025A"/>
    <w:rsid w:val="00FB038D"/>
    <w:rsid w:val="00FB1CE5"/>
    <w:rsid w:val="00FB3476"/>
    <w:rsid w:val="00FB49C7"/>
    <w:rsid w:val="00FB5FA4"/>
    <w:rsid w:val="00FB7151"/>
    <w:rsid w:val="00FB7856"/>
    <w:rsid w:val="00FC13C4"/>
    <w:rsid w:val="00FC1640"/>
    <w:rsid w:val="00FC197A"/>
    <w:rsid w:val="00FC213B"/>
    <w:rsid w:val="00FC2837"/>
    <w:rsid w:val="00FC4BB2"/>
    <w:rsid w:val="00FC5986"/>
    <w:rsid w:val="00FC5B24"/>
    <w:rsid w:val="00FC6EE1"/>
    <w:rsid w:val="00FD0B75"/>
    <w:rsid w:val="00FD30E7"/>
    <w:rsid w:val="00FD376B"/>
    <w:rsid w:val="00FD6081"/>
    <w:rsid w:val="00FD7052"/>
    <w:rsid w:val="00FE0CEE"/>
    <w:rsid w:val="00FE2267"/>
    <w:rsid w:val="00FE2745"/>
    <w:rsid w:val="00FE28CB"/>
    <w:rsid w:val="00FE29D4"/>
    <w:rsid w:val="00FE44A9"/>
    <w:rsid w:val="00FE4632"/>
    <w:rsid w:val="00FE4C45"/>
    <w:rsid w:val="00FE4C62"/>
    <w:rsid w:val="00FE4F85"/>
    <w:rsid w:val="00FE5672"/>
    <w:rsid w:val="00FE7E38"/>
    <w:rsid w:val="00FF16D3"/>
    <w:rsid w:val="00FF33F0"/>
    <w:rsid w:val="00FF5A9C"/>
    <w:rsid w:val="00FF5CA3"/>
    <w:rsid w:val="00FF677A"/>
    <w:rsid w:val="00FF6B40"/>
    <w:rsid w:val="00FF6ECD"/>
    <w:rsid w:val="0118369F"/>
    <w:rsid w:val="019570DB"/>
    <w:rsid w:val="019E38B4"/>
    <w:rsid w:val="02481CC1"/>
    <w:rsid w:val="0355560D"/>
    <w:rsid w:val="03562C92"/>
    <w:rsid w:val="035E1FC4"/>
    <w:rsid w:val="03E54A4E"/>
    <w:rsid w:val="048A54DF"/>
    <w:rsid w:val="04A77BAD"/>
    <w:rsid w:val="05041C0B"/>
    <w:rsid w:val="05EA72A4"/>
    <w:rsid w:val="07172929"/>
    <w:rsid w:val="07412873"/>
    <w:rsid w:val="086731B0"/>
    <w:rsid w:val="086D40DB"/>
    <w:rsid w:val="0891254B"/>
    <w:rsid w:val="08B55718"/>
    <w:rsid w:val="08E42C60"/>
    <w:rsid w:val="09096FC9"/>
    <w:rsid w:val="093323A4"/>
    <w:rsid w:val="09464A8E"/>
    <w:rsid w:val="0A7C0E64"/>
    <w:rsid w:val="0AB2139E"/>
    <w:rsid w:val="0AF41CBF"/>
    <w:rsid w:val="0AFC3ACC"/>
    <w:rsid w:val="0C516A25"/>
    <w:rsid w:val="0C610DEB"/>
    <w:rsid w:val="0D1E15AE"/>
    <w:rsid w:val="0E6216AF"/>
    <w:rsid w:val="0EE843CE"/>
    <w:rsid w:val="0F5038BB"/>
    <w:rsid w:val="0F6B0362"/>
    <w:rsid w:val="0F8401CD"/>
    <w:rsid w:val="0FA12E69"/>
    <w:rsid w:val="105243C6"/>
    <w:rsid w:val="10E90C86"/>
    <w:rsid w:val="113C5854"/>
    <w:rsid w:val="114025F5"/>
    <w:rsid w:val="11BC377E"/>
    <w:rsid w:val="12102AD0"/>
    <w:rsid w:val="123B1E86"/>
    <w:rsid w:val="12722B06"/>
    <w:rsid w:val="127319CB"/>
    <w:rsid w:val="1279351E"/>
    <w:rsid w:val="12804910"/>
    <w:rsid w:val="12B84E43"/>
    <w:rsid w:val="130E7301"/>
    <w:rsid w:val="13465710"/>
    <w:rsid w:val="13BD776C"/>
    <w:rsid w:val="15181B98"/>
    <w:rsid w:val="15310193"/>
    <w:rsid w:val="158B2DD2"/>
    <w:rsid w:val="15F26552"/>
    <w:rsid w:val="16437001"/>
    <w:rsid w:val="167B687F"/>
    <w:rsid w:val="16955B4A"/>
    <w:rsid w:val="16E2334C"/>
    <w:rsid w:val="16FC7537"/>
    <w:rsid w:val="177136CC"/>
    <w:rsid w:val="18207395"/>
    <w:rsid w:val="19CD37E9"/>
    <w:rsid w:val="19DA7920"/>
    <w:rsid w:val="19FE5732"/>
    <w:rsid w:val="1A6B22C8"/>
    <w:rsid w:val="1A7C12D3"/>
    <w:rsid w:val="1A8A05B4"/>
    <w:rsid w:val="1AD15692"/>
    <w:rsid w:val="1BAD0F6C"/>
    <w:rsid w:val="1D387573"/>
    <w:rsid w:val="1EA47B74"/>
    <w:rsid w:val="1FCA005D"/>
    <w:rsid w:val="1FCF5B76"/>
    <w:rsid w:val="1FFF20EF"/>
    <w:rsid w:val="205B783D"/>
    <w:rsid w:val="20777455"/>
    <w:rsid w:val="20CC0F1C"/>
    <w:rsid w:val="20FC2FC3"/>
    <w:rsid w:val="212340D7"/>
    <w:rsid w:val="21BD3832"/>
    <w:rsid w:val="2268614A"/>
    <w:rsid w:val="232F711B"/>
    <w:rsid w:val="23647678"/>
    <w:rsid w:val="246943CC"/>
    <w:rsid w:val="248E4B98"/>
    <w:rsid w:val="24DC5107"/>
    <w:rsid w:val="26375242"/>
    <w:rsid w:val="26F3096A"/>
    <w:rsid w:val="2800383B"/>
    <w:rsid w:val="287451E6"/>
    <w:rsid w:val="28D0016B"/>
    <w:rsid w:val="28E4037C"/>
    <w:rsid w:val="2A723C2A"/>
    <w:rsid w:val="2BF95850"/>
    <w:rsid w:val="2BFC42F2"/>
    <w:rsid w:val="2D573E7C"/>
    <w:rsid w:val="2ED2615A"/>
    <w:rsid w:val="2F375F1D"/>
    <w:rsid w:val="2F8B2268"/>
    <w:rsid w:val="30B06933"/>
    <w:rsid w:val="30C94712"/>
    <w:rsid w:val="30F856EC"/>
    <w:rsid w:val="31190133"/>
    <w:rsid w:val="32950721"/>
    <w:rsid w:val="34453E66"/>
    <w:rsid w:val="347D2C20"/>
    <w:rsid w:val="34A81D29"/>
    <w:rsid w:val="356D7C0C"/>
    <w:rsid w:val="3583001A"/>
    <w:rsid w:val="36032574"/>
    <w:rsid w:val="36BB4A50"/>
    <w:rsid w:val="37EC5200"/>
    <w:rsid w:val="38801B05"/>
    <w:rsid w:val="38FB714A"/>
    <w:rsid w:val="3A1F1E78"/>
    <w:rsid w:val="3AFB2A5B"/>
    <w:rsid w:val="3B835C4D"/>
    <w:rsid w:val="3BB268B9"/>
    <w:rsid w:val="3BB45408"/>
    <w:rsid w:val="3C320C8F"/>
    <w:rsid w:val="3CD62F59"/>
    <w:rsid w:val="3D054E8F"/>
    <w:rsid w:val="3D43584E"/>
    <w:rsid w:val="3DF828AB"/>
    <w:rsid w:val="3E0D212F"/>
    <w:rsid w:val="3E6D77B9"/>
    <w:rsid w:val="3EA87EDB"/>
    <w:rsid w:val="3FF8787B"/>
    <w:rsid w:val="4132123D"/>
    <w:rsid w:val="41524EC4"/>
    <w:rsid w:val="4249402F"/>
    <w:rsid w:val="4279645D"/>
    <w:rsid w:val="43731FE4"/>
    <w:rsid w:val="43792CFE"/>
    <w:rsid w:val="43D76C07"/>
    <w:rsid w:val="43DF275B"/>
    <w:rsid w:val="43F46B61"/>
    <w:rsid w:val="44930114"/>
    <w:rsid w:val="44E10208"/>
    <w:rsid w:val="452014E3"/>
    <w:rsid w:val="45874849"/>
    <w:rsid w:val="45B84D6D"/>
    <w:rsid w:val="46002964"/>
    <w:rsid w:val="46A868AD"/>
    <w:rsid w:val="47BB04EC"/>
    <w:rsid w:val="47DE2488"/>
    <w:rsid w:val="4A0350DA"/>
    <w:rsid w:val="4A0752EE"/>
    <w:rsid w:val="4A091621"/>
    <w:rsid w:val="4C142E94"/>
    <w:rsid w:val="4C684A86"/>
    <w:rsid w:val="4CEF7DF5"/>
    <w:rsid w:val="4DD10C9B"/>
    <w:rsid w:val="4EDC2647"/>
    <w:rsid w:val="4EFA0DB7"/>
    <w:rsid w:val="517862B8"/>
    <w:rsid w:val="52306924"/>
    <w:rsid w:val="529B3867"/>
    <w:rsid w:val="52A47197"/>
    <w:rsid w:val="52B45A7E"/>
    <w:rsid w:val="533E1A2B"/>
    <w:rsid w:val="54605C28"/>
    <w:rsid w:val="54A95C81"/>
    <w:rsid w:val="565B7E84"/>
    <w:rsid w:val="56C608AF"/>
    <w:rsid w:val="56E725B9"/>
    <w:rsid w:val="574E7059"/>
    <w:rsid w:val="577E025B"/>
    <w:rsid w:val="57EF3F96"/>
    <w:rsid w:val="58632700"/>
    <w:rsid w:val="588B7307"/>
    <w:rsid w:val="59282E83"/>
    <w:rsid w:val="593053B3"/>
    <w:rsid w:val="599F405D"/>
    <w:rsid w:val="5A133ECE"/>
    <w:rsid w:val="5A1B2858"/>
    <w:rsid w:val="5F06599B"/>
    <w:rsid w:val="5F0D7FA6"/>
    <w:rsid w:val="61086457"/>
    <w:rsid w:val="613E0354"/>
    <w:rsid w:val="620F3B90"/>
    <w:rsid w:val="62114607"/>
    <w:rsid w:val="62D36212"/>
    <w:rsid w:val="64812FBE"/>
    <w:rsid w:val="64C03CBE"/>
    <w:rsid w:val="653F048F"/>
    <w:rsid w:val="654D6231"/>
    <w:rsid w:val="655F4343"/>
    <w:rsid w:val="65623A08"/>
    <w:rsid w:val="657A3039"/>
    <w:rsid w:val="67742460"/>
    <w:rsid w:val="678F3629"/>
    <w:rsid w:val="67E369BC"/>
    <w:rsid w:val="67F528AF"/>
    <w:rsid w:val="68497760"/>
    <w:rsid w:val="68F5281B"/>
    <w:rsid w:val="68F70930"/>
    <w:rsid w:val="696927DE"/>
    <w:rsid w:val="69CB642F"/>
    <w:rsid w:val="6AEC6F52"/>
    <w:rsid w:val="6C543007"/>
    <w:rsid w:val="6D384F88"/>
    <w:rsid w:val="6D7962F1"/>
    <w:rsid w:val="6DE23EBF"/>
    <w:rsid w:val="6E6446A3"/>
    <w:rsid w:val="6E9B07E6"/>
    <w:rsid w:val="6F071C2F"/>
    <w:rsid w:val="6FBD1C41"/>
    <w:rsid w:val="6FDE6C01"/>
    <w:rsid w:val="70533825"/>
    <w:rsid w:val="713F1589"/>
    <w:rsid w:val="71973241"/>
    <w:rsid w:val="71B1718D"/>
    <w:rsid w:val="72C52407"/>
    <w:rsid w:val="72D757B2"/>
    <w:rsid w:val="731F62E5"/>
    <w:rsid w:val="73A479EA"/>
    <w:rsid w:val="75A5462D"/>
    <w:rsid w:val="75D0513A"/>
    <w:rsid w:val="76093C89"/>
    <w:rsid w:val="76506A63"/>
    <w:rsid w:val="76BB24DB"/>
    <w:rsid w:val="76F00837"/>
    <w:rsid w:val="7755727A"/>
    <w:rsid w:val="782F5497"/>
    <w:rsid w:val="789E4D94"/>
    <w:rsid w:val="789F4A21"/>
    <w:rsid w:val="78D94F2F"/>
    <w:rsid w:val="79A60093"/>
    <w:rsid w:val="7A191F96"/>
    <w:rsid w:val="7A89204A"/>
    <w:rsid w:val="7B0702E9"/>
    <w:rsid w:val="7B21306B"/>
    <w:rsid w:val="7C1A0095"/>
    <w:rsid w:val="7C547572"/>
    <w:rsid w:val="7D1460BB"/>
    <w:rsid w:val="7EB00090"/>
    <w:rsid w:val="7EE70379"/>
    <w:rsid w:val="7F043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qFormat="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uiPriority="0" w:qFormat="1"/>
    <w:lsdException w:name="annotation reference" w:qFormat="1"/>
    <w:lsdException w:name="line number" w:semiHidden="1"/>
    <w:lsdException w:name="page number" w:semiHidden="1"/>
    <w:lsdException w:name="endnote reference" w:semiHidden="1"/>
    <w:lsdException w:name="endnote text" w:semiHidden="1"/>
    <w:lsdException w:name="table of authorities" w:qFormat="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A66804"/>
    <w:pPr>
      <w:spacing w:after="200" w:line="276" w:lineRule="auto"/>
    </w:pPr>
    <w:rPr>
      <w:rFonts w:ascii="Calibri" w:hAnsi="Calibri" w:cs="黑体"/>
      <w:sz w:val="22"/>
      <w:szCs w:val="22"/>
    </w:rPr>
  </w:style>
  <w:style w:type="paragraph" w:styleId="1">
    <w:name w:val="heading 1"/>
    <w:basedOn w:val="a"/>
    <w:next w:val="a"/>
    <w:link w:val="1Char"/>
    <w:uiPriority w:val="9"/>
    <w:qFormat/>
    <w:pPr>
      <w:keepNext/>
      <w:keepLines/>
      <w:spacing w:before="480" w:after="0"/>
      <w:outlineLvl w:val="0"/>
    </w:pPr>
    <w:rPr>
      <w:rFonts w:ascii="Cambria" w:hAnsi="Cambria"/>
      <w:b/>
      <w:bCs/>
      <w:color w:val="365F90"/>
      <w:sz w:val="28"/>
      <w:szCs w:val="28"/>
    </w:rPr>
  </w:style>
  <w:style w:type="paragraph" w:styleId="2">
    <w:name w:val="heading 2"/>
    <w:basedOn w:val="a"/>
    <w:next w:val="a"/>
    <w:link w:val="2Char"/>
    <w:uiPriority w:val="9"/>
    <w:unhideWhenUsed/>
    <w:qFormat/>
    <w:pPr>
      <w:keepNext/>
      <w:keepLines/>
      <w:spacing w:before="200" w:after="0"/>
      <w:outlineLvl w:val="1"/>
    </w:pPr>
    <w:rPr>
      <w:rFonts w:ascii="Cambria" w:hAnsi="Cambria"/>
      <w:b/>
      <w:bCs/>
      <w:color w:val="4F81BD"/>
      <w:sz w:val="26"/>
      <w:szCs w:val="26"/>
    </w:rPr>
  </w:style>
  <w:style w:type="paragraph" w:styleId="3">
    <w:name w:val="heading 3"/>
    <w:basedOn w:val="a"/>
    <w:next w:val="a"/>
    <w:link w:val="3Char"/>
    <w:uiPriority w:val="9"/>
    <w:unhideWhenUsed/>
    <w:qFormat/>
    <w:pPr>
      <w:keepNext/>
      <w:keepLines/>
      <w:spacing w:before="200" w:after="0"/>
      <w:outlineLvl w:val="2"/>
    </w:pPr>
    <w:rPr>
      <w:rFonts w:ascii="Cambria" w:hAnsi="Cambria"/>
      <w:b/>
      <w:bCs/>
      <w:color w:val="4F81BD"/>
    </w:rPr>
  </w:style>
  <w:style w:type="paragraph" w:styleId="4">
    <w:name w:val="heading 4"/>
    <w:basedOn w:val="a"/>
    <w:next w:val="a"/>
    <w:link w:val="4Char"/>
    <w:uiPriority w:val="9"/>
    <w:unhideWhenUsed/>
    <w:qFormat/>
    <w:pPr>
      <w:keepNext/>
      <w:keepLines/>
      <w:spacing w:before="200" w:after="0"/>
      <w:outlineLvl w:val="3"/>
    </w:pPr>
    <w:rPr>
      <w:rFonts w:ascii="Cambria" w:hAnsi="Cambria"/>
      <w:b/>
      <w:bCs/>
      <w:i/>
      <w:iCs/>
      <w:color w:val="4F81BD"/>
    </w:rPr>
  </w:style>
  <w:style w:type="paragraph" w:styleId="5">
    <w:name w:val="heading 5"/>
    <w:basedOn w:val="a"/>
    <w:next w:val="a"/>
    <w:link w:val="5Char"/>
    <w:uiPriority w:val="9"/>
    <w:unhideWhenUsed/>
    <w:qFormat/>
    <w:pPr>
      <w:keepNext/>
      <w:keepLines/>
      <w:spacing w:before="200" w:after="0"/>
      <w:outlineLvl w:val="4"/>
    </w:pPr>
    <w:rPr>
      <w:rFonts w:ascii="Cambria" w:hAnsi="Cambria"/>
      <w:color w:val="244061"/>
    </w:rPr>
  </w:style>
  <w:style w:type="paragraph" w:styleId="6">
    <w:name w:val="heading 6"/>
    <w:basedOn w:val="a"/>
    <w:next w:val="a"/>
    <w:link w:val="6Char"/>
    <w:uiPriority w:val="9"/>
    <w:unhideWhenUsed/>
    <w:qFormat/>
    <w:pPr>
      <w:keepNext/>
      <w:keepLines/>
      <w:spacing w:before="200" w:after="0"/>
      <w:outlineLvl w:val="5"/>
    </w:pPr>
    <w:rPr>
      <w:rFonts w:ascii="Cambria" w:hAnsi="Cambria"/>
      <w:i/>
      <w:iCs/>
      <w:color w:val="244061"/>
    </w:rPr>
  </w:style>
  <w:style w:type="paragraph" w:styleId="7">
    <w:name w:val="heading 7"/>
    <w:basedOn w:val="a"/>
    <w:next w:val="a"/>
    <w:link w:val="7Char"/>
    <w:uiPriority w:val="9"/>
    <w:unhideWhenUsed/>
    <w:qFormat/>
    <w:pPr>
      <w:keepNext/>
      <w:keepLines/>
      <w:spacing w:before="200" w:after="0"/>
      <w:outlineLvl w:val="6"/>
    </w:pPr>
    <w:rPr>
      <w:rFonts w:ascii="Cambria" w:hAnsi="Cambria"/>
      <w:i/>
      <w:iCs/>
      <w:color w:val="3F3F3F"/>
    </w:rPr>
  </w:style>
  <w:style w:type="paragraph" w:styleId="8">
    <w:name w:val="heading 8"/>
    <w:basedOn w:val="a"/>
    <w:next w:val="a"/>
    <w:link w:val="8Char"/>
    <w:uiPriority w:val="9"/>
    <w:unhideWhenUsed/>
    <w:qFormat/>
    <w:pPr>
      <w:keepNext/>
      <w:keepLines/>
      <w:spacing w:before="200" w:after="0"/>
      <w:outlineLvl w:val="7"/>
    </w:pPr>
    <w:rPr>
      <w:rFonts w:ascii="Cambria" w:hAnsi="Cambria"/>
      <w:color w:val="4F81BD"/>
      <w:sz w:val="20"/>
      <w:szCs w:val="20"/>
    </w:rPr>
  </w:style>
  <w:style w:type="paragraph" w:styleId="9">
    <w:name w:val="heading 9"/>
    <w:basedOn w:val="a"/>
    <w:next w:val="a"/>
    <w:link w:val="9Char"/>
    <w:uiPriority w:val="9"/>
    <w:unhideWhenUsed/>
    <w:qFormat/>
    <w:pPr>
      <w:keepNext/>
      <w:keepLines/>
      <w:spacing w:before="200" w:after="0"/>
      <w:outlineLvl w:val="8"/>
    </w:pPr>
    <w:rPr>
      <w:rFonts w:ascii="Cambria" w:hAnsi="Cambria"/>
      <w:i/>
      <w:iCs/>
      <w:color w:val="3F3F3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rPr>
      <w:rFonts w:eastAsia="仿宋_GB2312"/>
      <w:sz w:val="32"/>
    </w:rPr>
  </w:style>
  <w:style w:type="paragraph" w:styleId="a4">
    <w:name w:val="caption"/>
    <w:basedOn w:val="a"/>
    <w:next w:val="a"/>
    <w:uiPriority w:val="35"/>
    <w:unhideWhenUsed/>
    <w:qFormat/>
    <w:pPr>
      <w:spacing w:line="240" w:lineRule="auto"/>
    </w:pPr>
    <w:rPr>
      <w:b/>
      <w:bCs/>
      <w:color w:val="4F81BD"/>
      <w:sz w:val="18"/>
      <w:szCs w:val="18"/>
    </w:rPr>
  </w:style>
  <w:style w:type="paragraph" w:styleId="a5">
    <w:name w:val="annotation text"/>
    <w:basedOn w:val="a"/>
    <w:link w:val="Char"/>
    <w:uiPriority w:val="99"/>
    <w:unhideWhenUsed/>
    <w:qFormat/>
  </w:style>
  <w:style w:type="paragraph" w:styleId="30">
    <w:name w:val="toc 3"/>
    <w:basedOn w:val="a"/>
    <w:next w:val="a"/>
    <w:uiPriority w:val="39"/>
    <w:unhideWhenUsed/>
    <w:qFormat/>
    <w:pPr>
      <w:ind w:leftChars="400" w:left="840"/>
    </w:pPr>
  </w:style>
  <w:style w:type="paragraph" w:styleId="a6">
    <w:name w:val="Plain Text"/>
    <w:basedOn w:val="a"/>
    <w:link w:val="Char0"/>
    <w:qFormat/>
    <w:rPr>
      <w:rFonts w:ascii="宋体" w:hAnsi="Courier New"/>
    </w:rPr>
  </w:style>
  <w:style w:type="paragraph" w:styleId="a7">
    <w:name w:val="Balloon Text"/>
    <w:basedOn w:val="a"/>
    <w:link w:val="Char1"/>
    <w:uiPriority w:val="99"/>
    <w:unhideWhenUsed/>
    <w:qFormat/>
    <w:pPr>
      <w:spacing w:after="0" w:line="240" w:lineRule="auto"/>
    </w:pPr>
    <w:rPr>
      <w:sz w:val="18"/>
      <w:szCs w:val="18"/>
    </w:rPr>
  </w:style>
  <w:style w:type="paragraph" w:styleId="a8">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aa">
    <w:name w:val="Subtitle"/>
    <w:basedOn w:val="a"/>
    <w:next w:val="a"/>
    <w:link w:val="Char4"/>
    <w:uiPriority w:val="11"/>
    <w:qFormat/>
    <w:rPr>
      <w:rFonts w:ascii="Cambria" w:hAnsi="Cambria"/>
      <w:i/>
      <w:iCs/>
      <w:color w:val="4F81BD"/>
      <w:spacing w:val="15"/>
      <w:sz w:val="24"/>
      <w:szCs w:val="24"/>
    </w:rPr>
  </w:style>
  <w:style w:type="paragraph" w:styleId="ab">
    <w:name w:val="footnote text"/>
    <w:basedOn w:val="a"/>
    <w:link w:val="Char5"/>
    <w:unhideWhenUsed/>
    <w:qFormat/>
    <w:pPr>
      <w:widowControl w:val="0"/>
      <w:snapToGrid w:val="0"/>
      <w:spacing w:after="0" w:line="240" w:lineRule="auto"/>
    </w:pPr>
    <w:rPr>
      <w:rFonts w:cs="Times New Roman"/>
      <w:kern w:val="2"/>
      <w:sz w:val="18"/>
      <w:szCs w:val="18"/>
    </w:rPr>
  </w:style>
  <w:style w:type="paragraph" w:styleId="20">
    <w:name w:val="toc 2"/>
    <w:basedOn w:val="a"/>
    <w:next w:val="a"/>
    <w:link w:val="2Char0"/>
    <w:uiPriority w:val="39"/>
    <w:unhideWhenUsed/>
    <w:qFormat/>
    <w:pPr>
      <w:ind w:leftChars="200" w:left="420"/>
    </w:pPr>
  </w:style>
  <w:style w:type="paragraph" w:styleId="ac">
    <w:name w:val="Normal (Web)"/>
    <w:basedOn w:val="a"/>
    <w:uiPriority w:val="99"/>
    <w:qFormat/>
    <w:pPr>
      <w:spacing w:before="100" w:beforeAutospacing="1" w:after="100" w:afterAutospacing="1"/>
    </w:pPr>
    <w:rPr>
      <w:sz w:val="24"/>
    </w:rPr>
  </w:style>
  <w:style w:type="paragraph" w:styleId="ad">
    <w:name w:val="Title"/>
    <w:basedOn w:val="a"/>
    <w:next w:val="a"/>
    <w:link w:val="Char6"/>
    <w:uiPriority w:val="10"/>
    <w:qFormat/>
    <w:pPr>
      <w:pBdr>
        <w:bottom w:val="single" w:sz="8" w:space="4" w:color="4F81BD"/>
      </w:pBdr>
      <w:spacing w:after="300" w:line="240" w:lineRule="auto"/>
      <w:contextualSpacing/>
    </w:pPr>
    <w:rPr>
      <w:rFonts w:ascii="Cambria" w:hAnsi="Cambria"/>
      <w:color w:val="16365C"/>
      <w:spacing w:val="5"/>
      <w:kern w:val="28"/>
      <w:sz w:val="52"/>
      <w:szCs w:val="52"/>
    </w:rPr>
  </w:style>
  <w:style w:type="paragraph" w:styleId="ae">
    <w:name w:val="annotation subject"/>
    <w:basedOn w:val="a5"/>
    <w:next w:val="a5"/>
    <w:link w:val="Char7"/>
    <w:uiPriority w:val="99"/>
    <w:unhideWhenUsed/>
    <w:qFormat/>
    <w:rPr>
      <w:b/>
      <w:bCs/>
    </w:rPr>
  </w:style>
  <w:style w:type="table" w:styleId="af">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basedOn w:val="a0"/>
    <w:uiPriority w:val="99"/>
    <w:unhideWhenUsed/>
    <w:qFormat/>
    <w:rPr>
      <w:sz w:val="21"/>
      <w:szCs w:val="21"/>
    </w:rPr>
  </w:style>
  <w:style w:type="character" w:styleId="af4">
    <w:name w:val="footnote reference"/>
    <w:basedOn w:val="a0"/>
    <w:unhideWhenUsed/>
    <w:qFormat/>
    <w:rPr>
      <w:vertAlign w:val="superscript"/>
    </w:rPr>
  </w:style>
  <w:style w:type="paragraph" w:customStyle="1" w:styleId="11">
    <w:name w:val="列出段落1"/>
    <w:basedOn w:val="a"/>
    <w:uiPriority w:val="34"/>
    <w:qFormat/>
    <w:pPr>
      <w:ind w:left="720"/>
      <w:contextualSpacing/>
    </w:pPr>
  </w:style>
  <w:style w:type="paragraph" w:customStyle="1" w:styleId="12">
    <w:name w:val="无间隔1"/>
    <w:uiPriority w:val="1"/>
    <w:qFormat/>
    <w:rPr>
      <w:rFonts w:ascii="Calibri" w:hAnsi="Calibri" w:cs="黑体"/>
      <w:sz w:val="22"/>
      <w:szCs w:val="22"/>
    </w:rPr>
  </w:style>
  <w:style w:type="paragraph" w:customStyle="1" w:styleId="13">
    <w:name w:val="引用1"/>
    <w:basedOn w:val="a"/>
    <w:next w:val="a"/>
    <w:link w:val="Char8"/>
    <w:uiPriority w:val="29"/>
    <w:qFormat/>
    <w:rPr>
      <w:i/>
      <w:iCs/>
      <w:color w:val="000000"/>
    </w:rPr>
  </w:style>
  <w:style w:type="paragraph" w:customStyle="1" w:styleId="14">
    <w:name w:val="明显引用1"/>
    <w:basedOn w:val="a"/>
    <w:next w:val="a"/>
    <w:link w:val="Char9"/>
    <w:uiPriority w:val="30"/>
    <w:qFormat/>
    <w:pPr>
      <w:pBdr>
        <w:bottom w:val="single" w:sz="4" w:space="4" w:color="4F81BD"/>
      </w:pBdr>
      <w:spacing w:before="200" w:after="280"/>
      <w:ind w:left="936" w:right="936"/>
    </w:pPr>
    <w:rPr>
      <w:b/>
      <w:bCs/>
      <w:i/>
      <w:iCs/>
      <w:color w:val="4F81BD"/>
    </w:rPr>
  </w:style>
  <w:style w:type="paragraph" w:customStyle="1" w:styleId="TOC1">
    <w:name w:val="TOC 标题1"/>
    <w:basedOn w:val="1"/>
    <w:next w:val="a"/>
    <w:uiPriority w:val="39"/>
    <w:unhideWhenUsed/>
    <w:qFormat/>
    <w:pPr>
      <w:outlineLvl w:val="9"/>
    </w:pPr>
  </w:style>
  <w:style w:type="paragraph" w:customStyle="1" w:styleId="15">
    <w:name w:val="修订1"/>
    <w:hidden/>
    <w:uiPriority w:val="99"/>
    <w:semiHidden/>
    <w:qFormat/>
    <w:rPr>
      <w:rFonts w:ascii="Calibri" w:hAnsi="Calibri" w:cs="黑体"/>
      <w:sz w:val="22"/>
      <w:szCs w:val="22"/>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af5">
    <w:name w:val="目录"/>
    <w:basedOn w:val="20"/>
    <w:link w:val="Chara"/>
    <w:qFormat/>
    <w:pPr>
      <w:tabs>
        <w:tab w:val="right" w:leader="dot" w:pos="8296"/>
      </w:tabs>
      <w:snapToGrid w:val="0"/>
      <w:spacing w:after="0" w:line="480" w:lineRule="auto"/>
      <w:ind w:left="440"/>
    </w:pPr>
    <w:rPr>
      <w:rFonts w:ascii="Times New Roman" w:eastAsia="黑体" w:hAnsi="Times New Roman"/>
      <w:sz w:val="28"/>
      <w:szCs w:val="28"/>
    </w:rPr>
  </w:style>
  <w:style w:type="paragraph" w:customStyle="1" w:styleId="TableParagraph">
    <w:name w:val="Table Paragraph"/>
    <w:basedOn w:val="a"/>
    <w:uiPriority w:val="1"/>
    <w:qFormat/>
    <w:pPr>
      <w:widowControl w:val="0"/>
      <w:spacing w:after="0" w:line="240" w:lineRule="auto"/>
    </w:pPr>
    <w:rPr>
      <w:lang w:eastAsia="en-US"/>
    </w:rPr>
  </w:style>
  <w:style w:type="character" w:customStyle="1" w:styleId="1Char">
    <w:name w:val="标题 1 Char"/>
    <w:basedOn w:val="a0"/>
    <w:link w:val="1"/>
    <w:uiPriority w:val="9"/>
    <w:qFormat/>
    <w:rPr>
      <w:rFonts w:ascii="Cambria" w:eastAsia="宋体" w:hAnsi="Cambria" w:cs="黑体"/>
      <w:b/>
      <w:bCs/>
      <w:color w:val="365F90"/>
      <w:sz w:val="28"/>
      <w:szCs w:val="28"/>
    </w:rPr>
  </w:style>
  <w:style w:type="character" w:customStyle="1" w:styleId="2Char">
    <w:name w:val="标题 2 Char"/>
    <w:basedOn w:val="a0"/>
    <w:link w:val="2"/>
    <w:uiPriority w:val="9"/>
    <w:qFormat/>
    <w:rPr>
      <w:rFonts w:ascii="Cambria" w:eastAsia="宋体" w:hAnsi="Cambria" w:cs="黑体"/>
      <w:b/>
      <w:bCs/>
      <w:color w:val="4F81BD"/>
      <w:sz w:val="26"/>
      <w:szCs w:val="26"/>
    </w:rPr>
  </w:style>
  <w:style w:type="character" w:customStyle="1" w:styleId="3Char">
    <w:name w:val="标题 3 Char"/>
    <w:basedOn w:val="a0"/>
    <w:link w:val="3"/>
    <w:uiPriority w:val="9"/>
    <w:qFormat/>
    <w:rPr>
      <w:rFonts w:ascii="Cambria" w:eastAsia="宋体" w:hAnsi="Cambria" w:cs="黑体"/>
      <w:b/>
      <w:bCs/>
      <w:color w:val="4F81BD"/>
    </w:rPr>
  </w:style>
  <w:style w:type="character" w:customStyle="1" w:styleId="4Char">
    <w:name w:val="标题 4 Char"/>
    <w:basedOn w:val="a0"/>
    <w:link w:val="4"/>
    <w:uiPriority w:val="9"/>
    <w:qFormat/>
    <w:rPr>
      <w:rFonts w:ascii="Cambria" w:eastAsia="宋体" w:hAnsi="Cambria" w:cs="黑体"/>
      <w:b/>
      <w:bCs/>
      <w:i/>
      <w:iCs/>
      <w:color w:val="4F81BD"/>
    </w:rPr>
  </w:style>
  <w:style w:type="character" w:customStyle="1" w:styleId="5Char">
    <w:name w:val="标题 5 Char"/>
    <w:basedOn w:val="a0"/>
    <w:link w:val="5"/>
    <w:uiPriority w:val="9"/>
    <w:qFormat/>
    <w:rPr>
      <w:rFonts w:ascii="Cambria" w:eastAsia="宋体" w:hAnsi="Cambria" w:cs="黑体"/>
      <w:color w:val="244061"/>
    </w:rPr>
  </w:style>
  <w:style w:type="character" w:customStyle="1" w:styleId="Char0">
    <w:name w:val="纯文本 Char"/>
    <w:basedOn w:val="a0"/>
    <w:link w:val="a6"/>
    <w:qFormat/>
    <w:rPr>
      <w:rFonts w:ascii="宋体" w:hAnsi="Courier New"/>
      <w:kern w:val="2"/>
      <w:sz w:val="21"/>
      <w:szCs w:val="24"/>
    </w:rPr>
  </w:style>
  <w:style w:type="character" w:customStyle="1" w:styleId="6Char">
    <w:name w:val="标题 6 Char"/>
    <w:basedOn w:val="a0"/>
    <w:link w:val="6"/>
    <w:uiPriority w:val="9"/>
    <w:semiHidden/>
    <w:qFormat/>
    <w:rPr>
      <w:rFonts w:ascii="Cambria" w:eastAsia="宋体" w:hAnsi="Cambria" w:cs="黑体"/>
      <w:i/>
      <w:iCs/>
      <w:color w:val="244061"/>
    </w:rPr>
  </w:style>
  <w:style w:type="character" w:customStyle="1" w:styleId="7Char">
    <w:name w:val="标题 7 Char"/>
    <w:basedOn w:val="a0"/>
    <w:link w:val="7"/>
    <w:uiPriority w:val="9"/>
    <w:semiHidden/>
    <w:qFormat/>
    <w:rPr>
      <w:rFonts w:ascii="Cambria" w:eastAsia="宋体" w:hAnsi="Cambria" w:cs="黑体"/>
      <w:i/>
      <w:iCs/>
      <w:color w:val="3F3F3F"/>
    </w:rPr>
  </w:style>
  <w:style w:type="character" w:customStyle="1" w:styleId="8Char">
    <w:name w:val="标题 8 Char"/>
    <w:basedOn w:val="a0"/>
    <w:link w:val="8"/>
    <w:uiPriority w:val="9"/>
    <w:semiHidden/>
    <w:qFormat/>
    <w:rPr>
      <w:rFonts w:ascii="Cambria" w:eastAsia="宋体" w:hAnsi="Cambria" w:cs="黑体"/>
      <w:color w:val="4F81BD"/>
      <w:sz w:val="20"/>
      <w:szCs w:val="20"/>
    </w:rPr>
  </w:style>
  <w:style w:type="character" w:customStyle="1" w:styleId="9Char">
    <w:name w:val="标题 9 Char"/>
    <w:basedOn w:val="a0"/>
    <w:link w:val="9"/>
    <w:uiPriority w:val="9"/>
    <w:semiHidden/>
    <w:qFormat/>
    <w:rPr>
      <w:rFonts w:ascii="Cambria" w:eastAsia="宋体" w:hAnsi="Cambria" w:cs="黑体"/>
      <w:i/>
      <w:iCs/>
      <w:color w:val="3F3F3F"/>
      <w:sz w:val="20"/>
      <w:szCs w:val="20"/>
    </w:rPr>
  </w:style>
  <w:style w:type="character" w:customStyle="1" w:styleId="Char6">
    <w:name w:val="标题 Char"/>
    <w:basedOn w:val="a0"/>
    <w:link w:val="ad"/>
    <w:uiPriority w:val="10"/>
    <w:qFormat/>
    <w:rPr>
      <w:rFonts w:ascii="Cambria" w:eastAsia="宋体" w:hAnsi="Cambria" w:cs="黑体"/>
      <w:color w:val="16365C"/>
      <w:spacing w:val="5"/>
      <w:kern w:val="28"/>
      <w:sz w:val="52"/>
      <w:szCs w:val="52"/>
    </w:rPr>
  </w:style>
  <w:style w:type="character" w:customStyle="1" w:styleId="Char4">
    <w:name w:val="副标题 Char"/>
    <w:basedOn w:val="a0"/>
    <w:link w:val="aa"/>
    <w:uiPriority w:val="11"/>
    <w:qFormat/>
    <w:rPr>
      <w:rFonts w:ascii="Cambria" w:eastAsia="宋体" w:hAnsi="Cambria" w:cs="黑体"/>
      <w:i/>
      <w:iCs/>
      <w:color w:val="4F81BD"/>
      <w:spacing w:val="15"/>
      <w:sz w:val="24"/>
      <w:szCs w:val="24"/>
    </w:rPr>
  </w:style>
  <w:style w:type="character" w:customStyle="1" w:styleId="Char8">
    <w:name w:val="引用 Char"/>
    <w:basedOn w:val="a0"/>
    <w:link w:val="13"/>
    <w:uiPriority w:val="29"/>
    <w:qFormat/>
    <w:rPr>
      <w:i/>
      <w:iCs/>
      <w:color w:val="000000"/>
    </w:rPr>
  </w:style>
  <w:style w:type="character" w:customStyle="1" w:styleId="Char9">
    <w:name w:val="明显引用 Char"/>
    <w:basedOn w:val="a0"/>
    <w:link w:val="14"/>
    <w:uiPriority w:val="30"/>
    <w:qFormat/>
    <w:rPr>
      <w:b/>
      <w:bCs/>
      <w:i/>
      <w:iCs/>
      <w:color w:val="4F81BD"/>
    </w:rPr>
  </w:style>
  <w:style w:type="character" w:customStyle="1" w:styleId="16">
    <w:name w:val="不明显强调1"/>
    <w:basedOn w:val="a0"/>
    <w:uiPriority w:val="19"/>
    <w:qFormat/>
    <w:rPr>
      <w:i/>
      <w:iCs/>
      <w:color w:val="7C7C7C"/>
    </w:rPr>
  </w:style>
  <w:style w:type="character" w:customStyle="1" w:styleId="17">
    <w:name w:val="明显强调1"/>
    <w:basedOn w:val="a0"/>
    <w:uiPriority w:val="21"/>
    <w:qFormat/>
    <w:rPr>
      <w:b/>
      <w:bCs/>
      <w:i/>
      <w:iCs/>
      <w:color w:val="4F81BD"/>
    </w:rPr>
  </w:style>
  <w:style w:type="character" w:customStyle="1" w:styleId="18">
    <w:name w:val="不明显参考1"/>
    <w:basedOn w:val="a0"/>
    <w:uiPriority w:val="31"/>
    <w:qFormat/>
    <w:rPr>
      <w:smallCaps/>
      <w:color w:val="C0504D"/>
      <w:u w:val="single"/>
    </w:rPr>
  </w:style>
  <w:style w:type="character" w:customStyle="1" w:styleId="19">
    <w:name w:val="明显参考1"/>
    <w:basedOn w:val="a0"/>
    <w:uiPriority w:val="32"/>
    <w:qFormat/>
    <w:rPr>
      <w:b/>
      <w:bCs/>
      <w:smallCaps/>
      <w:color w:val="C0504D"/>
      <w:spacing w:val="5"/>
      <w:u w:val="single"/>
    </w:rPr>
  </w:style>
  <w:style w:type="character" w:customStyle="1" w:styleId="1a">
    <w:name w:val="书籍标题1"/>
    <w:basedOn w:val="a0"/>
    <w:uiPriority w:val="33"/>
    <w:qFormat/>
    <w:rPr>
      <w:b/>
      <w:bCs/>
      <w:smallCaps/>
      <w:spacing w:val="5"/>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character" w:customStyle="1" w:styleId="Char1">
    <w:name w:val="批注框文本 Char"/>
    <w:basedOn w:val="a0"/>
    <w:link w:val="a7"/>
    <w:uiPriority w:val="99"/>
    <w:semiHidden/>
    <w:qFormat/>
    <w:rPr>
      <w:sz w:val="18"/>
      <w:szCs w:val="18"/>
    </w:rPr>
  </w:style>
  <w:style w:type="character" w:customStyle="1" w:styleId="Char">
    <w:name w:val="批注文字 Char"/>
    <w:basedOn w:val="a0"/>
    <w:link w:val="a5"/>
    <w:uiPriority w:val="99"/>
    <w:qFormat/>
  </w:style>
  <w:style w:type="character" w:customStyle="1" w:styleId="Char7">
    <w:name w:val="批注主题 Char"/>
    <w:basedOn w:val="Char"/>
    <w:link w:val="ae"/>
    <w:uiPriority w:val="99"/>
    <w:semiHidden/>
    <w:qFormat/>
    <w:rPr>
      <w:b/>
      <w:bCs/>
    </w:rPr>
  </w:style>
  <w:style w:type="character" w:customStyle="1" w:styleId="fontstyle01">
    <w:name w:val="fontstyle01"/>
    <w:basedOn w:val="a0"/>
    <w:qFormat/>
    <w:rPr>
      <w:rFonts w:ascii="仿宋" w:eastAsia="仿宋" w:hAnsi="仿宋" w:cs="仿宋"/>
      <w:color w:val="000000"/>
      <w:sz w:val="30"/>
      <w:szCs w:val="30"/>
    </w:rPr>
  </w:style>
  <w:style w:type="character" w:customStyle="1" w:styleId="Char5">
    <w:name w:val="脚注文本 Char"/>
    <w:basedOn w:val="a0"/>
    <w:link w:val="ab"/>
    <w:qFormat/>
    <w:rPr>
      <w:rFonts w:ascii="Calibri" w:eastAsia="宋体" w:hAnsi="Calibri" w:cs="Times New Roman"/>
      <w:kern w:val="2"/>
      <w:sz w:val="18"/>
      <w:szCs w:val="18"/>
    </w:rPr>
  </w:style>
  <w:style w:type="character" w:customStyle="1" w:styleId="font01">
    <w:name w:val="font01"/>
    <w:basedOn w:val="a0"/>
    <w:qFormat/>
    <w:rPr>
      <w:rFonts w:ascii="楷体" w:eastAsia="楷体" w:hAnsi="楷体" w:cs="楷体"/>
      <w:color w:val="000000"/>
      <w:sz w:val="24"/>
      <w:szCs w:val="24"/>
      <w:u w:val="none"/>
    </w:rPr>
  </w:style>
  <w:style w:type="character" w:customStyle="1" w:styleId="font11">
    <w:name w:val="font11"/>
    <w:basedOn w:val="a0"/>
    <w:qFormat/>
    <w:rPr>
      <w:rFonts w:ascii="楷体" w:eastAsia="楷体" w:hAnsi="楷体" w:cs="楷体" w:hint="eastAsia"/>
      <w:color w:val="000000"/>
      <w:sz w:val="24"/>
      <w:szCs w:val="24"/>
      <w:u w:val="none"/>
    </w:rPr>
  </w:style>
  <w:style w:type="character" w:customStyle="1" w:styleId="2Char0">
    <w:name w:val="目录 2 Char"/>
    <w:basedOn w:val="a0"/>
    <w:link w:val="20"/>
    <w:uiPriority w:val="39"/>
    <w:qFormat/>
    <w:rPr>
      <w:sz w:val="22"/>
      <w:szCs w:val="22"/>
    </w:rPr>
  </w:style>
  <w:style w:type="character" w:customStyle="1" w:styleId="Chara">
    <w:name w:val="目录 Char"/>
    <w:basedOn w:val="2Char0"/>
    <w:link w:val="af5"/>
    <w:qFormat/>
    <w:rPr>
      <w:rFonts w:ascii="Times New Roman" w:eastAsia="黑体" w:hAnsi="Times New Roman"/>
      <w:sz w:val="28"/>
      <w:szCs w:val="28"/>
    </w:rPr>
  </w:style>
  <w:style w:type="paragraph" w:styleId="af6">
    <w:name w:val="List Paragraph"/>
    <w:basedOn w:val="a"/>
    <w:uiPriority w:val="34"/>
    <w:qFormat/>
    <w:pPr>
      <w:widowControl w:val="0"/>
      <w:spacing w:after="0" w:line="240" w:lineRule="auto"/>
      <w:ind w:firstLineChars="200" w:firstLine="420"/>
      <w:jc w:val="both"/>
    </w:pPr>
    <w:rPr>
      <w:kern w:val="2"/>
      <w:sz w:val="21"/>
    </w:rPr>
  </w:style>
  <w:style w:type="paragraph" w:customStyle="1" w:styleId="TOC2">
    <w:name w:val="TOC 标题2"/>
    <w:basedOn w:val="1"/>
    <w:next w:val="a"/>
    <w:uiPriority w:val="39"/>
    <w:semiHidden/>
    <w:unhideWhenUsed/>
    <w:qFormat/>
    <w:pPr>
      <w:outlineLvl w:val="9"/>
    </w:pPr>
    <w:rPr>
      <w:rFonts w:asciiTheme="majorHAnsi" w:eastAsiaTheme="majorEastAsia" w:hAnsiTheme="majorHAnsi" w:cstheme="majorBidi"/>
      <w:color w:val="365F91" w:themeColor="accent1" w:themeShade="BF"/>
    </w:rPr>
  </w:style>
  <w:style w:type="paragraph" w:styleId="af7">
    <w:name w:val="Revision"/>
    <w:hidden/>
    <w:uiPriority w:val="99"/>
    <w:unhideWhenUsed/>
    <w:rsid w:val="003437E4"/>
    <w:rPr>
      <w:rFonts w:ascii="Calibri" w:hAnsi="Calibri" w:cs="黑体"/>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qFormat="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uiPriority="0" w:qFormat="1"/>
    <w:lsdException w:name="annotation reference" w:qFormat="1"/>
    <w:lsdException w:name="line number" w:semiHidden="1"/>
    <w:lsdException w:name="page number" w:semiHidden="1"/>
    <w:lsdException w:name="endnote reference" w:semiHidden="1"/>
    <w:lsdException w:name="endnote text" w:semiHidden="1"/>
    <w:lsdException w:name="table of authorities" w:qFormat="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A66804"/>
    <w:pPr>
      <w:spacing w:after="200" w:line="276" w:lineRule="auto"/>
    </w:pPr>
    <w:rPr>
      <w:rFonts w:ascii="Calibri" w:hAnsi="Calibri" w:cs="黑体"/>
      <w:sz w:val="22"/>
      <w:szCs w:val="22"/>
    </w:rPr>
  </w:style>
  <w:style w:type="paragraph" w:styleId="1">
    <w:name w:val="heading 1"/>
    <w:basedOn w:val="a"/>
    <w:next w:val="a"/>
    <w:link w:val="1Char"/>
    <w:uiPriority w:val="9"/>
    <w:qFormat/>
    <w:pPr>
      <w:keepNext/>
      <w:keepLines/>
      <w:spacing w:before="480" w:after="0"/>
      <w:outlineLvl w:val="0"/>
    </w:pPr>
    <w:rPr>
      <w:rFonts w:ascii="Cambria" w:hAnsi="Cambria"/>
      <w:b/>
      <w:bCs/>
      <w:color w:val="365F90"/>
      <w:sz w:val="28"/>
      <w:szCs w:val="28"/>
    </w:rPr>
  </w:style>
  <w:style w:type="paragraph" w:styleId="2">
    <w:name w:val="heading 2"/>
    <w:basedOn w:val="a"/>
    <w:next w:val="a"/>
    <w:link w:val="2Char"/>
    <w:uiPriority w:val="9"/>
    <w:unhideWhenUsed/>
    <w:qFormat/>
    <w:pPr>
      <w:keepNext/>
      <w:keepLines/>
      <w:spacing w:before="200" w:after="0"/>
      <w:outlineLvl w:val="1"/>
    </w:pPr>
    <w:rPr>
      <w:rFonts w:ascii="Cambria" w:hAnsi="Cambria"/>
      <w:b/>
      <w:bCs/>
      <w:color w:val="4F81BD"/>
      <w:sz w:val="26"/>
      <w:szCs w:val="26"/>
    </w:rPr>
  </w:style>
  <w:style w:type="paragraph" w:styleId="3">
    <w:name w:val="heading 3"/>
    <w:basedOn w:val="a"/>
    <w:next w:val="a"/>
    <w:link w:val="3Char"/>
    <w:uiPriority w:val="9"/>
    <w:unhideWhenUsed/>
    <w:qFormat/>
    <w:pPr>
      <w:keepNext/>
      <w:keepLines/>
      <w:spacing w:before="200" w:after="0"/>
      <w:outlineLvl w:val="2"/>
    </w:pPr>
    <w:rPr>
      <w:rFonts w:ascii="Cambria" w:hAnsi="Cambria"/>
      <w:b/>
      <w:bCs/>
      <w:color w:val="4F81BD"/>
    </w:rPr>
  </w:style>
  <w:style w:type="paragraph" w:styleId="4">
    <w:name w:val="heading 4"/>
    <w:basedOn w:val="a"/>
    <w:next w:val="a"/>
    <w:link w:val="4Char"/>
    <w:uiPriority w:val="9"/>
    <w:unhideWhenUsed/>
    <w:qFormat/>
    <w:pPr>
      <w:keepNext/>
      <w:keepLines/>
      <w:spacing w:before="200" w:after="0"/>
      <w:outlineLvl w:val="3"/>
    </w:pPr>
    <w:rPr>
      <w:rFonts w:ascii="Cambria" w:hAnsi="Cambria"/>
      <w:b/>
      <w:bCs/>
      <w:i/>
      <w:iCs/>
      <w:color w:val="4F81BD"/>
    </w:rPr>
  </w:style>
  <w:style w:type="paragraph" w:styleId="5">
    <w:name w:val="heading 5"/>
    <w:basedOn w:val="a"/>
    <w:next w:val="a"/>
    <w:link w:val="5Char"/>
    <w:uiPriority w:val="9"/>
    <w:unhideWhenUsed/>
    <w:qFormat/>
    <w:pPr>
      <w:keepNext/>
      <w:keepLines/>
      <w:spacing w:before="200" w:after="0"/>
      <w:outlineLvl w:val="4"/>
    </w:pPr>
    <w:rPr>
      <w:rFonts w:ascii="Cambria" w:hAnsi="Cambria"/>
      <w:color w:val="244061"/>
    </w:rPr>
  </w:style>
  <w:style w:type="paragraph" w:styleId="6">
    <w:name w:val="heading 6"/>
    <w:basedOn w:val="a"/>
    <w:next w:val="a"/>
    <w:link w:val="6Char"/>
    <w:uiPriority w:val="9"/>
    <w:unhideWhenUsed/>
    <w:qFormat/>
    <w:pPr>
      <w:keepNext/>
      <w:keepLines/>
      <w:spacing w:before="200" w:after="0"/>
      <w:outlineLvl w:val="5"/>
    </w:pPr>
    <w:rPr>
      <w:rFonts w:ascii="Cambria" w:hAnsi="Cambria"/>
      <w:i/>
      <w:iCs/>
      <w:color w:val="244061"/>
    </w:rPr>
  </w:style>
  <w:style w:type="paragraph" w:styleId="7">
    <w:name w:val="heading 7"/>
    <w:basedOn w:val="a"/>
    <w:next w:val="a"/>
    <w:link w:val="7Char"/>
    <w:uiPriority w:val="9"/>
    <w:unhideWhenUsed/>
    <w:qFormat/>
    <w:pPr>
      <w:keepNext/>
      <w:keepLines/>
      <w:spacing w:before="200" w:after="0"/>
      <w:outlineLvl w:val="6"/>
    </w:pPr>
    <w:rPr>
      <w:rFonts w:ascii="Cambria" w:hAnsi="Cambria"/>
      <w:i/>
      <w:iCs/>
      <w:color w:val="3F3F3F"/>
    </w:rPr>
  </w:style>
  <w:style w:type="paragraph" w:styleId="8">
    <w:name w:val="heading 8"/>
    <w:basedOn w:val="a"/>
    <w:next w:val="a"/>
    <w:link w:val="8Char"/>
    <w:uiPriority w:val="9"/>
    <w:unhideWhenUsed/>
    <w:qFormat/>
    <w:pPr>
      <w:keepNext/>
      <w:keepLines/>
      <w:spacing w:before="200" w:after="0"/>
      <w:outlineLvl w:val="7"/>
    </w:pPr>
    <w:rPr>
      <w:rFonts w:ascii="Cambria" w:hAnsi="Cambria"/>
      <w:color w:val="4F81BD"/>
      <w:sz w:val="20"/>
      <w:szCs w:val="20"/>
    </w:rPr>
  </w:style>
  <w:style w:type="paragraph" w:styleId="9">
    <w:name w:val="heading 9"/>
    <w:basedOn w:val="a"/>
    <w:next w:val="a"/>
    <w:link w:val="9Char"/>
    <w:uiPriority w:val="9"/>
    <w:unhideWhenUsed/>
    <w:qFormat/>
    <w:pPr>
      <w:keepNext/>
      <w:keepLines/>
      <w:spacing w:before="200" w:after="0"/>
      <w:outlineLvl w:val="8"/>
    </w:pPr>
    <w:rPr>
      <w:rFonts w:ascii="Cambria" w:hAnsi="Cambria"/>
      <w:i/>
      <w:iCs/>
      <w:color w:val="3F3F3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rPr>
      <w:rFonts w:eastAsia="仿宋_GB2312"/>
      <w:sz w:val="32"/>
    </w:rPr>
  </w:style>
  <w:style w:type="paragraph" w:styleId="a4">
    <w:name w:val="caption"/>
    <w:basedOn w:val="a"/>
    <w:next w:val="a"/>
    <w:uiPriority w:val="35"/>
    <w:unhideWhenUsed/>
    <w:qFormat/>
    <w:pPr>
      <w:spacing w:line="240" w:lineRule="auto"/>
    </w:pPr>
    <w:rPr>
      <w:b/>
      <w:bCs/>
      <w:color w:val="4F81BD"/>
      <w:sz w:val="18"/>
      <w:szCs w:val="18"/>
    </w:rPr>
  </w:style>
  <w:style w:type="paragraph" w:styleId="a5">
    <w:name w:val="annotation text"/>
    <w:basedOn w:val="a"/>
    <w:link w:val="Char"/>
    <w:uiPriority w:val="99"/>
    <w:unhideWhenUsed/>
    <w:qFormat/>
  </w:style>
  <w:style w:type="paragraph" w:styleId="30">
    <w:name w:val="toc 3"/>
    <w:basedOn w:val="a"/>
    <w:next w:val="a"/>
    <w:uiPriority w:val="39"/>
    <w:unhideWhenUsed/>
    <w:qFormat/>
    <w:pPr>
      <w:ind w:leftChars="400" w:left="840"/>
    </w:pPr>
  </w:style>
  <w:style w:type="paragraph" w:styleId="a6">
    <w:name w:val="Plain Text"/>
    <w:basedOn w:val="a"/>
    <w:link w:val="Char0"/>
    <w:qFormat/>
    <w:rPr>
      <w:rFonts w:ascii="宋体" w:hAnsi="Courier New"/>
    </w:rPr>
  </w:style>
  <w:style w:type="paragraph" w:styleId="a7">
    <w:name w:val="Balloon Text"/>
    <w:basedOn w:val="a"/>
    <w:link w:val="Char1"/>
    <w:uiPriority w:val="99"/>
    <w:unhideWhenUsed/>
    <w:qFormat/>
    <w:pPr>
      <w:spacing w:after="0" w:line="240" w:lineRule="auto"/>
    </w:pPr>
    <w:rPr>
      <w:sz w:val="18"/>
      <w:szCs w:val="18"/>
    </w:rPr>
  </w:style>
  <w:style w:type="paragraph" w:styleId="a8">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aa">
    <w:name w:val="Subtitle"/>
    <w:basedOn w:val="a"/>
    <w:next w:val="a"/>
    <w:link w:val="Char4"/>
    <w:uiPriority w:val="11"/>
    <w:qFormat/>
    <w:rPr>
      <w:rFonts w:ascii="Cambria" w:hAnsi="Cambria"/>
      <w:i/>
      <w:iCs/>
      <w:color w:val="4F81BD"/>
      <w:spacing w:val="15"/>
      <w:sz w:val="24"/>
      <w:szCs w:val="24"/>
    </w:rPr>
  </w:style>
  <w:style w:type="paragraph" w:styleId="ab">
    <w:name w:val="footnote text"/>
    <w:basedOn w:val="a"/>
    <w:link w:val="Char5"/>
    <w:unhideWhenUsed/>
    <w:qFormat/>
    <w:pPr>
      <w:widowControl w:val="0"/>
      <w:snapToGrid w:val="0"/>
      <w:spacing w:after="0" w:line="240" w:lineRule="auto"/>
    </w:pPr>
    <w:rPr>
      <w:rFonts w:cs="Times New Roman"/>
      <w:kern w:val="2"/>
      <w:sz w:val="18"/>
      <w:szCs w:val="18"/>
    </w:rPr>
  </w:style>
  <w:style w:type="paragraph" w:styleId="20">
    <w:name w:val="toc 2"/>
    <w:basedOn w:val="a"/>
    <w:next w:val="a"/>
    <w:link w:val="2Char0"/>
    <w:uiPriority w:val="39"/>
    <w:unhideWhenUsed/>
    <w:qFormat/>
    <w:pPr>
      <w:ind w:leftChars="200" w:left="420"/>
    </w:pPr>
  </w:style>
  <w:style w:type="paragraph" w:styleId="ac">
    <w:name w:val="Normal (Web)"/>
    <w:basedOn w:val="a"/>
    <w:uiPriority w:val="99"/>
    <w:qFormat/>
    <w:pPr>
      <w:spacing w:before="100" w:beforeAutospacing="1" w:after="100" w:afterAutospacing="1"/>
    </w:pPr>
    <w:rPr>
      <w:sz w:val="24"/>
    </w:rPr>
  </w:style>
  <w:style w:type="paragraph" w:styleId="ad">
    <w:name w:val="Title"/>
    <w:basedOn w:val="a"/>
    <w:next w:val="a"/>
    <w:link w:val="Char6"/>
    <w:uiPriority w:val="10"/>
    <w:qFormat/>
    <w:pPr>
      <w:pBdr>
        <w:bottom w:val="single" w:sz="8" w:space="4" w:color="4F81BD"/>
      </w:pBdr>
      <w:spacing w:after="300" w:line="240" w:lineRule="auto"/>
      <w:contextualSpacing/>
    </w:pPr>
    <w:rPr>
      <w:rFonts w:ascii="Cambria" w:hAnsi="Cambria"/>
      <w:color w:val="16365C"/>
      <w:spacing w:val="5"/>
      <w:kern w:val="28"/>
      <w:sz w:val="52"/>
      <w:szCs w:val="52"/>
    </w:rPr>
  </w:style>
  <w:style w:type="paragraph" w:styleId="ae">
    <w:name w:val="annotation subject"/>
    <w:basedOn w:val="a5"/>
    <w:next w:val="a5"/>
    <w:link w:val="Char7"/>
    <w:uiPriority w:val="99"/>
    <w:unhideWhenUsed/>
    <w:qFormat/>
    <w:rPr>
      <w:b/>
      <w:bCs/>
    </w:rPr>
  </w:style>
  <w:style w:type="table" w:styleId="af">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basedOn w:val="a0"/>
    <w:uiPriority w:val="99"/>
    <w:unhideWhenUsed/>
    <w:qFormat/>
    <w:rPr>
      <w:sz w:val="21"/>
      <w:szCs w:val="21"/>
    </w:rPr>
  </w:style>
  <w:style w:type="character" w:styleId="af4">
    <w:name w:val="footnote reference"/>
    <w:basedOn w:val="a0"/>
    <w:unhideWhenUsed/>
    <w:qFormat/>
    <w:rPr>
      <w:vertAlign w:val="superscript"/>
    </w:rPr>
  </w:style>
  <w:style w:type="paragraph" w:customStyle="1" w:styleId="11">
    <w:name w:val="列出段落1"/>
    <w:basedOn w:val="a"/>
    <w:uiPriority w:val="34"/>
    <w:qFormat/>
    <w:pPr>
      <w:ind w:left="720"/>
      <w:contextualSpacing/>
    </w:pPr>
  </w:style>
  <w:style w:type="paragraph" w:customStyle="1" w:styleId="12">
    <w:name w:val="无间隔1"/>
    <w:uiPriority w:val="1"/>
    <w:qFormat/>
    <w:rPr>
      <w:rFonts w:ascii="Calibri" w:hAnsi="Calibri" w:cs="黑体"/>
      <w:sz w:val="22"/>
      <w:szCs w:val="22"/>
    </w:rPr>
  </w:style>
  <w:style w:type="paragraph" w:customStyle="1" w:styleId="13">
    <w:name w:val="引用1"/>
    <w:basedOn w:val="a"/>
    <w:next w:val="a"/>
    <w:link w:val="Char8"/>
    <w:uiPriority w:val="29"/>
    <w:qFormat/>
    <w:rPr>
      <w:i/>
      <w:iCs/>
      <w:color w:val="000000"/>
    </w:rPr>
  </w:style>
  <w:style w:type="paragraph" w:customStyle="1" w:styleId="14">
    <w:name w:val="明显引用1"/>
    <w:basedOn w:val="a"/>
    <w:next w:val="a"/>
    <w:link w:val="Char9"/>
    <w:uiPriority w:val="30"/>
    <w:qFormat/>
    <w:pPr>
      <w:pBdr>
        <w:bottom w:val="single" w:sz="4" w:space="4" w:color="4F81BD"/>
      </w:pBdr>
      <w:spacing w:before="200" w:after="280"/>
      <w:ind w:left="936" w:right="936"/>
    </w:pPr>
    <w:rPr>
      <w:b/>
      <w:bCs/>
      <w:i/>
      <w:iCs/>
      <w:color w:val="4F81BD"/>
    </w:rPr>
  </w:style>
  <w:style w:type="paragraph" w:customStyle="1" w:styleId="TOC1">
    <w:name w:val="TOC 标题1"/>
    <w:basedOn w:val="1"/>
    <w:next w:val="a"/>
    <w:uiPriority w:val="39"/>
    <w:unhideWhenUsed/>
    <w:qFormat/>
    <w:pPr>
      <w:outlineLvl w:val="9"/>
    </w:pPr>
  </w:style>
  <w:style w:type="paragraph" w:customStyle="1" w:styleId="15">
    <w:name w:val="修订1"/>
    <w:hidden/>
    <w:uiPriority w:val="99"/>
    <w:semiHidden/>
    <w:qFormat/>
    <w:rPr>
      <w:rFonts w:ascii="Calibri" w:hAnsi="Calibri" w:cs="黑体"/>
      <w:sz w:val="22"/>
      <w:szCs w:val="22"/>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af5">
    <w:name w:val="目录"/>
    <w:basedOn w:val="20"/>
    <w:link w:val="Chara"/>
    <w:qFormat/>
    <w:pPr>
      <w:tabs>
        <w:tab w:val="right" w:leader="dot" w:pos="8296"/>
      </w:tabs>
      <w:snapToGrid w:val="0"/>
      <w:spacing w:after="0" w:line="480" w:lineRule="auto"/>
      <w:ind w:left="440"/>
    </w:pPr>
    <w:rPr>
      <w:rFonts w:ascii="Times New Roman" w:eastAsia="黑体" w:hAnsi="Times New Roman"/>
      <w:sz w:val="28"/>
      <w:szCs w:val="28"/>
    </w:rPr>
  </w:style>
  <w:style w:type="paragraph" w:customStyle="1" w:styleId="TableParagraph">
    <w:name w:val="Table Paragraph"/>
    <w:basedOn w:val="a"/>
    <w:uiPriority w:val="1"/>
    <w:qFormat/>
    <w:pPr>
      <w:widowControl w:val="0"/>
      <w:spacing w:after="0" w:line="240" w:lineRule="auto"/>
    </w:pPr>
    <w:rPr>
      <w:lang w:eastAsia="en-US"/>
    </w:rPr>
  </w:style>
  <w:style w:type="character" w:customStyle="1" w:styleId="1Char">
    <w:name w:val="标题 1 Char"/>
    <w:basedOn w:val="a0"/>
    <w:link w:val="1"/>
    <w:uiPriority w:val="9"/>
    <w:qFormat/>
    <w:rPr>
      <w:rFonts w:ascii="Cambria" w:eastAsia="宋体" w:hAnsi="Cambria" w:cs="黑体"/>
      <w:b/>
      <w:bCs/>
      <w:color w:val="365F90"/>
      <w:sz w:val="28"/>
      <w:szCs w:val="28"/>
    </w:rPr>
  </w:style>
  <w:style w:type="character" w:customStyle="1" w:styleId="2Char">
    <w:name w:val="标题 2 Char"/>
    <w:basedOn w:val="a0"/>
    <w:link w:val="2"/>
    <w:uiPriority w:val="9"/>
    <w:qFormat/>
    <w:rPr>
      <w:rFonts w:ascii="Cambria" w:eastAsia="宋体" w:hAnsi="Cambria" w:cs="黑体"/>
      <w:b/>
      <w:bCs/>
      <w:color w:val="4F81BD"/>
      <w:sz w:val="26"/>
      <w:szCs w:val="26"/>
    </w:rPr>
  </w:style>
  <w:style w:type="character" w:customStyle="1" w:styleId="3Char">
    <w:name w:val="标题 3 Char"/>
    <w:basedOn w:val="a0"/>
    <w:link w:val="3"/>
    <w:uiPriority w:val="9"/>
    <w:qFormat/>
    <w:rPr>
      <w:rFonts w:ascii="Cambria" w:eastAsia="宋体" w:hAnsi="Cambria" w:cs="黑体"/>
      <w:b/>
      <w:bCs/>
      <w:color w:val="4F81BD"/>
    </w:rPr>
  </w:style>
  <w:style w:type="character" w:customStyle="1" w:styleId="4Char">
    <w:name w:val="标题 4 Char"/>
    <w:basedOn w:val="a0"/>
    <w:link w:val="4"/>
    <w:uiPriority w:val="9"/>
    <w:qFormat/>
    <w:rPr>
      <w:rFonts w:ascii="Cambria" w:eastAsia="宋体" w:hAnsi="Cambria" w:cs="黑体"/>
      <w:b/>
      <w:bCs/>
      <w:i/>
      <w:iCs/>
      <w:color w:val="4F81BD"/>
    </w:rPr>
  </w:style>
  <w:style w:type="character" w:customStyle="1" w:styleId="5Char">
    <w:name w:val="标题 5 Char"/>
    <w:basedOn w:val="a0"/>
    <w:link w:val="5"/>
    <w:uiPriority w:val="9"/>
    <w:qFormat/>
    <w:rPr>
      <w:rFonts w:ascii="Cambria" w:eastAsia="宋体" w:hAnsi="Cambria" w:cs="黑体"/>
      <w:color w:val="244061"/>
    </w:rPr>
  </w:style>
  <w:style w:type="character" w:customStyle="1" w:styleId="Char0">
    <w:name w:val="纯文本 Char"/>
    <w:basedOn w:val="a0"/>
    <w:link w:val="a6"/>
    <w:qFormat/>
    <w:rPr>
      <w:rFonts w:ascii="宋体" w:hAnsi="Courier New"/>
      <w:kern w:val="2"/>
      <w:sz w:val="21"/>
      <w:szCs w:val="24"/>
    </w:rPr>
  </w:style>
  <w:style w:type="character" w:customStyle="1" w:styleId="6Char">
    <w:name w:val="标题 6 Char"/>
    <w:basedOn w:val="a0"/>
    <w:link w:val="6"/>
    <w:uiPriority w:val="9"/>
    <w:semiHidden/>
    <w:qFormat/>
    <w:rPr>
      <w:rFonts w:ascii="Cambria" w:eastAsia="宋体" w:hAnsi="Cambria" w:cs="黑体"/>
      <w:i/>
      <w:iCs/>
      <w:color w:val="244061"/>
    </w:rPr>
  </w:style>
  <w:style w:type="character" w:customStyle="1" w:styleId="7Char">
    <w:name w:val="标题 7 Char"/>
    <w:basedOn w:val="a0"/>
    <w:link w:val="7"/>
    <w:uiPriority w:val="9"/>
    <w:semiHidden/>
    <w:qFormat/>
    <w:rPr>
      <w:rFonts w:ascii="Cambria" w:eastAsia="宋体" w:hAnsi="Cambria" w:cs="黑体"/>
      <w:i/>
      <w:iCs/>
      <w:color w:val="3F3F3F"/>
    </w:rPr>
  </w:style>
  <w:style w:type="character" w:customStyle="1" w:styleId="8Char">
    <w:name w:val="标题 8 Char"/>
    <w:basedOn w:val="a0"/>
    <w:link w:val="8"/>
    <w:uiPriority w:val="9"/>
    <w:semiHidden/>
    <w:qFormat/>
    <w:rPr>
      <w:rFonts w:ascii="Cambria" w:eastAsia="宋体" w:hAnsi="Cambria" w:cs="黑体"/>
      <w:color w:val="4F81BD"/>
      <w:sz w:val="20"/>
      <w:szCs w:val="20"/>
    </w:rPr>
  </w:style>
  <w:style w:type="character" w:customStyle="1" w:styleId="9Char">
    <w:name w:val="标题 9 Char"/>
    <w:basedOn w:val="a0"/>
    <w:link w:val="9"/>
    <w:uiPriority w:val="9"/>
    <w:semiHidden/>
    <w:qFormat/>
    <w:rPr>
      <w:rFonts w:ascii="Cambria" w:eastAsia="宋体" w:hAnsi="Cambria" w:cs="黑体"/>
      <w:i/>
      <w:iCs/>
      <w:color w:val="3F3F3F"/>
      <w:sz w:val="20"/>
      <w:szCs w:val="20"/>
    </w:rPr>
  </w:style>
  <w:style w:type="character" w:customStyle="1" w:styleId="Char6">
    <w:name w:val="标题 Char"/>
    <w:basedOn w:val="a0"/>
    <w:link w:val="ad"/>
    <w:uiPriority w:val="10"/>
    <w:qFormat/>
    <w:rPr>
      <w:rFonts w:ascii="Cambria" w:eastAsia="宋体" w:hAnsi="Cambria" w:cs="黑体"/>
      <w:color w:val="16365C"/>
      <w:spacing w:val="5"/>
      <w:kern w:val="28"/>
      <w:sz w:val="52"/>
      <w:szCs w:val="52"/>
    </w:rPr>
  </w:style>
  <w:style w:type="character" w:customStyle="1" w:styleId="Char4">
    <w:name w:val="副标题 Char"/>
    <w:basedOn w:val="a0"/>
    <w:link w:val="aa"/>
    <w:uiPriority w:val="11"/>
    <w:qFormat/>
    <w:rPr>
      <w:rFonts w:ascii="Cambria" w:eastAsia="宋体" w:hAnsi="Cambria" w:cs="黑体"/>
      <w:i/>
      <w:iCs/>
      <w:color w:val="4F81BD"/>
      <w:spacing w:val="15"/>
      <w:sz w:val="24"/>
      <w:szCs w:val="24"/>
    </w:rPr>
  </w:style>
  <w:style w:type="character" w:customStyle="1" w:styleId="Char8">
    <w:name w:val="引用 Char"/>
    <w:basedOn w:val="a0"/>
    <w:link w:val="13"/>
    <w:uiPriority w:val="29"/>
    <w:qFormat/>
    <w:rPr>
      <w:i/>
      <w:iCs/>
      <w:color w:val="000000"/>
    </w:rPr>
  </w:style>
  <w:style w:type="character" w:customStyle="1" w:styleId="Char9">
    <w:name w:val="明显引用 Char"/>
    <w:basedOn w:val="a0"/>
    <w:link w:val="14"/>
    <w:uiPriority w:val="30"/>
    <w:qFormat/>
    <w:rPr>
      <w:b/>
      <w:bCs/>
      <w:i/>
      <w:iCs/>
      <w:color w:val="4F81BD"/>
    </w:rPr>
  </w:style>
  <w:style w:type="character" w:customStyle="1" w:styleId="16">
    <w:name w:val="不明显强调1"/>
    <w:basedOn w:val="a0"/>
    <w:uiPriority w:val="19"/>
    <w:qFormat/>
    <w:rPr>
      <w:i/>
      <w:iCs/>
      <w:color w:val="7C7C7C"/>
    </w:rPr>
  </w:style>
  <w:style w:type="character" w:customStyle="1" w:styleId="17">
    <w:name w:val="明显强调1"/>
    <w:basedOn w:val="a0"/>
    <w:uiPriority w:val="21"/>
    <w:qFormat/>
    <w:rPr>
      <w:b/>
      <w:bCs/>
      <w:i/>
      <w:iCs/>
      <w:color w:val="4F81BD"/>
    </w:rPr>
  </w:style>
  <w:style w:type="character" w:customStyle="1" w:styleId="18">
    <w:name w:val="不明显参考1"/>
    <w:basedOn w:val="a0"/>
    <w:uiPriority w:val="31"/>
    <w:qFormat/>
    <w:rPr>
      <w:smallCaps/>
      <w:color w:val="C0504D"/>
      <w:u w:val="single"/>
    </w:rPr>
  </w:style>
  <w:style w:type="character" w:customStyle="1" w:styleId="19">
    <w:name w:val="明显参考1"/>
    <w:basedOn w:val="a0"/>
    <w:uiPriority w:val="32"/>
    <w:qFormat/>
    <w:rPr>
      <w:b/>
      <w:bCs/>
      <w:smallCaps/>
      <w:color w:val="C0504D"/>
      <w:spacing w:val="5"/>
      <w:u w:val="single"/>
    </w:rPr>
  </w:style>
  <w:style w:type="character" w:customStyle="1" w:styleId="1a">
    <w:name w:val="书籍标题1"/>
    <w:basedOn w:val="a0"/>
    <w:uiPriority w:val="33"/>
    <w:qFormat/>
    <w:rPr>
      <w:b/>
      <w:bCs/>
      <w:smallCaps/>
      <w:spacing w:val="5"/>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character" w:customStyle="1" w:styleId="Char1">
    <w:name w:val="批注框文本 Char"/>
    <w:basedOn w:val="a0"/>
    <w:link w:val="a7"/>
    <w:uiPriority w:val="99"/>
    <w:semiHidden/>
    <w:qFormat/>
    <w:rPr>
      <w:sz w:val="18"/>
      <w:szCs w:val="18"/>
    </w:rPr>
  </w:style>
  <w:style w:type="character" w:customStyle="1" w:styleId="Char">
    <w:name w:val="批注文字 Char"/>
    <w:basedOn w:val="a0"/>
    <w:link w:val="a5"/>
    <w:uiPriority w:val="99"/>
    <w:qFormat/>
  </w:style>
  <w:style w:type="character" w:customStyle="1" w:styleId="Char7">
    <w:name w:val="批注主题 Char"/>
    <w:basedOn w:val="Char"/>
    <w:link w:val="ae"/>
    <w:uiPriority w:val="99"/>
    <w:semiHidden/>
    <w:qFormat/>
    <w:rPr>
      <w:b/>
      <w:bCs/>
    </w:rPr>
  </w:style>
  <w:style w:type="character" w:customStyle="1" w:styleId="fontstyle01">
    <w:name w:val="fontstyle01"/>
    <w:basedOn w:val="a0"/>
    <w:qFormat/>
    <w:rPr>
      <w:rFonts w:ascii="仿宋" w:eastAsia="仿宋" w:hAnsi="仿宋" w:cs="仿宋"/>
      <w:color w:val="000000"/>
      <w:sz w:val="30"/>
      <w:szCs w:val="30"/>
    </w:rPr>
  </w:style>
  <w:style w:type="character" w:customStyle="1" w:styleId="Char5">
    <w:name w:val="脚注文本 Char"/>
    <w:basedOn w:val="a0"/>
    <w:link w:val="ab"/>
    <w:qFormat/>
    <w:rPr>
      <w:rFonts w:ascii="Calibri" w:eastAsia="宋体" w:hAnsi="Calibri" w:cs="Times New Roman"/>
      <w:kern w:val="2"/>
      <w:sz w:val="18"/>
      <w:szCs w:val="18"/>
    </w:rPr>
  </w:style>
  <w:style w:type="character" w:customStyle="1" w:styleId="font01">
    <w:name w:val="font01"/>
    <w:basedOn w:val="a0"/>
    <w:qFormat/>
    <w:rPr>
      <w:rFonts w:ascii="楷体" w:eastAsia="楷体" w:hAnsi="楷体" w:cs="楷体"/>
      <w:color w:val="000000"/>
      <w:sz w:val="24"/>
      <w:szCs w:val="24"/>
      <w:u w:val="none"/>
    </w:rPr>
  </w:style>
  <w:style w:type="character" w:customStyle="1" w:styleId="font11">
    <w:name w:val="font11"/>
    <w:basedOn w:val="a0"/>
    <w:qFormat/>
    <w:rPr>
      <w:rFonts w:ascii="楷体" w:eastAsia="楷体" w:hAnsi="楷体" w:cs="楷体" w:hint="eastAsia"/>
      <w:color w:val="000000"/>
      <w:sz w:val="24"/>
      <w:szCs w:val="24"/>
      <w:u w:val="none"/>
    </w:rPr>
  </w:style>
  <w:style w:type="character" w:customStyle="1" w:styleId="2Char0">
    <w:name w:val="目录 2 Char"/>
    <w:basedOn w:val="a0"/>
    <w:link w:val="20"/>
    <w:uiPriority w:val="39"/>
    <w:qFormat/>
    <w:rPr>
      <w:sz w:val="22"/>
      <w:szCs w:val="22"/>
    </w:rPr>
  </w:style>
  <w:style w:type="character" w:customStyle="1" w:styleId="Chara">
    <w:name w:val="目录 Char"/>
    <w:basedOn w:val="2Char0"/>
    <w:link w:val="af5"/>
    <w:qFormat/>
    <w:rPr>
      <w:rFonts w:ascii="Times New Roman" w:eastAsia="黑体" w:hAnsi="Times New Roman"/>
      <w:sz w:val="28"/>
      <w:szCs w:val="28"/>
    </w:rPr>
  </w:style>
  <w:style w:type="paragraph" w:styleId="af6">
    <w:name w:val="List Paragraph"/>
    <w:basedOn w:val="a"/>
    <w:uiPriority w:val="34"/>
    <w:qFormat/>
    <w:pPr>
      <w:widowControl w:val="0"/>
      <w:spacing w:after="0" w:line="240" w:lineRule="auto"/>
      <w:ind w:firstLineChars="200" w:firstLine="420"/>
      <w:jc w:val="both"/>
    </w:pPr>
    <w:rPr>
      <w:kern w:val="2"/>
      <w:sz w:val="21"/>
    </w:rPr>
  </w:style>
  <w:style w:type="paragraph" w:customStyle="1" w:styleId="TOC2">
    <w:name w:val="TOC 标题2"/>
    <w:basedOn w:val="1"/>
    <w:next w:val="a"/>
    <w:uiPriority w:val="39"/>
    <w:semiHidden/>
    <w:unhideWhenUsed/>
    <w:qFormat/>
    <w:pPr>
      <w:outlineLvl w:val="9"/>
    </w:pPr>
    <w:rPr>
      <w:rFonts w:asciiTheme="majorHAnsi" w:eastAsiaTheme="majorEastAsia" w:hAnsiTheme="majorHAnsi" w:cstheme="majorBidi"/>
      <w:color w:val="365F91" w:themeColor="accent1" w:themeShade="BF"/>
    </w:rPr>
  </w:style>
  <w:style w:type="paragraph" w:styleId="af7">
    <w:name w:val="Revision"/>
    <w:hidden/>
    <w:uiPriority w:val="99"/>
    <w:unhideWhenUsed/>
    <w:rsid w:val="003437E4"/>
    <w:rPr>
      <w:rFonts w:ascii="Calibri" w:hAnsi="Calibri" w:cs="黑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H:\&#24352;&#20113;&#23071;2021&#12289;2022\&#35838;&#39064;\17&#28023;&#21475;&#24066;&#21313;&#22235;&#20116;&#35268;&#21010;\&#26032;&#24314;%20Microsoft%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24352;&#20113;&#23071;2021&#12289;2022\&#35838;&#39064;\17&#28023;&#21475;&#24066;&#21313;&#22235;&#20116;&#35268;&#21010;\&#22522;&#30784;&#25968;&#25454;\&#28023;&#21475;&#24066;&#32511;&#33394;&#24314;&#31569;&#21450;&#26631;&#35782;&#39033;&#30446;&#32479;&#357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4240507436570429"/>
          <c:y val="0.20603018372703413"/>
          <c:w val="0.61024912510936136"/>
          <c:h val="0.67430956547098275"/>
        </c:manualLayout>
      </c:layout>
      <c:barChart>
        <c:barDir val="col"/>
        <c:grouping val="clustered"/>
        <c:varyColors val="0"/>
        <c:ser>
          <c:idx val="0"/>
          <c:order val="0"/>
          <c:tx>
            <c:strRef>
              <c:f>Sheet1!$B$1:$B$2</c:f>
              <c:strCache>
                <c:ptCount val="1"/>
                <c:pt idx="0">
                  <c:v>城镇新建建筑面积(m2)</c:v>
                </c:pt>
              </c:strCache>
            </c:strRef>
          </c:tx>
          <c:invertIfNegative val="0"/>
          <c:dLbls>
            <c:showLegendKey val="0"/>
            <c:showVal val="1"/>
            <c:showCatName val="0"/>
            <c:showSerName val="0"/>
            <c:showPercent val="0"/>
            <c:showBubbleSize val="0"/>
            <c:showLeaderLines val="0"/>
          </c:dLbls>
          <c:cat>
            <c:strRef>
              <c:f>Sheet1!$A$3:$A$8</c:f>
              <c:strCache>
                <c:ptCount val="6"/>
                <c:pt idx="0">
                  <c:v>2016年</c:v>
                </c:pt>
                <c:pt idx="1">
                  <c:v>2017年</c:v>
                </c:pt>
                <c:pt idx="2">
                  <c:v>2018年</c:v>
                </c:pt>
                <c:pt idx="3">
                  <c:v>2019年</c:v>
                </c:pt>
                <c:pt idx="4">
                  <c:v>2020年</c:v>
                </c:pt>
                <c:pt idx="5">
                  <c:v>2021年</c:v>
                </c:pt>
              </c:strCache>
            </c:strRef>
          </c:cat>
          <c:val>
            <c:numRef>
              <c:f>Sheet1!$B$3:$B$8</c:f>
              <c:numCache>
                <c:formatCode>General</c:formatCode>
                <c:ptCount val="6"/>
                <c:pt idx="0">
                  <c:v>1801718.48</c:v>
                </c:pt>
                <c:pt idx="1">
                  <c:v>5195625.95</c:v>
                </c:pt>
                <c:pt idx="2">
                  <c:v>8383349.8799999999</c:v>
                </c:pt>
                <c:pt idx="3">
                  <c:v>13423118.251700001</c:v>
                </c:pt>
                <c:pt idx="4">
                  <c:v>11370821.5252</c:v>
                </c:pt>
                <c:pt idx="5">
                  <c:v>7886761.46</c:v>
                </c:pt>
              </c:numCache>
            </c:numRef>
          </c:val>
        </c:ser>
        <c:dLbls>
          <c:showLegendKey val="0"/>
          <c:showVal val="0"/>
          <c:showCatName val="0"/>
          <c:showSerName val="0"/>
          <c:showPercent val="0"/>
          <c:showBubbleSize val="0"/>
        </c:dLbls>
        <c:gapWidth val="150"/>
        <c:axId val="142165888"/>
        <c:axId val="149552512"/>
      </c:barChart>
      <c:catAx>
        <c:axId val="142165888"/>
        <c:scaling>
          <c:orientation val="minMax"/>
        </c:scaling>
        <c:delete val="0"/>
        <c:axPos val="b"/>
        <c:majorTickMark val="out"/>
        <c:minorTickMark val="none"/>
        <c:tickLblPos val="nextTo"/>
        <c:crossAx val="149552512"/>
        <c:crosses val="autoZero"/>
        <c:auto val="1"/>
        <c:lblAlgn val="ctr"/>
        <c:lblOffset val="100"/>
        <c:noMultiLvlLbl val="0"/>
      </c:catAx>
      <c:valAx>
        <c:axId val="149552512"/>
        <c:scaling>
          <c:orientation val="minMax"/>
        </c:scaling>
        <c:delete val="0"/>
        <c:axPos val="l"/>
        <c:majorGridlines/>
        <c:numFmt formatCode="General" sourceLinked="1"/>
        <c:majorTickMark val="out"/>
        <c:minorTickMark val="none"/>
        <c:tickLblPos val="nextTo"/>
        <c:crossAx val="142165888"/>
        <c:crosses val="autoZero"/>
        <c:crossBetween val="between"/>
      </c:valAx>
    </c:plotArea>
    <c:legend>
      <c:legendPos val="r"/>
      <c:layout>
        <c:manualLayout>
          <c:xMode val="edge"/>
          <c:yMode val="edge"/>
          <c:x val="0.79709864391950991"/>
          <c:y val="0.50517169728783906"/>
          <c:w val="0.18623468941382326"/>
          <c:h val="0.1396566054243219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88514995817"/>
          <c:y val="4.68114315292582E-2"/>
          <c:w val="0.58703444388192905"/>
          <c:h val="0.86084625273930804"/>
        </c:manualLayout>
      </c:layout>
      <c:barChart>
        <c:barDir val="col"/>
        <c:grouping val="clustered"/>
        <c:varyColors val="0"/>
        <c:ser>
          <c:idx val="0"/>
          <c:order val="0"/>
          <c:tx>
            <c:strRef>
              <c:f>能耗!$D$1</c:f>
              <c:strCache>
                <c:ptCount val="1"/>
                <c:pt idx="0">
                  <c:v>全社会能耗（吨标准煤）</c:v>
                </c:pt>
              </c:strCache>
            </c:strRef>
          </c:tx>
          <c:invertIfNegative val="0"/>
          <c:dLbls>
            <c:dLbl>
              <c:idx val="0"/>
              <c:layout>
                <c:manualLayout>
                  <c:x val="2.7359781121751001E-2"/>
                  <c:y val="3.215434083601290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2799159288115298E-3"/>
                  <c:y val="2.49538492884003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4092970790403098E-3"/>
                  <c:y val="-2.4880523112298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能耗!$A$2:$A$7</c:f>
              <c:strCache>
                <c:ptCount val="6"/>
                <c:pt idx="0">
                  <c:v>2016年</c:v>
                </c:pt>
                <c:pt idx="1">
                  <c:v>2017年</c:v>
                </c:pt>
                <c:pt idx="2">
                  <c:v>2018年</c:v>
                </c:pt>
                <c:pt idx="3">
                  <c:v>2019年</c:v>
                </c:pt>
                <c:pt idx="4">
                  <c:v>2020年</c:v>
                </c:pt>
                <c:pt idx="5">
                  <c:v>2021年</c:v>
                </c:pt>
              </c:strCache>
            </c:strRef>
          </c:cat>
          <c:val>
            <c:numRef>
              <c:f>能耗!$D$2:$D$7</c:f>
              <c:numCache>
                <c:formatCode>General</c:formatCode>
                <c:ptCount val="6"/>
                <c:pt idx="0">
                  <c:v>4665252.6560000004</c:v>
                </c:pt>
                <c:pt idx="1">
                  <c:v>4988299.68</c:v>
                </c:pt>
                <c:pt idx="2">
                  <c:v>5266942.6739999996</c:v>
                </c:pt>
                <c:pt idx="3">
                  <c:v>5657796.6179999998</c:v>
                </c:pt>
                <c:pt idx="4">
                  <c:v>5733060.7999999998</c:v>
                </c:pt>
                <c:pt idx="5">
                  <c:v>5444831.1699999999</c:v>
                </c:pt>
              </c:numCache>
            </c:numRef>
          </c:val>
        </c:ser>
        <c:ser>
          <c:idx val="1"/>
          <c:order val="1"/>
          <c:tx>
            <c:strRef>
              <c:f>能耗!$E$1</c:f>
              <c:strCache>
                <c:ptCount val="1"/>
                <c:pt idx="0">
                  <c:v>建筑业能耗（吨标准煤）</c:v>
                </c:pt>
              </c:strCache>
            </c:strRef>
          </c:tx>
          <c:invertIfNegative val="0"/>
          <c:dLbls>
            <c:dLbl>
              <c:idx val="0"/>
              <c:layout>
                <c:manualLayout>
                  <c:x val="-1.9274376632322499E-2"/>
                  <c:y val="-1.421744177845640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683673711362799E-2"/>
                  <c:y val="7.108720889228220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6371883161611993E-3"/>
                  <c:y val="-2.132616266768460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6371883161612392E-3"/>
                  <c:y val="1.421744177845640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4092970790403098E-3"/>
                  <c:y val="-1.7771802223070499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能耗!$A$2:$A$7</c:f>
              <c:strCache>
                <c:ptCount val="6"/>
                <c:pt idx="0">
                  <c:v>2016年</c:v>
                </c:pt>
                <c:pt idx="1">
                  <c:v>2017年</c:v>
                </c:pt>
                <c:pt idx="2">
                  <c:v>2018年</c:v>
                </c:pt>
                <c:pt idx="3">
                  <c:v>2019年</c:v>
                </c:pt>
                <c:pt idx="4">
                  <c:v>2020年</c:v>
                </c:pt>
                <c:pt idx="5">
                  <c:v>2021年</c:v>
                </c:pt>
              </c:strCache>
            </c:strRef>
          </c:cat>
          <c:val>
            <c:numRef>
              <c:f>能耗!$E$2:$E$7</c:f>
              <c:numCache>
                <c:formatCode>General</c:formatCode>
                <c:ptCount val="6"/>
                <c:pt idx="0">
                  <c:v>124215.02</c:v>
                </c:pt>
                <c:pt idx="1">
                  <c:v>148423.75</c:v>
                </c:pt>
                <c:pt idx="2">
                  <c:v>112512.94</c:v>
                </c:pt>
                <c:pt idx="3">
                  <c:v>129135.55</c:v>
                </c:pt>
                <c:pt idx="4">
                  <c:v>138949.29</c:v>
                </c:pt>
                <c:pt idx="5">
                  <c:v>153885.73000000001</c:v>
                </c:pt>
              </c:numCache>
            </c:numRef>
          </c:val>
        </c:ser>
        <c:dLbls>
          <c:showLegendKey val="0"/>
          <c:showVal val="0"/>
          <c:showCatName val="0"/>
          <c:showSerName val="0"/>
          <c:showPercent val="0"/>
          <c:showBubbleSize val="0"/>
        </c:dLbls>
        <c:gapWidth val="150"/>
        <c:axId val="170171776"/>
        <c:axId val="170473344"/>
      </c:barChart>
      <c:lineChart>
        <c:grouping val="standard"/>
        <c:varyColors val="0"/>
        <c:ser>
          <c:idx val="2"/>
          <c:order val="2"/>
          <c:tx>
            <c:strRef>
              <c:f>能耗!$F$1</c:f>
              <c:strCache>
                <c:ptCount val="1"/>
                <c:pt idx="0">
                  <c:v>建筑业能耗占全社会能耗的比例</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能耗!$A$2:$A$7</c:f>
              <c:strCache>
                <c:ptCount val="6"/>
                <c:pt idx="0">
                  <c:v>2016年</c:v>
                </c:pt>
                <c:pt idx="1">
                  <c:v>2017年</c:v>
                </c:pt>
                <c:pt idx="2">
                  <c:v>2018年</c:v>
                </c:pt>
                <c:pt idx="3">
                  <c:v>2019年</c:v>
                </c:pt>
                <c:pt idx="4">
                  <c:v>2020年</c:v>
                </c:pt>
                <c:pt idx="5">
                  <c:v>2021年</c:v>
                </c:pt>
              </c:strCache>
            </c:strRef>
          </c:cat>
          <c:val>
            <c:numRef>
              <c:f>能耗!$F$2:$F$7</c:f>
              <c:numCache>
                <c:formatCode>0.00%</c:formatCode>
                <c:ptCount val="6"/>
                <c:pt idx="0">
                  <c:v>2.6625571894856901E-2</c:v>
                </c:pt>
                <c:pt idx="1">
                  <c:v>2.97543771468037E-2</c:v>
                </c:pt>
                <c:pt idx="2">
                  <c:v>2.1362096943909101E-2</c:v>
                </c:pt>
                <c:pt idx="3">
                  <c:v>2.2824353492870601E-2</c:v>
                </c:pt>
                <c:pt idx="4">
                  <c:v>2.4236493357963299E-2</c:v>
                </c:pt>
                <c:pt idx="5">
                  <c:v>2.8262718382873201E-2</c:v>
                </c:pt>
              </c:numCache>
            </c:numRef>
          </c:val>
          <c:smooth val="0"/>
        </c:ser>
        <c:dLbls>
          <c:showLegendKey val="0"/>
          <c:showVal val="0"/>
          <c:showCatName val="0"/>
          <c:showSerName val="0"/>
          <c:showPercent val="0"/>
          <c:showBubbleSize val="0"/>
        </c:dLbls>
        <c:marker val="1"/>
        <c:smooth val="0"/>
        <c:axId val="170474880"/>
        <c:axId val="181608448"/>
      </c:lineChart>
      <c:catAx>
        <c:axId val="1701717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70473344"/>
        <c:crosses val="autoZero"/>
        <c:auto val="1"/>
        <c:lblAlgn val="ctr"/>
        <c:lblOffset val="100"/>
        <c:noMultiLvlLbl val="0"/>
      </c:catAx>
      <c:valAx>
        <c:axId val="1704733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70171776"/>
        <c:crosses val="autoZero"/>
        <c:crossBetween val="between"/>
      </c:valAx>
      <c:catAx>
        <c:axId val="170474880"/>
        <c:scaling>
          <c:orientation val="minMax"/>
        </c:scaling>
        <c:delete val="1"/>
        <c:axPos val="b"/>
        <c:majorTickMark val="out"/>
        <c:minorTickMark val="none"/>
        <c:tickLblPos val="nextTo"/>
        <c:crossAx val="181608448"/>
        <c:crosses val="autoZero"/>
        <c:auto val="1"/>
        <c:lblAlgn val="ctr"/>
        <c:lblOffset val="100"/>
        <c:noMultiLvlLbl val="0"/>
      </c:catAx>
      <c:valAx>
        <c:axId val="181608448"/>
        <c:scaling>
          <c:orientation val="minMax"/>
        </c:scaling>
        <c:delete val="0"/>
        <c:axPos val="r"/>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70474880"/>
        <c:crosses val="max"/>
        <c:crossBetween val="between"/>
      </c:valAx>
    </c:plotArea>
    <c:legend>
      <c:legendPos val="r"/>
      <c:layout>
        <c:manualLayout>
          <c:xMode val="edge"/>
          <c:yMode val="edge"/>
          <c:x val="0.79662562699498396"/>
          <c:y val="0.33833962073068802"/>
          <c:w val="0.20337437300501601"/>
          <c:h val="0.3075007825856629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8B81E-DC17-48DD-B6C6-716B3570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13094</TotalTime>
  <Pages>40</Pages>
  <Words>3366</Words>
  <Characters>19192</Characters>
  <Application>Microsoft Office Word</Application>
  <DocSecurity>0</DocSecurity>
  <Lines>159</Lines>
  <Paragraphs>45</Paragraphs>
  <ScaleCrop>false</ScaleCrop>
  <Company>P R C</Company>
  <LinksUpToDate>false</LinksUpToDate>
  <CharactersWithSpaces>22513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海南省绿色建筑（装配式建筑）</dc:title>
  <dc:creator>zhangrui</dc:creator>
  <cp:lastModifiedBy>zyj</cp:lastModifiedBy>
  <cp:revision>1100</cp:revision>
  <cp:lastPrinted>2023-06-06T10:29:00Z</cp:lastPrinted>
  <dcterms:created xsi:type="dcterms:W3CDTF">2021-04-20T17:21:00Z</dcterms:created>
  <dcterms:modified xsi:type="dcterms:W3CDTF">2023-07-27T10:52:00Z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547AC0331C4F45A7A91E061F94C85D16</vt:lpwstr>
  </property>
</Properties>
</file>