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3660"/>
          <w:tab w:val="left" w:pos="5010"/>
          <w:tab w:val="left" w:pos="8460"/>
        </w:tabs>
        <w:ind w:right="99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 </w:t>
      </w:r>
    </w:p>
    <w:p>
      <w:pPr>
        <w:snapToGrid w:val="0"/>
        <w:ind w:firstLine="562"/>
        <w:jc w:val="center"/>
        <w:rPr>
          <w:b/>
          <w:sz w:val="28"/>
        </w:rPr>
      </w:pPr>
    </w:p>
    <w:p>
      <w:pPr>
        <w:pStyle w:val="2"/>
        <w:rPr>
          <w:b/>
          <w:sz w:val="28"/>
        </w:rPr>
      </w:pPr>
    </w:p>
    <w:p>
      <w:pPr>
        <w:pStyle w:val="2"/>
        <w:rPr>
          <w:b/>
          <w:sz w:val="28"/>
        </w:rPr>
      </w:pPr>
    </w:p>
    <w:p>
      <w:pPr>
        <w:snapToGrid w:val="0"/>
        <w:ind w:firstLine="562"/>
        <w:jc w:val="center"/>
        <w:rPr>
          <w:b/>
          <w:sz w:val="28"/>
        </w:rPr>
      </w:pPr>
    </w:p>
    <w:p>
      <w:pPr>
        <w:snapToGrid w:val="0"/>
        <w:spacing w:line="920" w:lineRule="exact"/>
        <w:jc w:val="center"/>
        <w:rPr>
          <w:rFonts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52"/>
          <w:szCs w:val="52"/>
        </w:rPr>
        <w:t xml:space="preserve"> 申</w:t>
      </w:r>
      <w:r>
        <w:rPr>
          <w:rFonts w:hint="eastAsia" w:ascii="黑体" w:eastAsia="黑体"/>
          <w:b/>
          <w:sz w:val="52"/>
          <w:szCs w:val="52"/>
          <w:lang w:val="en-US" w:eastAsia="zh-CN"/>
        </w:rPr>
        <w:t xml:space="preserve">  </w:t>
      </w:r>
      <w:r>
        <w:rPr>
          <w:rFonts w:hint="eastAsia" w:ascii="黑体" w:eastAsia="黑体"/>
          <w:b/>
          <w:sz w:val="52"/>
          <w:szCs w:val="52"/>
        </w:rPr>
        <w:t>报</w:t>
      </w:r>
      <w:r>
        <w:rPr>
          <w:rFonts w:hint="eastAsia" w:ascii="黑体" w:eastAsia="黑体"/>
          <w:b/>
          <w:sz w:val="52"/>
          <w:szCs w:val="52"/>
          <w:lang w:val="en-US" w:eastAsia="zh-CN"/>
        </w:rPr>
        <w:t xml:space="preserve">  </w:t>
      </w:r>
      <w:r>
        <w:rPr>
          <w:rFonts w:hint="eastAsia" w:ascii="黑体" w:eastAsia="黑体"/>
          <w:b/>
          <w:sz w:val="52"/>
          <w:szCs w:val="52"/>
        </w:rPr>
        <w:t>书</w:t>
      </w:r>
    </w:p>
    <w:p>
      <w:pPr>
        <w:snapToGrid w:val="0"/>
        <w:spacing w:line="920" w:lineRule="exact"/>
        <w:jc w:val="center"/>
        <w:rPr>
          <w:rFonts w:ascii="楷体" w:hAnsi="楷体" w:eastAsia="楷体" w:cs="楷体"/>
          <w:b/>
          <w:sz w:val="48"/>
          <w:szCs w:val="48"/>
        </w:rPr>
      </w:pPr>
    </w:p>
    <w:p>
      <w:pPr>
        <w:snapToGrid w:val="0"/>
        <w:ind w:firstLine="562"/>
        <w:jc w:val="center"/>
        <w:rPr>
          <w:b/>
          <w:sz w:val="28"/>
        </w:rPr>
      </w:pPr>
    </w:p>
    <w:p>
      <w:pPr>
        <w:snapToGrid w:val="0"/>
        <w:ind w:firstLine="562"/>
        <w:jc w:val="center"/>
        <w:rPr>
          <w:b/>
          <w:sz w:val="28"/>
        </w:rPr>
      </w:pPr>
    </w:p>
    <w:p>
      <w:pPr>
        <w:snapToGrid w:val="0"/>
        <w:ind w:firstLine="562"/>
        <w:jc w:val="center"/>
        <w:rPr>
          <w:b/>
          <w:sz w:val="28"/>
        </w:rPr>
      </w:pPr>
    </w:p>
    <w:p>
      <w:pPr>
        <w:pStyle w:val="2"/>
      </w:pPr>
    </w:p>
    <w:p>
      <w:pPr>
        <w:pStyle w:val="2"/>
      </w:pPr>
    </w:p>
    <w:p>
      <w:pPr>
        <w:snapToGrid w:val="0"/>
        <w:ind w:firstLine="562"/>
        <w:jc w:val="center"/>
        <w:rPr>
          <w:b/>
          <w:sz w:val="28"/>
        </w:rPr>
      </w:pPr>
    </w:p>
    <w:p>
      <w:pPr>
        <w:snapToGrid w:val="0"/>
        <w:ind w:firstLine="562"/>
        <w:jc w:val="center"/>
        <w:rPr>
          <w:b/>
          <w:color w:val="000000"/>
          <w:sz w:val="28"/>
        </w:rPr>
      </w:pPr>
    </w:p>
    <w:p>
      <w:pPr>
        <w:tabs>
          <w:tab w:val="left" w:pos="6580"/>
          <w:tab w:val="left" w:pos="6780"/>
        </w:tabs>
        <w:snapToGrid w:val="0"/>
        <w:spacing w:line="360" w:lineRule="auto"/>
        <w:ind w:firstLine="643" w:firstLineChars="200"/>
        <w:rPr>
          <w:rFonts w:hint="default" w:ascii="仿宋_GB2312" w:eastAsia="黑体"/>
          <w:b/>
          <w:color w:val="000000"/>
          <w:kern w:val="16"/>
          <w:sz w:val="32"/>
          <w:lang w:val="en" w:eastAsia="zh-CN"/>
        </w:rPr>
      </w:pPr>
      <w:r>
        <w:rPr>
          <w:rFonts w:hint="eastAsia" w:ascii="仿宋_GB2312" w:eastAsia="黑体"/>
          <w:b/>
          <w:color w:val="000000"/>
          <w:kern w:val="16"/>
          <w:sz w:val="32"/>
        </w:rPr>
        <w:t>申 报 类 型   □光伏建筑一体化（BIPV）</w:t>
      </w:r>
      <w:r>
        <w:rPr>
          <w:rFonts w:hint="eastAsia" w:ascii="仿宋_GB2312" w:eastAsia="黑体"/>
          <w:b/>
          <w:color w:val="000000"/>
          <w:kern w:val="16"/>
          <w:sz w:val="32"/>
          <w:lang w:eastAsia="zh-CN"/>
        </w:rPr>
        <w:t>试点项目</w:t>
      </w:r>
    </w:p>
    <w:p>
      <w:pPr>
        <w:tabs>
          <w:tab w:val="left" w:pos="6580"/>
          <w:tab w:val="left" w:pos="6780"/>
        </w:tabs>
        <w:snapToGrid w:val="0"/>
        <w:spacing w:line="360" w:lineRule="auto"/>
        <w:ind w:firstLine="2891" w:firstLineChars="900"/>
        <w:rPr>
          <w:rFonts w:hint="eastAsia" w:ascii="仿宋_GB2312" w:eastAsia="黑体"/>
          <w:b/>
          <w:color w:val="000000"/>
          <w:kern w:val="16"/>
          <w:sz w:val="32"/>
          <w:lang w:eastAsia="zh-CN"/>
        </w:rPr>
      </w:pPr>
      <w:r>
        <w:rPr>
          <w:rFonts w:hint="eastAsia" w:ascii="仿宋_GB2312" w:eastAsia="黑体"/>
          <w:b/>
          <w:color w:val="000000"/>
          <w:kern w:val="16"/>
          <w:sz w:val="32"/>
        </w:rPr>
        <w:t>□</w:t>
      </w:r>
      <w:r>
        <w:rPr>
          <w:rFonts w:hint="eastAsia" w:ascii="仿宋_GB2312" w:eastAsia="黑体"/>
          <w:b/>
          <w:color w:val="000000"/>
          <w:kern w:val="16"/>
          <w:sz w:val="32"/>
          <w:lang w:eastAsia="zh-CN"/>
        </w:rPr>
        <w:t>“光储直柔”建筑试点项目</w:t>
      </w:r>
    </w:p>
    <w:p>
      <w:pPr>
        <w:tabs>
          <w:tab w:val="left" w:pos="6580"/>
          <w:tab w:val="left" w:pos="6780"/>
        </w:tabs>
        <w:snapToGrid w:val="0"/>
        <w:spacing w:line="360" w:lineRule="auto"/>
        <w:ind w:firstLine="643" w:firstLineChars="200"/>
        <w:rPr>
          <w:rFonts w:ascii="仿宋_GB2312" w:eastAsia="黑体"/>
          <w:b/>
          <w:color w:val="000000"/>
          <w:sz w:val="32"/>
        </w:rPr>
      </w:pPr>
      <w:r>
        <w:rPr>
          <w:rFonts w:hint="eastAsia" w:ascii="仿宋_GB2312" w:eastAsia="黑体"/>
          <w:b/>
          <w:color w:val="000000"/>
          <w:kern w:val="16"/>
          <w:sz w:val="32"/>
        </w:rPr>
        <w:t>项 目 名 称</w:t>
      </w:r>
      <w:r>
        <w:rPr>
          <w:rFonts w:hint="eastAsia" w:ascii="仿宋_GB2312" w:eastAsia="黑体"/>
          <w:b/>
          <w:color w:val="000000"/>
          <w:sz w:val="32"/>
        </w:rPr>
        <w:t xml:space="preserve"> </w:t>
      </w:r>
      <w:r>
        <w:rPr>
          <w:rFonts w:hint="eastAsia" w:ascii="仿宋_GB2312" w:eastAsia="黑体"/>
          <w:b/>
          <w:color w:val="000000"/>
          <w:sz w:val="32"/>
          <w:u w:val="single"/>
        </w:rPr>
        <w:t xml:space="preserve">                             </w:t>
      </w:r>
    </w:p>
    <w:p>
      <w:pPr>
        <w:tabs>
          <w:tab w:val="left" w:pos="6580"/>
          <w:tab w:val="left" w:pos="6780"/>
        </w:tabs>
        <w:snapToGrid w:val="0"/>
        <w:spacing w:line="360" w:lineRule="auto"/>
        <w:ind w:firstLine="643" w:firstLineChars="200"/>
        <w:jc w:val="left"/>
        <w:rPr>
          <w:rFonts w:ascii="仿宋_GB2312" w:eastAsia="黑体"/>
          <w:sz w:val="32"/>
        </w:rPr>
      </w:pPr>
      <w:r>
        <w:rPr>
          <w:rFonts w:hint="eastAsia" w:ascii="仿宋_GB2312" w:eastAsia="黑体"/>
          <w:b/>
          <w:kern w:val="16"/>
          <w:sz w:val="32"/>
        </w:rPr>
        <w:t>申 报 单 位</w:t>
      </w:r>
      <w:r>
        <w:rPr>
          <w:rFonts w:hint="eastAsia" w:ascii="仿宋" w:hAnsi="仿宋" w:eastAsia="仿宋" w:cs="仿宋"/>
          <w:sz w:val="18"/>
          <w:szCs w:val="15"/>
        </w:rPr>
        <w:t xml:space="preserve"> </w:t>
      </w:r>
      <w:r>
        <w:rPr>
          <w:rFonts w:hint="eastAsia" w:ascii="仿宋" w:hAnsi="仿宋" w:eastAsia="仿宋" w:cs="仿宋"/>
          <w:sz w:val="28"/>
          <w:szCs w:val="22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2"/>
          <w:u w:val="single"/>
        </w:rPr>
        <w:t xml:space="preserve">              </w:t>
      </w:r>
      <w:r>
        <w:rPr>
          <w:rFonts w:hint="eastAsia" w:ascii="仿宋_GB2312" w:eastAsia="黑体"/>
          <w:sz w:val="32"/>
        </w:rPr>
        <w:t>（盖章）</w:t>
      </w:r>
    </w:p>
    <w:p>
      <w:pPr>
        <w:tabs>
          <w:tab w:val="left" w:pos="6580"/>
          <w:tab w:val="left" w:pos="6780"/>
        </w:tabs>
        <w:snapToGrid w:val="0"/>
        <w:spacing w:line="360" w:lineRule="auto"/>
        <w:ind w:left="2637" w:leftChars="208" w:hanging="2200" w:hangingChars="1000"/>
        <w:jc w:val="left"/>
        <w:rPr>
          <w:rFonts w:ascii="仿宋" w:hAnsi="仿宋" w:eastAsia="黑体" w:cs="仿宋"/>
          <w:sz w:val="22"/>
          <w:szCs w:val="20"/>
          <w:u w:val="single"/>
        </w:rPr>
      </w:pPr>
      <w:r>
        <w:rPr>
          <w:rFonts w:hint="eastAsia" w:ascii="仿宋" w:hAnsi="仿宋" w:eastAsia="仿宋" w:cs="仿宋"/>
          <w:sz w:val="22"/>
          <w:szCs w:val="20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2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2"/>
          <w:u w:val="single"/>
        </w:rPr>
        <w:t xml:space="preserve">                      </w:t>
      </w:r>
      <w:r>
        <w:rPr>
          <w:rFonts w:hint="eastAsia" w:ascii="仿宋_GB2312" w:eastAsia="黑体"/>
          <w:sz w:val="32"/>
        </w:rPr>
        <w:t>（盖章）</w:t>
      </w:r>
    </w:p>
    <w:p>
      <w:pPr>
        <w:tabs>
          <w:tab w:val="left" w:pos="6580"/>
          <w:tab w:val="left" w:pos="6780"/>
        </w:tabs>
        <w:snapToGrid w:val="0"/>
        <w:spacing w:line="360" w:lineRule="auto"/>
        <w:ind w:firstLine="643" w:firstLineChars="200"/>
        <w:jc w:val="left"/>
        <w:rPr>
          <w:rFonts w:ascii="仿宋_GB2312" w:eastAsia="黑体"/>
          <w:b/>
          <w:color w:val="000000"/>
          <w:sz w:val="32"/>
        </w:rPr>
      </w:pPr>
      <w:r>
        <w:rPr>
          <w:rFonts w:hint="eastAsia" w:ascii="仿宋_GB2312" w:eastAsia="黑体"/>
          <w:b/>
          <w:color w:val="000000"/>
          <w:sz w:val="32"/>
        </w:rPr>
        <w:t xml:space="preserve">申 报 时 间 </w:t>
      </w:r>
      <w:r>
        <w:rPr>
          <w:rFonts w:hint="eastAsia" w:ascii="仿宋_GB2312" w:eastAsia="黑体"/>
          <w:b/>
          <w:color w:val="000000"/>
          <w:sz w:val="32"/>
          <w:u w:val="single"/>
        </w:rPr>
        <w:t xml:space="preserve">                             </w:t>
      </w:r>
    </w:p>
    <w:p>
      <w:pPr>
        <w:snapToGrid w:val="0"/>
        <w:spacing w:line="360" w:lineRule="auto"/>
        <w:rPr>
          <w:rFonts w:ascii="仿宋_GB2312"/>
          <w:color w:val="000000"/>
          <w:sz w:val="28"/>
        </w:rPr>
      </w:pPr>
    </w:p>
    <w:p>
      <w:pPr>
        <w:snapToGrid w:val="0"/>
        <w:spacing w:line="360" w:lineRule="auto"/>
        <w:rPr>
          <w:rFonts w:ascii="仿宋_GB2312"/>
          <w:color w:val="000000"/>
          <w:sz w:val="28"/>
        </w:rPr>
      </w:pPr>
    </w:p>
    <w:p>
      <w:pPr>
        <w:snapToGrid w:val="0"/>
        <w:spacing w:line="360" w:lineRule="auto"/>
        <w:rPr>
          <w:rFonts w:ascii="仿宋_GB2312"/>
          <w:color w:val="000000"/>
          <w:sz w:val="28"/>
        </w:rPr>
      </w:pPr>
    </w:p>
    <w:p>
      <w:pPr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二〇二三年八月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br w:type="page"/>
      </w:r>
    </w:p>
    <w:tbl>
      <w:tblPr>
        <w:tblStyle w:val="5"/>
        <w:tblW w:w="9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92"/>
        <w:gridCol w:w="328"/>
        <w:gridCol w:w="1130"/>
        <w:gridCol w:w="417"/>
        <w:gridCol w:w="229"/>
        <w:gridCol w:w="740"/>
        <w:gridCol w:w="264"/>
        <w:gridCol w:w="429"/>
        <w:gridCol w:w="188"/>
        <w:gridCol w:w="233"/>
        <w:gridCol w:w="400"/>
        <w:gridCol w:w="58"/>
        <w:gridCol w:w="328"/>
        <w:gridCol w:w="238"/>
        <w:gridCol w:w="45"/>
        <w:gridCol w:w="1098"/>
        <w:gridCol w:w="300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70" w:type="dxa"/>
            <w:gridSpan w:val="19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一、申报单位情况（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  <w:t>为多家的，续行逐家填写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9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251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组织机构代码</w:t>
            </w:r>
          </w:p>
        </w:tc>
        <w:tc>
          <w:tcPr>
            <w:tcW w:w="247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9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经营范围</w:t>
            </w:r>
          </w:p>
        </w:tc>
        <w:tc>
          <w:tcPr>
            <w:tcW w:w="7178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9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lang w:val="en-US" w:eastAsia="zh-CN"/>
              </w:rPr>
              <w:t>负责人及联系方式</w:t>
            </w:r>
          </w:p>
        </w:tc>
        <w:tc>
          <w:tcPr>
            <w:tcW w:w="251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lang w:eastAsia="zh-CN"/>
              </w:rPr>
              <w:t>联系人及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lang w:eastAsia="zh-CN"/>
              </w:rPr>
              <w:t>方式</w:t>
            </w:r>
          </w:p>
        </w:tc>
        <w:tc>
          <w:tcPr>
            <w:tcW w:w="247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917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二、项目基本情况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717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项目地址</w:t>
            </w:r>
          </w:p>
        </w:tc>
        <w:tc>
          <w:tcPr>
            <w:tcW w:w="717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建设单位</w:t>
            </w:r>
          </w:p>
        </w:tc>
        <w:tc>
          <w:tcPr>
            <w:tcW w:w="717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投资单位</w:t>
            </w:r>
          </w:p>
        </w:tc>
        <w:tc>
          <w:tcPr>
            <w:tcW w:w="717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设计单位</w:t>
            </w:r>
          </w:p>
        </w:tc>
        <w:tc>
          <w:tcPr>
            <w:tcW w:w="717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施工单位</w:t>
            </w:r>
          </w:p>
        </w:tc>
        <w:tc>
          <w:tcPr>
            <w:tcW w:w="717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运维单位</w:t>
            </w:r>
          </w:p>
        </w:tc>
        <w:tc>
          <w:tcPr>
            <w:tcW w:w="717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技术支持单位</w:t>
            </w:r>
          </w:p>
        </w:tc>
        <w:tc>
          <w:tcPr>
            <w:tcW w:w="717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建设状态</w:t>
            </w:r>
          </w:p>
        </w:tc>
        <w:tc>
          <w:tcPr>
            <w:tcW w:w="717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□已建   □在建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建设类型</w:t>
            </w:r>
          </w:p>
        </w:tc>
        <w:tc>
          <w:tcPr>
            <w:tcW w:w="717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eastAsia="仿宋_GB2312" w:hAnsiTheme="minorHAnsi"/>
                <w:color w:val="000000"/>
                <w:sz w:val="24"/>
                <w:lang w:val="en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4"/>
                <w:lang w:val="en"/>
              </w:rPr>
              <w:t>□</w:t>
            </w:r>
            <w:r>
              <w:rPr>
                <w:rFonts w:hint="eastAsia" w:ascii="仿宋_GB2312" w:eastAsia="仿宋_GB2312" w:hAnsiTheme="minorHAnsi"/>
                <w:color w:val="000000"/>
                <w:sz w:val="24"/>
                <w:lang w:val="en" w:eastAsia="zh-CN"/>
              </w:rPr>
              <w:t>新建</w:t>
            </w:r>
            <w:r>
              <w:rPr>
                <w:rFonts w:hint="eastAsia" w:ascii="仿宋_GB2312" w:eastAsia="仿宋_GB2312" w:hAnsiTheme="minorHAns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hAnsiTheme="minorHAnsi"/>
                <w:sz w:val="24"/>
                <w:lang w:val="en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" w:eastAsia="zh-CN"/>
              </w:rPr>
              <w:t>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建筑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类型</w:t>
            </w:r>
          </w:p>
        </w:tc>
        <w:tc>
          <w:tcPr>
            <w:tcW w:w="717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居住建筑</w:t>
            </w:r>
            <w:r>
              <w:rPr>
                <w:rFonts w:hint="default" w:ascii="仿宋_GB2312" w:eastAsia="仿宋_GB2312"/>
                <w:sz w:val="24"/>
                <w:lang w:val="en-US"/>
              </w:rPr>
              <w:t xml:space="preserve">   </w:t>
            </w:r>
            <w:r>
              <w:rPr>
                <w:rFonts w:hint="eastAsia" w:ascii="仿宋_GB2312" w:eastAsia="仿宋_GB2312" w:hAnsiTheme="minorHAnsi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公共建筑</w:t>
            </w:r>
            <w:r>
              <w:rPr>
                <w:rFonts w:hint="default" w:ascii="仿宋_GB2312" w:eastAsia="仿宋_GB2312"/>
                <w:sz w:val="24"/>
                <w:lang w:val="en-US"/>
              </w:rPr>
              <w:t xml:space="preserve">  </w:t>
            </w:r>
            <w:r>
              <w:rPr>
                <w:rFonts w:hint="eastAsia" w:ascii="仿宋_GB2312" w:eastAsia="仿宋_GB2312" w:hAnsiTheme="minorHAnsi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其他</w:t>
            </w:r>
            <w:r>
              <w:rPr>
                <w:rFonts w:hint="default" w:ascii="仿宋_GB2312" w:eastAsia="仿宋_GB2312"/>
                <w:sz w:val="24"/>
                <w:u w:val="single"/>
                <w:lang w:val="en-US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建筑功能</w:t>
            </w:r>
          </w:p>
        </w:tc>
        <w:tc>
          <w:tcPr>
            <w:tcW w:w="717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 xml:space="preserve">住宅 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 xml:space="preserve">办公 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 xml:space="preserve">商业 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 xml:space="preserve">教育 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 xml:space="preserve">文化科研 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□</w:t>
            </w: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医疗卫生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 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□体育   □其它</w:t>
            </w:r>
            <w:r>
              <w:rPr>
                <w:rFonts w:hint="default" w:ascii="仿宋_GB2312" w:eastAsia="仿宋_GB2312"/>
                <w:sz w:val="24"/>
                <w:u w:val="single"/>
                <w:lang w:val="en-US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leftChars="0" w:hanging="240" w:hanging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开工时间</w:t>
            </w:r>
          </w:p>
        </w:tc>
        <w:tc>
          <w:tcPr>
            <w:tcW w:w="2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竣工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/竣工时间</w:t>
            </w:r>
          </w:p>
        </w:tc>
        <w:tc>
          <w:tcPr>
            <w:tcW w:w="27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leftChars="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形象进度</w:t>
            </w:r>
          </w:p>
        </w:tc>
        <w:tc>
          <w:tcPr>
            <w:tcW w:w="2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拟投入/投入使用时间</w:t>
            </w:r>
          </w:p>
        </w:tc>
        <w:tc>
          <w:tcPr>
            <w:tcW w:w="27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工程报批报建手续及文件</w:t>
            </w:r>
          </w:p>
        </w:tc>
        <w:tc>
          <w:tcPr>
            <w:tcW w:w="717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投资类型</w:t>
            </w:r>
          </w:p>
        </w:tc>
        <w:tc>
          <w:tcPr>
            <w:tcW w:w="717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政府投资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国有资金投资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其他投资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用地面积</w:t>
            </w:r>
          </w:p>
          <w:p>
            <w:pPr>
              <w:snapToGrid w:val="0"/>
              <w:ind w:left="240" w:hanging="240" w:hanging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（万平方米）</w:t>
            </w:r>
          </w:p>
        </w:tc>
        <w:tc>
          <w:tcPr>
            <w:tcW w:w="2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总建筑面积</w:t>
            </w:r>
          </w:p>
          <w:p>
            <w:pPr>
              <w:snapToGrid w:val="0"/>
              <w:ind w:left="240" w:hanging="240" w:hanging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（万平方米）</w:t>
            </w:r>
          </w:p>
        </w:tc>
        <w:tc>
          <w:tcPr>
            <w:tcW w:w="27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建筑工程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总投资额（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2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建安工程费用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（万元）</w:t>
            </w:r>
          </w:p>
        </w:tc>
        <w:tc>
          <w:tcPr>
            <w:tcW w:w="27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3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BIPV应用面积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（万平方米）</w:t>
            </w:r>
          </w:p>
        </w:tc>
        <w:tc>
          <w:tcPr>
            <w:tcW w:w="60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3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“光储直柔”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应用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面积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（万平方米）</w:t>
            </w:r>
          </w:p>
        </w:tc>
        <w:tc>
          <w:tcPr>
            <w:tcW w:w="60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光伏装机容量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kWp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光伏系统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投资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1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光伏系统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成本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（元/平方米）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BIPV装机容量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（kWp）</w:t>
            </w: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BIPV</w:t>
            </w:r>
            <w:r>
              <w:rPr>
                <w:rFonts w:hint="eastAsia" w:ascii="仿宋_GB2312" w:hAnsi="仿宋_GB2312" w:eastAsia="仿宋_GB2312" w:cs="仿宋_GB2312"/>
                <w:sz w:val="24"/>
                <w:lang w:val="en" w:eastAsia="zh-CN"/>
              </w:rPr>
              <w:t>投资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1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BIPV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成本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（元/平方米）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储能配备容量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（kWh）</w:t>
            </w: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储能投资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（万元）</w:t>
            </w:r>
          </w:p>
        </w:tc>
        <w:tc>
          <w:tcPr>
            <w:tcW w:w="1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储能单位成本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/平方米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3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/>
        </w:tc>
        <w:tc>
          <w:tcPr>
            <w:tcW w:w="20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/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3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/>
        </w:tc>
        <w:tc>
          <w:tcPr>
            <w:tcW w:w="20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/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45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/>
        </w:tc>
        <w:tc>
          <w:tcPr>
            <w:tcW w:w="46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45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/>
        </w:tc>
        <w:tc>
          <w:tcPr>
            <w:tcW w:w="15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3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“光储直柔”投资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22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仿宋_GB2312" w:hAnsi="仿宋_GB2312" w:eastAsia="仿宋_GB2312" w:cs="仿宋_GB2312"/>
                <w:sz w:val="24"/>
              </w:rPr>
              <w:t>“光储直柔”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成本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（元/平方米）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17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三、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3153" w:hRule="atLeast"/>
          <w:jc w:val="center"/>
        </w:trPr>
        <w:tc>
          <w:tcPr>
            <w:tcW w:w="9170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（包括但不限于项目名称、建设地点、项目性质、结构形式、建设规模及内容、工程投资等主要经济技术指标、项目建设完成情况、开发与建设周期、项目效果图等）</w:t>
            </w:r>
          </w:p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45" w:hRule="atLeast"/>
          <w:jc w:val="center"/>
        </w:trPr>
        <w:tc>
          <w:tcPr>
            <w:tcW w:w="917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四、项目试点内容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、目标及技术路径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04" w:hRule="atLeast"/>
          <w:jc w:val="center"/>
        </w:trPr>
        <w:tc>
          <w:tcPr>
            <w:tcW w:w="917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（包括但不限于项目试点内容、预期目标及成果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光伏建筑一体化（BIPV）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或“光、储、直、柔”技术措施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等）</w:t>
            </w:r>
          </w:p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917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、项目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357" w:hRule="atLeast"/>
          <w:jc w:val="center"/>
        </w:trPr>
        <w:tc>
          <w:tcPr>
            <w:tcW w:w="917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18" w:hRule="atLeast"/>
          <w:jc w:val="center"/>
        </w:trPr>
        <w:tc>
          <w:tcPr>
            <w:tcW w:w="917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、试点进度安排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917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05" w:hRule="atLeast"/>
          <w:jc w:val="center"/>
        </w:trPr>
        <w:tc>
          <w:tcPr>
            <w:tcW w:w="917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、技术经济分析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499" w:hRule="atLeast"/>
          <w:jc w:val="center"/>
        </w:trPr>
        <w:tc>
          <w:tcPr>
            <w:tcW w:w="917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65" w:hRule="atLeast"/>
          <w:jc w:val="center"/>
        </w:trPr>
        <w:tc>
          <w:tcPr>
            <w:tcW w:w="917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八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、综合效益分析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及试点推广价值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608" w:hRule="atLeast"/>
          <w:jc w:val="center"/>
        </w:trPr>
        <w:tc>
          <w:tcPr>
            <w:tcW w:w="917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（包括环境、经济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及</w:t>
            </w:r>
            <w:r>
              <w:rPr>
                <w:rFonts w:ascii="仿宋_GB2312" w:hAnsi="仿宋_GB2312" w:eastAsia="仿宋_GB2312" w:cs="仿宋_GB2312"/>
                <w:sz w:val="24"/>
              </w:rPr>
              <w:t>社会效益分析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、推广价值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</w:t>
            </w:r>
            <w:r>
              <w:rPr>
                <w:rFonts w:ascii="仿宋_GB2312" w:hAnsi="仿宋_GB2312" w:eastAsia="仿宋_GB2312" w:cs="仿宋_GB2312"/>
                <w:sz w:val="24"/>
              </w:rPr>
              <w:t>）</w:t>
            </w:r>
          </w:p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917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九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、项目主要参加人员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（含项目负责人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1名，可续行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/职称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联系电话</w:t>
            </w:r>
          </w:p>
        </w:tc>
        <w:tc>
          <w:tcPr>
            <w:tcW w:w="2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承担主要工作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917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outlineLvl w:val="0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十、专项技术方案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  <w:jc w:val="center"/>
        </w:trPr>
        <w:tc>
          <w:tcPr>
            <w:tcW w:w="9170" w:type="dxa"/>
            <w:gridSpan w:val="19"/>
            <w:vAlign w:val="top"/>
          </w:tcPr>
          <w:p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光伏建筑一体化（BIPV）试点项目专项技术方案包含内容：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在建项目专项技术方案内容：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包括工程概况、设计依据、设计范围和目标、系统架构（系统拓扑图）、光伏装机量、设备参数表、储能容量配置、电力系统配置及用电保护等措施、施工图关键内容、系统经济性分析和实施进度计划等；</w:t>
            </w:r>
          </w:p>
          <w:p>
            <w:pPr>
              <w:spacing w:line="360" w:lineRule="auto"/>
              <w:jc w:val="both"/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已建成项目专项方案内容：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包括工程概况、系统架构（系统拓扑图）、光伏装机量、设备参数表、储能容量配置及电力系统配置、用电保护措施、项目全年运行监测数据分析（包含全年负荷用电量、市政电网取电量、光伏发电量、光伏用电量、光伏余电上网量和储能充放电量等）、能耗监测分析（包含主要配电和用电设备等）、碳排放计算及经济效益分析等。</w:t>
            </w:r>
          </w:p>
          <w:p>
            <w:pPr>
              <w:spacing w:line="360" w:lineRule="auto"/>
              <w:jc w:val="both"/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“光储直柔”建筑试点项目专项技术方案包含内容：</w:t>
            </w:r>
          </w:p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在建项目专项技术方案内容：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包括工程概况、设计依据、设计范围和目标、系统架构（系统拓扑图）、光伏装机量、储能容量配置、直流配电系统配置（直流配电系统负荷计算、容量配置等）、柔性控制策略、用电保护措施、主要配电和柔性控制设备参数表、施工图关键内容、系统经济性分析和实施进度计划等；</w:t>
            </w:r>
          </w:p>
          <w:p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已建成项目专项方案内容：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包括工程概况、系统架构（系统拓扑图）、光伏装机量、储能容量配置、直流配电系统配置（直流配电系统负荷计算、容量配置等）、柔性控制策略、用电保护措施、主要配电和柔性控制设备参数表、竣工图关键内容、项目全年运行监测数据分析（包含全年负荷用电量、市政电网取电量、光伏发电量、光伏用电量、光伏余电上网量和储能充放电量等）、能耗监测分析（包含主要配电和用电设备等）、碳排放分析和系统经济性分析等。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</w:tc>
      </w:tr>
    </w:tbl>
    <w:p>
      <w:pPr>
        <w:spacing w:line="324" w:lineRule="auto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YjU0ZTY1MTE4MjZjNjZmN2JmNjk5MDJmMTIwNjkifQ=="/>
  </w:docVars>
  <w:rsids>
    <w:rsidRoot w:val="24AE05CF"/>
    <w:rsid w:val="24AE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2023-08-15T07:07:00Z</dcterms:created>
  <dc:creator>Administrator</dc:creator>
  <cp:lastModifiedBy>Administrator</cp:lastModifiedBy>
  <dcterms:modified xsi:type="dcterms:W3CDTF">2023-08-15T07:08:15Z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10EFC18B7505442FA2599C158FB3CDED_11</vt:lpwstr>
  </property>
</Properties>
</file>