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framePr w:w="0" w:hRule="auto" w:wrap="auto" w:vAnchor="margin" w:hAnchor="text" w:xAlign="left" w:yAlign="inline"/>
        <w:jc w:val="both"/>
        <w:rPr>
          <w:rFonts w:ascii="黑体" w:hAnsi="黑体" w:eastAsia="黑体"/>
          <w:b w:val="0"/>
          <w:w w:val="100"/>
          <w:sz w:val="28"/>
          <w:szCs w:val="28"/>
        </w:rPr>
      </w:pPr>
      <w:bookmarkStart w:id="0" w:name="_Toc102292521"/>
    </w:p>
    <w:p/>
    <w:p>
      <w:pPr>
        <w:pStyle w:val="28"/>
        <w:framePr w:w="0" w:hRule="auto" w:wrap="auto" w:vAnchor="margin" w:hAnchor="text" w:xAlign="left" w:yAlign="inline"/>
        <w:jc w:val="both"/>
        <w:rPr>
          <w:rFonts w:eastAsia="楷体_GB2312"/>
          <w:sz w:val="28"/>
          <w:szCs w:val="28"/>
        </w:rPr>
      </w:pPr>
      <w:r>
        <w:rPr>
          <w:rFonts w:eastAsia="楷体_GB2312"/>
          <w:sz w:val="28"/>
          <w:szCs w:val="28"/>
        </w:rPr>
        <w:t>UDC</w:t>
      </w:r>
    </w:p>
    <w:p>
      <w:pPr>
        <w:pStyle w:val="28"/>
        <w:framePr w:w="0" w:hRule="auto" w:wrap="auto" w:vAnchor="margin" w:hAnchor="text" w:xAlign="left" w:yAlign="inline"/>
        <w:rPr>
          <w:rFonts w:eastAsia="Batang"/>
          <w:outline/>
          <w:color w:val="FFFFFF"/>
          <w14:textOutline w14:w="9525" w14:cap="flat" w14:cmpd="sng" w14:algn="ctr">
            <w14:solidFill>
              <w14:srgbClr w14:val="FFFFFF"/>
            </w14:solidFill>
            <w14:prstDash w14:val="solid"/>
            <w14:round/>
          </w14:textOutline>
          <w14:textFill>
            <w14:noFill/>
          </w14:textFill>
        </w:rPr>
      </w:pPr>
      <w:r>
        <w:rPr>
          <w:rFonts w:eastAsia="黑体"/>
          <w:b w:val="0"/>
          <w:spacing w:val="20"/>
          <w:w w:val="100"/>
          <w:sz w:val="36"/>
          <w:szCs w:val="36"/>
        </w:rPr>
        <w:t>中华人民共和国国家标准</w:t>
      </w:r>
      <w:r>
        <w:rPr>
          <w:rFonts w:hint="eastAsia" w:eastAsia="黑体"/>
          <w:b w:val="0"/>
          <w:w w:val="100"/>
          <w:sz w:val="36"/>
          <w:szCs w:val="36"/>
        </w:rPr>
        <w:tab/>
      </w:r>
      <w:r>
        <w:rPr>
          <w:rFonts w:hint="eastAsia" w:eastAsia="黑体"/>
          <w:b w:val="0"/>
          <w:w w:val="100"/>
          <w:sz w:val="36"/>
          <w:szCs w:val="36"/>
        </w:rPr>
        <w:tab/>
      </w:r>
      <w:r>
        <w:rPr>
          <w:rFonts w:eastAsia="Batang"/>
          <w:szCs w:val="96"/>
        </w:rPr>
        <w:t>GB</w:t>
      </w:r>
    </w:p>
    <w:p>
      <w:pPr>
        <w:pStyle w:val="29"/>
        <w:wordWrap w:val="0"/>
        <w:rPr>
          <w:b/>
        </w:rPr>
      </w:pPr>
      <w:r>
        <w:rPr>
          <w:b/>
        </w:rPr>
        <w:t xml:space="preserve">P </w:t>
      </w:r>
      <w:r>
        <w:rPr>
          <w:rFonts w:hint="eastAsia"/>
          <w:b/>
        </w:rPr>
        <w:tab/>
      </w:r>
      <w:r>
        <w:rPr>
          <w:b/>
        </w:rPr>
        <w:t xml:space="preserve">                                      GB 50824—20</w:t>
      </w:r>
      <w:r>
        <w:rPr>
          <w:rFonts w:hint="eastAsia"/>
          <w:b/>
        </w:rPr>
        <w:t>xx</w:t>
      </w:r>
    </w:p>
    <w:p>
      <w:pPr>
        <w:spacing w:line="480" w:lineRule="auto"/>
        <w:jc w:val="center"/>
        <w:rPr>
          <w:b/>
          <w:sz w:val="52"/>
        </w:rPr>
      </w:pPr>
      <w:r>
        <mc:AlternateContent>
          <mc:Choice Requires="wps">
            <w:drawing>
              <wp:anchor distT="0" distB="0" distL="114300" distR="114300" simplePos="0" relativeHeight="251659264" behindDoc="0" locked="0" layoutInCell="1" allowOverlap="1">
                <wp:simplePos x="0" y="0"/>
                <wp:positionH relativeFrom="column">
                  <wp:posOffset>-410845</wp:posOffset>
                </wp:positionH>
                <wp:positionV relativeFrom="paragraph">
                  <wp:posOffset>178435</wp:posOffset>
                </wp:positionV>
                <wp:extent cx="6045200" cy="7620"/>
                <wp:effectExtent l="0" t="0" r="12700" b="11430"/>
                <wp:wrapNone/>
                <wp:docPr id="9" name="Line 4"/>
                <wp:cNvGraphicFramePr/>
                <a:graphic xmlns:a="http://schemas.openxmlformats.org/drawingml/2006/main">
                  <a:graphicData uri="http://schemas.microsoft.com/office/word/2010/wordprocessingShape">
                    <wps:wsp>
                      <wps:cNvCnPr>
                        <a:cxnSpLocks noChangeShapeType="1"/>
                      </wps:cNvCnPr>
                      <wps:spPr bwMode="auto">
                        <a:xfrm flipV="1">
                          <a:off x="0" y="0"/>
                          <a:ext cx="6045200" cy="7620"/>
                        </a:xfrm>
                        <a:prstGeom prst="line">
                          <a:avLst/>
                        </a:prstGeom>
                        <a:noFill/>
                        <a:ln w="9525">
                          <a:solidFill>
                            <a:srgbClr val="000000"/>
                          </a:solidFill>
                          <a:round/>
                        </a:ln>
                      </wps:spPr>
                      <wps:bodyPr/>
                    </wps:wsp>
                  </a:graphicData>
                </a:graphic>
              </wp:anchor>
            </w:drawing>
          </mc:Choice>
          <mc:Fallback>
            <w:pict>
              <v:line id="Line 4" o:spid="_x0000_s1026" o:spt="20" style="position:absolute;left:0pt;flip:y;margin-left:-32.35pt;margin-top:14.05pt;height:0.6pt;width:476pt;z-index:251659264;mso-width-relative:page;mso-height-relative:page;" filled="f" stroked="t" coordsize="21600,21600" o:gfxdata="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1KcqTYAAAACQEAAA8AAAAAAAAAAQAgAAAA&#10;IgAAAGRycy9kb3ducmV2LnhtbFBLAQIUABQAAAAIAIdO4kDtmoH80gEAAKwDAAAOAAAAAAAAAAEA&#10;IAAAACcBAABkcnMvZTJvRG9jLnhtbFBLBQYAAAAABgAGAFkBAABrBQAAAAA=&#10;">
                <v:fill on="f" focussize="0,0"/>
                <v:stroke color="#000000" joinstyle="round"/>
                <v:imagedata o:title=""/>
                <o:lock v:ext="edit" aspectratio="f"/>
              </v:line>
            </w:pict>
          </mc:Fallback>
        </mc:AlternateContent>
      </w:r>
    </w:p>
    <w:p>
      <w:pPr>
        <w:spacing w:line="360" w:lineRule="auto"/>
        <w:jc w:val="center"/>
        <w:rPr>
          <w:b/>
          <w:sz w:val="52"/>
          <w:szCs w:val="20"/>
        </w:rPr>
      </w:pPr>
    </w:p>
    <w:p>
      <w:pPr>
        <w:spacing w:line="360" w:lineRule="auto"/>
        <w:jc w:val="center"/>
        <w:rPr>
          <w:b/>
          <w:sz w:val="52"/>
        </w:rPr>
      </w:pPr>
      <w:r>
        <w:rPr>
          <w:rFonts w:hint="eastAsia"/>
          <w:b/>
          <w:sz w:val="52"/>
        </w:rPr>
        <w:t>农村居住建筑节能设计标准</w:t>
      </w:r>
    </w:p>
    <w:p>
      <w:pPr>
        <w:spacing w:line="360" w:lineRule="auto"/>
        <w:jc w:val="center"/>
        <w:rPr>
          <w:b/>
          <w:sz w:val="28"/>
          <w:szCs w:val="28"/>
        </w:rPr>
      </w:pPr>
      <w:r>
        <w:rPr>
          <w:b/>
          <w:sz w:val="28"/>
          <w:szCs w:val="28"/>
        </w:rPr>
        <w:t>Design standard for energy efficiency of rural residential buildings</w:t>
      </w:r>
    </w:p>
    <w:p>
      <w:pPr>
        <w:spacing w:line="480" w:lineRule="auto"/>
        <w:jc w:val="center"/>
        <w:rPr>
          <w:rFonts w:hAnsi="宋体"/>
          <w:b/>
          <w:sz w:val="32"/>
          <w:szCs w:val="32"/>
        </w:rPr>
      </w:pPr>
    </w:p>
    <w:p>
      <w:pPr>
        <w:spacing w:line="480" w:lineRule="auto"/>
        <w:jc w:val="center"/>
        <w:rPr>
          <w:b/>
          <w:sz w:val="32"/>
          <w:szCs w:val="32"/>
        </w:rPr>
      </w:pPr>
      <w:bookmarkStart w:id="1" w:name="_Hlk128407289"/>
      <w:r>
        <w:rPr>
          <w:rFonts w:hint="eastAsia" w:hAnsi="宋体"/>
          <w:b/>
          <w:sz w:val="32"/>
          <w:szCs w:val="32"/>
        </w:rPr>
        <w:t>局部修订</w:t>
      </w:r>
      <w:bookmarkStart w:id="119" w:name="_GoBack"/>
      <w:bookmarkEnd w:id="119"/>
      <w:r>
        <w:rPr>
          <w:rFonts w:hint="eastAsia"/>
          <w:b/>
          <w:sz w:val="32"/>
          <w:szCs w:val="32"/>
        </w:rPr>
        <w:t>征求意见稿</w:t>
      </w:r>
    </w:p>
    <w:bookmarkEnd w:id="1"/>
    <w:p>
      <w:pPr>
        <w:pStyle w:val="7"/>
      </w:pPr>
    </w:p>
    <w:p>
      <w:pPr>
        <w:pStyle w:val="7"/>
      </w:pPr>
    </w:p>
    <w:p>
      <w:pPr>
        <w:pStyle w:val="7"/>
      </w:pPr>
    </w:p>
    <w:p>
      <w:pPr>
        <w:pStyle w:val="7"/>
      </w:pPr>
    </w:p>
    <w:p>
      <w:pPr>
        <w:pStyle w:val="7"/>
      </w:pPr>
    </w:p>
    <w:p>
      <w:pPr>
        <w:pStyle w:val="7"/>
      </w:pPr>
    </w:p>
    <w:p>
      <w:pPr>
        <w:pStyle w:val="7"/>
      </w:pPr>
    </w:p>
    <w:p>
      <w:pPr>
        <w:spacing w:line="480" w:lineRule="auto"/>
        <w:rPr>
          <w:rFonts w:eastAsia="黑体"/>
          <w:sz w:val="28"/>
          <w:szCs w:val="28"/>
        </w:rPr>
      </w:pPr>
      <w:r>
        <w:rPr>
          <w:rFonts w:eastAsia="黑体"/>
          <w:sz w:val="28"/>
          <w:szCs w:val="28"/>
        </w:rPr>
        <w:t>20XX－XX－XX  发布                20XX－XX－XX  实施</w:t>
      </w:r>
    </w:p>
    <w:p>
      <w:pPr>
        <w:pStyle w:val="7"/>
      </w:pPr>
      <w: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217170</wp:posOffset>
                </wp:positionV>
                <wp:extent cx="5173980" cy="7620"/>
                <wp:effectExtent l="0" t="0" r="7620" b="11430"/>
                <wp:wrapNone/>
                <wp:docPr id="8" name="Line 11"/>
                <wp:cNvGraphicFramePr/>
                <a:graphic xmlns:a="http://schemas.openxmlformats.org/drawingml/2006/main">
                  <a:graphicData uri="http://schemas.microsoft.com/office/word/2010/wordprocessingShape">
                    <wps:wsp>
                      <wps:cNvCnPr>
                        <a:cxnSpLocks noChangeShapeType="1"/>
                      </wps:cNvCnPr>
                      <wps:spPr bwMode="auto">
                        <a:xfrm flipV="1">
                          <a:off x="0" y="0"/>
                          <a:ext cx="5173980" cy="7620"/>
                        </a:xfrm>
                        <a:prstGeom prst="line">
                          <a:avLst/>
                        </a:prstGeom>
                        <a:noFill/>
                        <a:ln w="9525">
                          <a:solidFill>
                            <a:srgbClr val="000000"/>
                          </a:solidFill>
                          <a:round/>
                        </a:ln>
                      </wps:spPr>
                      <wps:bodyPr/>
                    </wps:wsp>
                  </a:graphicData>
                </a:graphic>
              </wp:anchor>
            </w:drawing>
          </mc:Choice>
          <mc:Fallback>
            <w:pict>
              <v:line id="Line 11" o:spid="_x0000_s1026" o:spt="20" style="position:absolute;left:0pt;flip:y;margin-left:-0.2pt;margin-top:17.1pt;height:0.6pt;width:407.4pt;z-index:251660288;mso-width-relative:page;mso-height-relative:page;" filled="f" stroked="t" coordsize="21600,21600" o:gfxdata="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GtwVtQAAAAHAQAADwAAAAAAAAABACAAAAAi&#10;AAAAZHJzL2Rvd25yZXYueG1sUEsBAhQAFAAAAAgAh07iQDFcTGDVAQAArQMAAA4AAAAAAAAAAQAg&#10;AAAAIwEAAGRycy9lMm9Eb2MueG1sUEsFBgAAAAAGAAYAWQEAAGoFAAAAAA==&#10;">
                <v:fill on="f" focussize="0,0"/>
                <v:stroke color="#000000" joinstyle="round"/>
                <v:imagedata o:title=""/>
                <o:lock v:ext="edit" aspectratio="f"/>
              </v:line>
            </w:pict>
          </mc:Fallback>
        </mc:AlternateContent>
      </w:r>
    </w:p>
    <w:tbl>
      <w:tblPr>
        <w:tblStyle w:val="17"/>
        <w:tblW w:w="5620" w:type="dxa"/>
        <w:tblInd w:w="0" w:type="dxa"/>
        <w:tblLayout w:type="autofit"/>
        <w:tblCellMar>
          <w:top w:w="0" w:type="dxa"/>
          <w:left w:w="0" w:type="dxa"/>
          <w:bottom w:w="0" w:type="dxa"/>
          <w:right w:w="0" w:type="dxa"/>
        </w:tblCellMar>
      </w:tblPr>
      <w:tblGrid>
        <w:gridCol w:w="5620"/>
      </w:tblGrid>
      <w:tr>
        <w:tblPrEx>
          <w:tblCellMar>
            <w:top w:w="0" w:type="dxa"/>
            <w:left w:w="0" w:type="dxa"/>
            <w:bottom w:w="0" w:type="dxa"/>
            <w:right w:w="0" w:type="dxa"/>
          </w:tblCellMar>
        </w:tblPrEx>
        <w:trPr>
          <w:trHeight w:val="375" w:hRule="atLeast"/>
        </w:trPr>
        <w:tc>
          <w:tcPr>
            <w:tcW w:w="5620" w:type="dxa"/>
            <w:tcBorders>
              <w:top w:val="nil"/>
              <w:left w:val="nil"/>
              <w:bottom w:val="nil"/>
              <w:right w:val="nil"/>
            </w:tcBorders>
            <w:shd w:val="clear" w:color="auto" w:fill="auto"/>
            <w:noWrap/>
            <w:tcMar>
              <w:top w:w="15" w:type="dxa"/>
              <w:left w:w="15" w:type="dxa"/>
              <w:bottom w:w="0" w:type="dxa"/>
              <w:right w:w="15" w:type="dxa"/>
            </w:tcMar>
            <w:vAlign w:val="center"/>
          </w:tcPr>
          <w:p>
            <w:pPr>
              <w:jc w:val="distribute"/>
              <w:rPr>
                <w:rFonts w:eastAsia="黑体"/>
                <w:color w:val="000000"/>
                <w:sz w:val="28"/>
                <w:szCs w:val="28"/>
              </w:rPr>
            </w:pPr>
          </w:p>
          <w:p>
            <w:pPr>
              <w:jc w:val="distribute"/>
              <w:rPr>
                <w:rFonts w:eastAsia="黑体"/>
                <w:color w:val="000000"/>
                <w:sz w:val="28"/>
                <w:szCs w:val="28"/>
              </w:rPr>
            </w:pPr>
            <w:r>
              <mc:AlternateContent>
                <mc:Choice Requires="wps">
                  <w:drawing>
                    <wp:anchor distT="0" distB="0" distL="114300" distR="114300" simplePos="0" relativeHeight="251661312" behindDoc="0" locked="0" layoutInCell="1" allowOverlap="1">
                      <wp:simplePos x="0" y="0"/>
                      <wp:positionH relativeFrom="column">
                        <wp:posOffset>4202430</wp:posOffset>
                      </wp:positionH>
                      <wp:positionV relativeFrom="paragraph">
                        <wp:posOffset>151765</wp:posOffset>
                      </wp:positionV>
                      <wp:extent cx="1073785" cy="48895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073785" cy="488950"/>
                              </a:xfrm>
                              <a:prstGeom prst="rect">
                                <a:avLst/>
                              </a:prstGeom>
                              <a:solidFill>
                                <a:sysClr val="window" lastClr="FFFFFF"/>
                              </a:solidFill>
                              <a:ln w="6350">
                                <a:noFill/>
                              </a:ln>
                              <a:effectLst/>
                            </wps:spPr>
                            <wps:txbx>
                              <w:txbxContent>
                                <w:p>
                                  <w:pPr>
                                    <w:rPr>
                                      <w:rFonts w:ascii="黑体" w:eastAsia="黑体"/>
                                      <w:color w:val="000000"/>
                                      <w:sz w:val="28"/>
                                      <w:szCs w:val="28"/>
                                    </w:rPr>
                                  </w:pPr>
                                  <w:r>
                                    <w:rPr>
                                      <w:rFonts w:hint="eastAsia" w:ascii="黑体" w:eastAsia="黑体"/>
                                      <w:color w:val="000000"/>
                                      <w:sz w:val="28"/>
                                      <w:szCs w:val="28"/>
                                    </w:rPr>
                                    <w:t>联合发布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330.9pt;margin-top:11.95pt;height:38.5pt;width:84.55pt;z-index:251661312;mso-width-relative:page;mso-height-relative:page;" fillcolor="#FFFFFF" filled="t" stroked="f" coordsize="21600,21600" o:gfxdata="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go&#10;hGbUAAAACgEAAA8AAAAAAAAAAQAgAAAAIgAAAGRycy9kb3ducmV2LnhtbFBLAQIUABQAAAAIAIdO&#10;4kB0O2C3YAIAAK0EAAAOAAAAAAAAAAEAIAAAACMBAABkcnMvZTJvRG9jLnhtbFBLBQYAAAAABgAG&#10;AFkBAAD1BQAAAAA=&#10;">
                      <v:fill on="t" focussize="0,0"/>
                      <v:stroke on="f" weight="0.5pt"/>
                      <v:imagedata o:title=""/>
                      <o:lock v:ext="edit" aspectratio="f"/>
                      <v:textbox>
                        <w:txbxContent>
                          <w:p>
                            <w:pPr>
                              <w:rPr>
                                <w:rFonts w:ascii="黑体" w:eastAsia="黑体"/>
                                <w:color w:val="000000"/>
                                <w:sz w:val="28"/>
                                <w:szCs w:val="28"/>
                              </w:rPr>
                            </w:pPr>
                            <w:r>
                              <w:rPr>
                                <w:rFonts w:hint="eastAsia" w:ascii="黑体" w:eastAsia="黑体"/>
                                <w:color w:val="000000"/>
                                <w:sz w:val="28"/>
                                <w:szCs w:val="28"/>
                              </w:rPr>
                              <w:t>联合发布</w:t>
                            </w:r>
                          </w:p>
                        </w:txbxContent>
                      </v:textbox>
                    </v:shape>
                  </w:pict>
                </mc:Fallback>
              </mc:AlternateContent>
            </w:r>
            <w:r>
              <w:rPr>
                <w:rFonts w:eastAsia="黑体"/>
                <w:color w:val="000000"/>
                <w:sz w:val="28"/>
                <w:szCs w:val="28"/>
              </w:rPr>
              <w:t>中华人民共和国住房和城乡建设部</w:t>
            </w:r>
          </w:p>
        </w:tc>
      </w:tr>
      <w:tr>
        <w:tblPrEx>
          <w:tblCellMar>
            <w:top w:w="0" w:type="dxa"/>
            <w:left w:w="0" w:type="dxa"/>
            <w:bottom w:w="0" w:type="dxa"/>
            <w:right w:w="0" w:type="dxa"/>
          </w:tblCellMar>
        </w:tblPrEx>
        <w:trPr>
          <w:trHeight w:val="375" w:hRule="atLeast"/>
        </w:trPr>
        <w:tc>
          <w:tcPr>
            <w:tcW w:w="0" w:type="auto"/>
            <w:tcBorders>
              <w:top w:val="nil"/>
              <w:left w:val="nil"/>
              <w:bottom w:val="nil"/>
              <w:right w:val="nil"/>
            </w:tcBorders>
            <w:shd w:val="clear" w:color="auto" w:fill="auto"/>
            <w:noWrap/>
            <w:tcMar>
              <w:top w:w="15" w:type="dxa"/>
              <w:left w:w="15" w:type="dxa"/>
              <w:bottom w:w="0" w:type="dxa"/>
              <w:right w:w="15" w:type="dxa"/>
            </w:tcMar>
            <w:vAlign w:val="center"/>
          </w:tcPr>
          <w:p>
            <w:pPr>
              <w:jc w:val="distribute"/>
              <w:rPr>
                <w:rFonts w:eastAsia="黑体"/>
                <w:color w:val="000000"/>
                <w:sz w:val="28"/>
                <w:szCs w:val="28"/>
              </w:rPr>
            </w:pPr>
            <w:r>
              <w:rPr>
                <w:rFonts w:eastAsia="黑体"/>
                <w:color w:val="000000"/>
                <w:sz w:val="28"/>
                <w:szCs w:val="28"/>
              </w:rPr>
              <w:t>国家市场监督管理总局</w:t>
            </w:r>
          </w:p>
        </w:tc>
      </w:tr>
    </w:tbl>
    <w:p>
      <w:pPr>
        <w:ind w:firstLine="422" w:firstLineChars="200"/>
        <w:jc w:val="center"/>
        <w:rPr>
          <w:b/>
        </w:rPr>
        <w:sectPr>
          <w:footerReference r:id="rId3" w:type="default"/>
          <w:footerReference r:id="rId4" w:type="even"/>
          <w:pgSz w:w="11906" w:h="16838"/>
          <w:pgMar w:top="1440" w:right="1800" w:bottom="1440" w:left="1800" w:header="851" w:footer="992" w:gutter="0"/>
          <w:pgNumType w:start="1"/>
          <w:cols w:space="425" w:num="1"/>
          <w:docGrid w:type="lines" w:linePitch="312" w:charSpace="0"/>
        </w:sectPr>
      </w:pPr>
    </w:p>
    <w:p>
      <w:pPr>
        <w:jc w:val="center"/>
        <w:rPr>
          <w:b/>
          <w:sz w:val="32"/>
          <w:szCs w:val="32"/>
        </w:rPr>
      </w:pPr>
      <w:r>
        <w:rPr>
          <w:b/>
          <w:sz w:val="32"/>
          <w:szCs w:val="32"/>
        </w:rPr>
        <w:t>修订说明</w:t>
      </w:r>
    </w:p>
    <w:p>
      <w:pPr>
        <w:ind w:firstLine="592" w:firstLineChars="200"/>
        <w:rPr>
          <w:spacing w:val="8"/>
          <w:kern w:val="0"/>
          <w:sz w:val="28"/>
          <w:szCs w:val="28"/>
        </w:rPr>
      </w:pPr>
      <w:bookmarkStart w:id="2" w:name="_Hlk128407352"/>
      <w:r>
        <w:rPr>
          <w:spacing w:val="8"/>
          <w:kern w:val="0"/>
          <w:sz w:val="28"/>
          <w:szCs w:val="28"/>
        </w:rPr>
        <w:t>本次局部修订</w:t>
      </w:r>
      <w:bookmarkEnd w:id="2"/>
      <w:r>
        <w:rPr>
          <w:spacing w:val="8"/>
          <w:kern w:val="0"/>
          <w:sz w:val="28"/>
          <w:szCs w:val="28"/>
        </w:rPr>
        <w:t>是根据住房和城乡建设部</w:t>
      </w:r>
      <w:r>
        <w:rPr>
          <w:rFonts w:hint="eastAsia"/>
          <w:spacing w:val="8"/>
          <w:kern w:val="0"/>
          <w:sz w:val="28"/>
          <w:szCs w:val="28"/>
        </w:rPr>
        <w:t>《</w:t>
      </w:r>
      <w:r>
        <w:rPr>
          <w:spacing w:val="8"/>
          <w:kern w:val="0"/>
          <w:sz w:val="28"/>
          <w:szCs w:val="28"/>
        </w:rPr>
        <w:t>关于印发2022年工程建设规范标准编制及相关工作计划的通知》（建标函〔2022〕21号）的要求，由中国建筑科学研究院有限公司会同有关单位对《农村居住建筑节能设计标准》</w:t>
      </w:r>
      <w:bookmarkStart w:id="3" w:name="_Hlk128407342"/>
      <w:r>
        <w:rPr>
          <w:spacing w:val="8"/>
          <w:kern w:val="0"/>
          <w:sz w:val="28"/>
          <w:szCs w:val="28"/>
        </w:rPr>
        <w:t>GB/T 50824—2013进行局部修订</w:t>
      </w:r>
      <w:bookmarkEnd w:id="3"/>
      <w:r>
        <w:rPr>
          <w:spacing w:val="8"/>
          <w:kern w:val="0"/>
          <w:sz w:val="28"/>
          <w:szCs w:val="28"/>
        </w:rPr>
        <w:t>。</w:t>
      </w:r>
    </w:p>
    <w:p>
      <w:pPr>
        <w:ind w:firstLine="592" w:firstLineChars="200"/>
        <w:rPr>
          <w:spacing w:val="8"/>
          <w:kern w:val="0"/>
          <w:sz w:val="28"/>
          <w:szCs w:val="28"/>
        </w:rPr>
      </w:pPr>
      <w:r>
        <w:rPr>
          <w:spacing w:val="8"/>
          <w:kern w:val="0"/>
          <w:sz w:val="28"/>
          <w:szCs w:val="28"/>
        </w:rPr>
        <w:t>本次修订</w:t>
      </w:r>
      <w:r>
        <w:rPr>
          <w:sz w:val="28"/>
          <w:szCs w:val="28"/>
        </w:rPr>
        <w:t>的主要内容是：</w:t>
      </w:r>
      <w:bookmarkStart w:id="4" w:name="_Hlk128407408"/>
      <w:r>
        <w:rPr>
          <w:rFonts w:hint="eastAsia"/>
          <w:spacing w:val="8"/>
          <w:kern w:val="0"/>
          <w:sz w:val="28"/>
          <w:szCs w:val="28"/>
        </w:rPr>
        <w:t>（1）调整了适用范围，增加既有建筑节能改造设计要求；（</w:t>
      </w:r>
      <w:r>
        <w:rPr>
          <w:spacing w:val="8"/>
          <w:kern w:val="0"/>
          <w:sz w:val="28"/>
          <w:szCs w:val="28"/>
        </w:rPr>
        <w:t>2</w:t>
      </w:r>
      <w:r>
        <w:rPr>
          <w:rFonts w:hint="eastAsia"/>
          <w:spacing w:val="8"/>
          <w:kern w:val="0"/>
          <w:sz w:val="28"/>
          <w:szCs w:val="28"/>
        </w:rPr>
        <w:t>）明确温和地区节能设计要求；</w:t>
      </w:r>
      <w:r>
        <w:rPr>
          <w:spacing w:val="8"/>
          <w:kern w:val="0"/>
          <w:sz w:val="28"/>
          <w:szCs w:val="28"/>
        </w:rPr>
        <w:t>（3）提升</w:t>
      </w:r>
      <w:r>
        <w:rPr>
          <w:rFonts w:hint="eastAsia"/>
          <w:spacing w:val="8"/>
          <w:kern w:val="0"/>
          <w:sz w:val="28"/>
          <w:szCs w:val="28"/>
        </w:rPr>
        <w:t>室内计算温度、</w:t>
      </w:r>
      <w:r>
        <w:rPr>
          <w:spacing w:val="8"/>
          <w:kern w:val="0"/>
          <w:sz w:val="28"/>
          <w:szCs w:val="28"/>
        </w:rPr>
        <w:t>围护结构热工性能、各类用能系统能效等节能设计指标；（4）</w:t>
      </w:r>
      <w:r>
        <w:rPr>
          <w:rFonts w:hint="eastAsia"/>
          <w:spacing w:val="8"/>
          <w:kern w:val="0"/>
          <w:sz w:val="28"/>
          <w:szCs w:val="28"/>
        </w:rPr>
        <w:t>增加电加热供暖、户式燃气炉供暖等</w:t>
      </w:r>
      <w:r>
        <w:rPr>
          <w:spacing w:val="8"/>
          <w:kern w:val="0"/>
          <w:sz w:val="28"/>
          <w:szCs w:val="28"/>
        </w:rPr>
        <w:t>清洁取暖</w:t>
      </w:r>
      <w:r>
        <w:rPr>
          <w:rFonts w:hint="eastAsia"/>
          <w:spacing w:val="8"/>
          <w:kern w:val="0"/>
          <w:sz w:val="28"/>
          <w:szCs w:val="28"/>
        </w:rPr>
        <w:t>设计要求，</w:t>
      </w:r>
      <w:r>
        <w:rPr>
          <w:spacing w:val="8"/>
          <w:kern w:val="0"/>
          <w:sz w:val="28"/>
          <w:szCs w:val="28"/>
        </w:rPr>
        <w:t>完善</w:t>
      </w:r>
      <w:r>
        <w:rPr>
          <w:rFonts w:hint="eastAsia"/>
          <w:spacing w:val="8"/>
          <w:kern w:val="0"/>
          <w:sz w:val="28"/>
          <w:szCs w:val="28"/>
        </w:rPr>
        <w:t>供暖系统</w:t>
      </w:r>
      <w:r>
        <w:rPr>
          <w:spacing w:val="8"/>
          <w:kern w:val="0"/>
          <w:sz w:val="28"/>
          <w:szCs w:val="28"/>
        </w:rPr>
        <w:t>末端</w:t>
      </w:r>
      <w:r>
        <w:rPr>
          <w:rFonts w:hint="eastAsia"/>
          <w:spacing w:val="8"/>
          <w:kern w:val="0"/>
          <w:sz w:val="28"/>
          <w:szCs w:val="28"/>
        </w:rPr>
        <w:t>和计量监测</w:t>
      </w:r>
      <w:r>
        <w:rPr>
          <w:spacing w:val="8"/>
          <w:kern w:val="0"/>
          <w:sz w:val="28"/>
          <w:szCs w:val="28"/>
        </w:rPr>
        <w:t>节能设计要求；</w:t>
      </w:r>
      <w:r>
        <w:rPr>
          <w:rFonts w:hint="eastAsia"/>
          <w:spacing w:val="8"/>
          <w:kern w:val="0"/>
          <w:sz w:val="28"/>
          <w:szCs w:val="28"/>
        </w:rPr>
        <w:t>（5）完善照明节能设计要求，提升照明功率密度限制；</w:t>
      </w:r>
      <w:r>
        <w:rPr>
          <w:spacing w:val="8"/>
          <w:kern w:val="0"/>
          <w:sz w:val="28"/>
          <w:szCs w:val="28"/>
        </w:rPr>
        <w:t>（6）完善可再生能源建筑利用的设计要求</w:t>
      </w:r>
      <w:r>
        <w:rPr>
          <w:rFonts w:hint="eastAsia"/>
          <w:spacing w:val="8"/>
          <w:kern w:val="0"/>
          <w:sz w:val="28"/>
          <w:szCs w:val="28"/>
        </w:rPr>
        <w:t>，增加太阳能光伏发电系统和空气源热泵系统设计要求</w:t>
      </w:r>
      <w:r>
        <w:rPr>
          <w:spacing w:val="8"/>
          <w:kern w:val="0"/>
          <w:sz w:val="28"/>
          <w:szCs w:val="28"/>
        </w:rPr>
        <w:t>及条文说明。</w:t>
      </w:r>
    </w:p>
    <w:p>
      <w:pPr>
        <w:ind w:firstLine="592" w:firstLineChars="200"/>
      </w:pPr>
      <w:r>
        <w:rPr>
          <w:spacing w:val="8"/>
          <w:kern w:val="0"/>
          <w:sz w:val="28"/>
          <w:szCs w:val="28"/>
        </w:rPr>
        <w:t>本规范中下划线表示修改的内容；用黑体字表示的条文为强制性条文，必须严格执行。</w:t>
      </w:r>
    </w:p>
    <w:p>
      <w:pPr>
        <w:ind w:firstLine="627" w:firstLineChars="212"/>
        <w:rPr>
          <w:spacing w:val="8"/>
          <w:kern w:val="0"/>
          <w:sz w:val="28"/>
          <w:szCs w:val="28"/>
        </w:rPr>
      </w:pPr>
      <w:r>
        <w:rPr>
          <w:spacing w:val="8"/>
          <w:kern w:val="0"/>
          <w:sz w:val="28"/>
          <w:szCs w:val="28"/>
        </w:rPr>
        <w:t>本规范由住房和城乡建设部负责管理</w:t>
      </w:r>
      <w:bookmarkEnd w:id="4"/>
      <w:r>
        <w:rPr>
          <w:spacing w:val="8"/>
          <w:kern w:val="0"/>
          <w:sz w:val="28"/>
          <w:szCs w:val="28"/>
        </w:rPr>
        <w:t>和对强制性条文的解释（如有强条），</w:t>
      </w:r>
      <w:r>
        <w:rPr>
          <w:rFonts w:hint="eastAsia"/>
          <w:spacing w:val="8"/>
          <w:kern w:val="0"/>
          <w:sz w:val="28"/>
          <w:szCs w:val="28"/>
        </w:rPr>
        <w:t>由</w:t>
      </w:r>
      <w:r>
        <w:rPr>
          <w:spacing w:val="8"/>
          <w:kern w:val="0"/>
          <w:sz w:val="28"/>
          <w:szCs w:val="28"/>
        </w:rPr>
        <w:t>中国建筑科学研究院有限公司负责具体技术内容的解释。执行过程中如有意见或建议，请寄送至中国建筑科学研究院有限公司（地址：北京市北三环东路30号，邮编：100013）。</w:t>
      </w:r>
    </w:p>
    <w:p>
      <w:pPr>
        <w:widowControl/>
        <w:ind w:firstLine="700" w:firstLineChars="250"/>
        <w:jc w:val="left"/>
        <w:rPr>
          <w:kern w:val="0"/>
          <w:sz w:val="28"/>
          <w:szCs w:val="28"/>
        </w:rPr>
      </w:pPr>
      <w:r>
        <w:rPr>
          <w:rFonts w:hAnsi="宋体"/>
          <w:kern w:val="0"/>
          <w:sz w:val="28"/>
          <w:szCs w:val="28"/>
        </w:rPr>
        <w:t>本次局部修订的主编单位、参编单位、主要起草人和</w:t>
      </w:r>
      <w:r>
        <w:rPr>
          <w:rFonts w:hint="eastAsia" w:hAnsi="宋体"/>
          <w:kern w:val="0"/>
          <w:sz w:val="28"/>
          <w:szCs w:val="28"/>
        </w:rPr>
        <w:t>主要</w:t>
      </w:r>
      <w:r>
        <w:rPr>
          <w:rFonts w:hAnsi="宋体"/>
          <w:kern w:val="0"/>
          <w:sz w:val="28"/>
          <w:szCs w:val="28"/>
        </w:rPr>
        <w:t>审查人：</w:t>
      </w:r>
    </w:p>
    <w:tbl>
      <w:tblPr>
        <w:tblStyle w:val="17"/>
        <w:tblW w:w="4767" w:type="pct"/>
        <w:tblInd w:w="675" w:type="dxa"/>
        <w:tblLayout w:type="fixed"/>
        <w:tblCellMar>
          <w:top w:w="0" w:type="dxa"/>
          <w:left w:w="108" w:type="dxa"/>
          <w:bottom w:w="0" w:type="dxa"/>
          <w:right w:w="108" w:type="dxa"/>
        </w:tblCellMar>
      </w:tblPr>
      <w:tblGrid>
        <w:gridCol w:w="1892"/>
        <w:gridCol w:w="1247"/>
        <w:gridCol w:w="1247"/>
        <w:gridCol w:w="1247"/>
        <w:gridCol w:w="1247"/>
        <w:gridCol w:w="1206"/>
        <w:gridCol w:w="41"/>
      </w:tblGrid>
      <w:tr>
        <w:tblPrEx>
          <w:tblCellMar>
            <w:top w:w="0" w:type="dxa"/>
            <w:left w:w="108" w:type="dxa"/>
            <w:bottom w:w="0" w:type="dxa"/>
            <w:right w:w="108" w:type="dxa"/>
          </w:tblCellMar>
        </w:tblPrEx>
        <w:trPr>
          <w:gridAfter w:val="1"/>
          <w:wAfter w:w="25" w:type="pct"/>
          <w:trHeight w:val="567" w:hRule="exact"/>
        </w:trPr>
        <w:tc>
          <w:tcPr>
            <w:tcW w:w="1164" w:type="pct"/>
            <w:shd w:val="clear" w:color="auto" w:fill="auto"/>
            <w:noWrap/>
            <w:vAlign w:val="bottom"/>
          </w:tcPr>
          <w:p>
            <w:pPr>
              <w:widowControl/>
              <w:rPr>
                <w:b/>
                <w:bCs/>
                <w:kern w:val="0"/>
                <w:sz w:val="28"/>
                <w:szCs w:val="28"/>
              </w:rPr>
            </w:pPr>
            <w:bookmarkStart w:id="5" w:name="_Hlk128407471"/>
            <w:r>
              <w:rPr>
                <w:rFonts w:hAnsi="宋体"/>
                <w:b/>
                <w:bCs/>
                <w:kern w:val="0"/>
                <w:sz w:val="28"/>
                <w:szCs w:val="28"/>
              </w:rPr>
              <w:t>主编单位：</w:t>
            </w:r>
          </w:p>
        </w:tc>
        <w:tc>
          <w:tcPr>
            <w:tcW w:w="3810" w:type="pct"/>
            <w:gridSpan w:val="5"/>
            <w:shd w:val="clear" w:color="auto" w:fill="auto"/>
            <w:noWrap/>
            <w:vAlign w:val="center"/>
          </w:tcPr>
          <w:p>
            <w:pPr>
              <w:widowControl/>
              <w:jc w:val="left"/>
              <w:rPr>
                <w:kern w:val="0"/>
                <w:sz w:val="28"/>
                <w:szCs w:val="28"/>
              </w:rPr>
            </w:pPr>
          </w:p>
        </w:tc>
      </w:tr>
      <w:tr>
        <w:tblPrEx>
          <w:tblCellMar>
            <w:top w:w="0" w:type="dxa"/>
            <w:left w:w="108" w:type="dxa"/>
            <w:bottom w:w="0" w:type="dxa"/>
            <w:right w:w="108" w:type="dxa"/>
          </w:tblCellMar>
        </w:tblPrEx>
        <w:trPr>
          <w:gridAfter w:val="1"/>
          <w:wAfter w:w="25" w:type="pct"/>
          <w:trHeight w:val="567" w:hRule="exact"/>
        </w:trPr>
        <w:tc>
          <w:tcPr>
            <w:tcW w:w="1164" w:type="pct"/>
            <w:shd w:val="clear" w:color="auto" w:fill="auto"/>
            <w:noWrap/>
            <w:vAlign w:val="bottom"/>
          </w:tcPr>
          <w:p>
            <w:pPr>
              <w:widowControl/>
              <w:rPr>
                <w:b/>
                <w:bCs/>
                <w:kern w:val="0"/>
                <w:sz w:val="28"/>
                <w:szCs w:val="28"/>
              </w:rPr>
            </w:pPr>
            <w:r>
              <w:rPr>
                <w:rFonts w:hAnsi="宋体"/>
                <w:b/>
                <w:bCs/>
                <w:kern w:val="0"/>
                <w:sz w:val="28"/>
                <w:szCs w:val="28"/>
              </w:rPr>
              <w:t>参编单位：</w:t>
            </w:r>
          </w:p>
        </w:tc>
        <w:tc>
          <w:tcPr>
            <w:tcW w:w="3810" w:type="pct"/>
            <w:gridSpan w:val="5"/>
            <w:shd w:val="clear" w:color="auto" w:fill="auto"/>
            <w:noWrap/>
          </w:tcPr>
          <w:p>
            <w:pPr>
              <w:widowControl/>
              <w:rPr>
                <w:rFonts w:hAnsi="宋体"/>
                <w:b/>
                <w:bCs/>
                <w:kern w:val="0"/>
                <w:sz w:val="28"/>
                <w:szCs w:val="28"/>
              </w:rPr>
            </w:pPr>
          </w:p>
        </w:tc>
      </w:tr>
      <w:tr>
        <w:tblPrEx>
          <w:tblCellMar>
            <w:top w:w="0" w:type="dxa"/>
            <w:left w:w="108" w:type="dxa"/>
            <w:bottom w:w="0" w:type="dxa"/>
            <w:right w:w="108" w:type="dxa"/>
          </w:tblCellMar>
        </w:tblPrEx>
        <w:trPr>
          <w:gridAfter w:val="1"/>
          <w:wAfter w:w="25" w:type="pct"/>
          <w:trHeight w:val="567" w:hRule="exact"/>
        </w:trPr>
        <w:tc>
          <w:tcPr>
            <w:tcW w:w="1164" w:type="pct"/>
            <w:shd w:val="clear" w:color="auto" w:fill="auto"/>
            <w:noWrap/>
            <w:vAlign w:val="bottom"/>
          </w:tcPr>
          <w:p>
            <w:pPr>
              <w:widowControl/>
              <w:rPr>
                <w:b/>
                <w:kern w:val="0"/>
                <w:sz w:val="28"/>
                <w:szCs w:val="28"/>
              </w:rPr>
            </w:pPr>
            <w:r>
              <w:rPr>
                <w:b/>
                <w:kern w:val="0"/>
                <w:sz w:val="28"/>
                <w:szCs w:val="28"/>
              </w:rPr>
              <w:t>主要起草人：</w:t>
            </w:r>
          </w:p>
        </w:tc>
        <w:tc>
          <w:tcPr>
            <w:tcW w:w="3810" w:type="pct"/>
            <w:gridSpan w:val="5"/>
            <w:shd w:val="clear" w:color="auto" w:fill="auto"/>
            <w:noWrap/>
          </w:tcPr>
          <w:p>
            <w:pPr>
              <w:widowControl/>
              <w:rPr>
                <w:rFonts w:hAnsi="宋体"/>
                <w:b/>
                <w:bCs/>
                <w:kern w:val="0"/>
                <w:sz w:val="28"/>
                <w:szCs w:val="28"/>
              </w:rPr>
            </w:pPr>
          </w:p>
        </w:tc>
      </w:tr>
      <w:tr>
        <w:tblPrEx>
          <w:tblCellMar>
            <w:top w:w="0" w:type="dxa"/>
            <w:left w:w="108" w:type="dxa"/>
            <w:bottom w:w="0" w:type="dxa"/>
            <w:right w:w="108" w:type="dxa"/>
          </w:tblCellMar>
        </w:tblPrEx>
        <w:trPr>
          <w:trHeight w:val="539" w:hRule="exact"/>
        </w:trPr>
        <w:tc>
          <w:tcPr>
            <w:tcW w:w="1164" w:type="pct"/>
            <w:shd w:val="clear" w:color="auto" w:fill="auto"/>
            <w:noWrap/>
            <w:vAlign w:val="center"/>
          </w:tcPr>
          <w:p>
            <w:pPr>
              <w:widowControl/>
              <w:spacing w:line="520" w:lineRule="exact"/>
              <w:rPr>
                <w:b/>
                <w:bCs/>
                <w:kern w:val="0"/>
                <w:sz w:val="28"/>
                <w:szCs w:val="28"/>
              </w:rPr>
            </w:pPr>
            <w:r>
              <w:rPr>
                <w:rFonts w:hAnsi="宋体"/>
                <w:b/>
                <w:bCs/>
                <w:kern w:val="0"/>
                <w:sz w:val="28"/>
                <w:szCs w:val="28"/>
              </w:rPr>
              <w:t>主要审查人：</w:t>
            </w:r>
          </w:p>
        </w:tc>
        <w:tc>
          <w:tcPr>
            <w:tcW w:w="767" w:type="pct"/>
            <w:shd w:val="clear" w:color="auto" w:fill="auto"/>
            <w:noWrap/>
            <w:vAlign w:val="center"/>
          </w:tcPr>
          <w:p>
            <w:pPr>
              <w:widowControl/>
              <w:spacing w:line="520" w:lineRule="exact"/>
              <w:rPr>
                <w:kern w:val="0"/>
                <w:sz w:val="28"/>
                <w:szCs w:val="28"/>
              </w:rPr>
            </w:pPr>
          </w:p>
        </w:tc>
        <w:tc>
          <w:tcPr>
            <w:tcW w:w="767" w:type="pct"/>
            <w:shd w:val="clear" w:color="auto" w:fill="auto"/>
            <w:vAlign w:val="center"/>
          </w:tcPr>
          <w:p>
            <w:pPr>
              <w:spacing w:line="520" w:lineRule="exact"/>
              <w:rPr>
                <w:kern w:val="0"/>
                <w:sz w:val="28"/>
                <w:szCs w:val="28"/>
              </w:rPr>
            </w:pPr>
          </w:p>
        </w:tc>
        <w:tc>
          <w:tcPr>
            <w:tcW w:w="767" w:type="pct"/>
            <w:shd w:val="clear" w:color="auto" w:fill="auto"/>
            <w:vAlign w:val="center"/>
          </w:tcPr>
          <w:p>
            <w:pPr>
              <w:widowControl/>
              <w:rPr>
                <w:rFonts w:hAnsi="宋体"/>
                <w:b/>
                <w:bCs/>
                <w:kern w:val="0"/>
                <w:sz w:val="28"/>
                <w:szCs w:val="28"/>
              </w:rPr>
            </w:pPr>
          </w:p>
        </w:tc>
        <w:tc>
          <w:tcPr>
            <w:tcW w:w="767" w:type="pct"/>
            <w:shd w:val="clear" w:color="auto" w:fill="auto"/>
            <w:vAlign w:val="center"/>
          </w:tcPr>
          <w:p>
            <w:pPr>
              <w:widowControl/>
              <w:rPr>
                <w:rFonts w:hAnsi="宋体"/>
                <w:b/>
                <w:bCs/>
                <w:kern w:val="0"/>
                <w:sz w:val="28"/>
                <w:szCs w:val="28"/>
              </w:rPr>
            </w:pPr>
          </w:p>
        </w:tc>
        <w:tc>
          <w:tcPr>
            <w:tcW w:w="767" w:type="pct"/>
            <w:gridSpan w:val="2"/>
            <w:shd w:val="clear" w:color="auto" w:fill="auto"/>
            <w:vAlign w:val="center"/>
          </w:tcPr>
          <w:p>
            <w:pPr>
              <w:widowControl/>
              <w:rPr>
                <w:rFonts w:hAnsi="宋体"/>
                <w:b/>
                <w:bCs/>
                <w:kern w:val="0"/>
                <w:sz w:val="28"/>
                <w:szCs w:val="28"/>
              </w:rPr>
            </w:pPr>
          </w:p>
        </w:tc>
      </w:tr>
      <w:bookmarkEnd w:id="5"/>
    </w:tbl>
    <w:p>
      <w:pPr>
        <w:sectPr>
          <w:footerReference r:id="rId5" w:type="default"/>
          <w:pgSz w:w="11906" w:h="16838"/>
          <w:pgMar w:top="1440" w:right="1800" w:bottom="1440" w:left="1800" w:header="851" w:footer="992" w:gutter="0"/>
          <w:pgNumType w:start="1"/>
          <w:cols w:space="425" w:num="1"/>
          <w:docGrid w:type="lines" w:linePitch="312" w:charSpace="0"/>
        </w:sectPr>
      </w:pPr>
    </w:p>
    <w:bookmarkEnd w:id="0"/>
    <w:p>
      <w:pPr>
        <w:spacing w:before="156" w:beforeLines="50" w:after="156" w:afterLines="50" w:line="360" w:lineRule="auto"/>
        <w:jc w:val="center"/>
        <w:rPr>
          <w:rFonts w:ascii="宋体" w:hAnsi="宋体"/>
          <w:b/>
          <w:sz w:val="32"/>
          <w:szCs w:val="32"/>
        </w:rPr>
      </w:pPr>
      <w:r>
        <w:rPr>
          <w:rFonts w:ascii="宋体" w:hAnsi="宋体"/>
          <w:b/>
          <w:sz w:val="32"/>
          <w:szCs w:val="32"/>
        </w:rPr>
        <w:t>《</w:t>
      </w:r>
      <w:r>
        <w:rPr>
          <w:rFonts w:hint="eastAsia" w:ascii="宋体" w:hAnsi="宋体"/>
          <w:b/>
          <w:sz w:val="32"/>
          <w:szCs w:val="32"/>
        </w:rPr>
        <w:t>农村居住建筑节能设计标准</w:t>
      </w:r>
      <w:r>
        <w:rPr>
          <w:rFonts w:ascii="宋体" w:hAnsi="宋体"/>
          <w:b/>
          <w:sz w:val="32"/>
          <w:szCs w:val="32"/>
        </w:rPr>
        <w:t>》GB50824—2013</w:t>
      </w:r>
    </w:p>
    <w:p>
      <w:pPr>
        <w:spacing w:before="156" w:beforeLines="50" w:after="156" w:afterLines="50" w:line="360" w:lineRule="auto"/>
        <w:jc w:val="center"/>
        <w:rPr>
          <w:rFonts w:ascii="宋体" w:hAnsi="宋体"/>
          <w:b/>
          <w:sz w:val="32"/>
          <w:szCs w:val="32"/>
        </w:rPr>
      </w:pPr>
      <w:r>
        <w:rPr>
          <w:rFonts w:hint="eastAsia" w:ascii="宋体" w:hAnsi="宋体"/>
          <w:b/>
          <w:sz w:val="32"/>
          <w:szCs w:val="32"/>
        </w:rPr>
        <w:t>修订对照表</w:t>
      </w:r>
    </w:p>
    <w:p>
      <w:pPr>
        <w:spacing w:line="360" w:lineRule="auto"/>
        <w:jc w:val="center"/>
        <w:rPr>
          <w:rFonts w:ascii="楷体" w:hAnsi="楷体" w:eastAsia="楷体"/>
          <w:b/>
          <w:sz w:val="28"/>
        </w:rPr>
      </w:pPr>
      <w:r>
        <w:rPr>
          <w:rFonts w:hint="eastAsia" w:ascii="楷体" w:hAnsi="楷体" w:eastAsia="楷体"/>
          <w:b/>
          <w:sz w:val="28"/>
        </w:rPr>
        <w:t>（方框部分为删除内容，下划线部分为增加内容）</w:t>
      </w:r>
    </w:p>
    <w:tbl>
      <w:tblPr>
        <w:tblStyle w:val="18"/>
        <w:tblW w:w="82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29"/>
        <w:gridCol w:w="4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3529" w:type="dxa"/>
            <w:vAlign w:val="center"/>
          </w:tcPr>
          <w:p>
            <w:pPr>
              <w:spacing w:line="360" w:lineRule="auto"/>
              <w:jc w:val="center"/>
              <w:rPr>
                <w:rFonts w:ascii="黑体" w:hAnsi="黑体" w:eastAsia="黑体"/>
                <w:sz w:val="28"/>
              </w:rPr>
            </w:pPr>
            <w:r>
              <w:rPr>
                <w:rFonts w:hint="eastAsia" w:ascii="黑体" w:hAnsi="黑体" w:eastAsia="黑体"/>
                <w:sz w:val="28"/>
              </w:rPr>
              <w:t>现行《规范》条文</w:t>
            </w:r>
          </w:p>
        </w:tc>
        <w:tc>
          <w:tcPr>
            <w:tcW w:w="4753" w:type="dxa"/>
            <w:vAlign w:val="center"/>
          </w:tcPr>
          <w:p>
            <w:pPr>
              <w:spacing w:line="360" w:lineRule="auto"/>
              <w:jc w:val="center"/>
              <w:rPr>
                <w:rFonts w:ascii="黑体" w:hAnsi="黑体" w:eastAsia="黑体"/>
                <w:sz w:val="28"/>
              </w:rPr>
            </w:pPr>
            <w:r>
              <w:rPr>
                <w:rFonts w:hint="eastAsia" w:ascii="黑体" w:hAnsi="黑体" w:eastAsia="黑体"/>
                <w:sz w:val="28"/>
              </w:rPr>
              <w:t>修订征求意见稿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3529" w:type="dxa"/>
            <w:vAlign w:val="center"/>
          </w:tcPr>
          <w:p>
            <w:pPr>
              <w:spacing w:line="360" w:lineRule="auto"/>
              <w:jc w:val="center"/>
              <w:rPr>
                <w:rFonts w:ascii="宋体" w:hAnsi="宋体"/>
                <w:sz w:val="24"/>
              </w:rPr>
            </w:pPr>
            <w:bookmarkStart w:id="6" w:name="_Hlk128410966"/>
            <w:r>
              <w:rPr>
                <w:rFonts w:ascii="宋体" w:hAnsi="宋体"/>
                <w:sz w:val="24"/>
              </w:rPr>
              <w:t xml:space="preserve">1 </w:t>
            </w:r>
            <w:r>
              <w:rPr>
                <w:rFonts w:hint="eastAsia" w:ascii="宋体" w:hAnsi="宋体"/>
                <w:sz w:val="24"/>
              </w:rPr>
              <w:t>总则</w:t>
            </w:r>
          </w:p>
        </w:tc>
        <w:tc>
          <w:tcPr>
            <w:tcW w:w="4753" w:type="dxa"/>
            <w:vAlign w:val="center"/>
          </w:tcPr>
          <w:p>
            <w:pPr>
              <w:spacing w:line="360" w:lineRule="auto"/>
              <w:jc w:val="center"/>
              <w:rPr>
                <w:rFonts w:ascii="宋体" w:hAnsi="宋体"/>
                <w:sz w:val="24"/>
              </w:rPr>
            </w:pPr>
            <w:r>
              <w:rPr>
                <w:rFonts w:ascii="宋体" w:hAnsi="宋体"/>
                <w:sz w:val="24"/>
              </w:rPr>
              <w:t xml:space="preserve">1 </w:t>
            </w:r>
            <w:r>
              <w:rPr>
                <w:rFonts w:hint="eastAsia" w:ascii="宋体" w:hAnsi="宋体"/>
                <w:sz w:val="24"/>
              </w:rPr>
              <w:t>总则</w:t>
            </w:r>
          </w:p>
        </w:tc>
      </w:tr>
      <w:bookmarkEnd w:id="6"/>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1.0.1</w:t>
            </w:r>
            <w:r>
              <w:rPr>
                <w:rFonts w:ascii="宋体" w:hAnsi="宋体"/>
                <w:sz w:val="24"/>
              </w:rPr>
              <w:t xml:space="preserve">  为贯彻国家有关节约能源、保护环境的法规和政策，改善农村居住建筑室内热环境，提高能源利用效率，制定本标准。</w:t>
            </w:r>
          </w:p>
        </w:tc>
        <w:tc>
          <w:tcPr>
            <w:tcW w:w="4753" w:type="dxa"/>
          </w:tcPr>
          <w:p>
            <w:pPr>
              <w:spacing w:line="360" w:lineRule="auto"/>
              <w:rPr>
                <w:rFonts w:ascii="宋体" w:hAnsi="宋体"/>
                <w:b/>
                <w:color w:val="FF0000"/>
                <w:sz w:val="24"/>
                <w:u w:val="single"/>
              </w:rPr>
            </w:pPr>
            <w:r>
              <w:rPr>
                <w:rFonts w:ascii="宋体" w:hAnsi="宋体"/>
                <w:b/>
                <w:sz w:val="24"/>
              </w:rPr>
              <w:t>1.0.1</w:t>
            </w:r>
            <w:r>
              <w:rPr>
                <w:rFonts w:ascii="宋体" w:hAnsi="宋体"/>
                <w:sz w:val="24"/>
              </w:rPr>
              <w:t xml:space="preserve">  为贯彻国家有关节约能源、保护环境的法规和政策，改善农村居住建筑室内热环境，提高能源利用效率，</w:t>
            </w:r>
            <w:r>
              <w:rPr>
                <w:rFonts w:hint="eastAsia" w:ascii="宋体" w:hAnsi="宋体"/>
                <w:sz w:val="24"/>
                <w:u w:val="single"/>
              </w:rPr>
              <w:t>推动可再生能源利用，</w:t>
            </w:r>
            <w:r>
              <w:rPr>
                <w:rFonts w:ascii="宋体" w:hAnsi="宋体"/>
                <w:sz w:val="24"/>
              </w:rPr>
              <w:t>制定本标准。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1.0.2</w:t>
            </w:r>
            <w:r>
              <w:rPr>
                <w:rFonts w:ascii="宋体" w:hAnsi="宋体"/>
                <w:sz w:val="24"/>
              </w:rPr>
              <w:t xml:space="preserve">  本标准适用于农村新建、</w:t>
            </w:r>
            <w:r>
              <w:rPr>
                <w:rFonts w:ascii="宋体" w:hAnsi="宋体" w:cs="宋体"/>
                <w:sz w:val="24"/>
              </w:rPr>
              <w:t>改</w:t>
            </w:r>
            <w:r>
              <w:rPr>
                <w:rFonts w:ascii="宋体" w:hAnsi="宋体"/>
                <w:sz w:val="24"/>
              </w:rPr>
              <w:t>建和</w:t>
            </w:r>
            <w:r>
              <w:rPr>
                <w:rFonts w:ascii="宋体" w:hAnsi="宋体" w:cs="宋体"/>
                <w:sz w:val="24"/>
              </w:rPr>
              <w:t>扩</w:t>
            </w:r>
            <w:r>
              <w:rPr>
                <w:rFonts w:ascii="宋体" w:hAnsi="宋体"/>
                <w:sz w:val="24"/>
              </w:rPr>
              <w:t>建的居住建筑节能设计。</w:t>
            </w:r>
          </w:p>
        </w:tc>
        <w:tc>
          <w:tcPr>
            <w:tcW w:w="4753" w:type="dxa"/>
          </w:tcPr>
          <w:p>
            <w:pPr>
              <w:spacing w:line="360" w:lineRule="auto"/>
              <w:rPr>
                <w:rFonts w:ascii="宋体" w:hAnsi="宋体"/>
                <w:sz w:val="24"/>
              </w:rPr>
            </w:pPr>
            <w:r>
              <w:rPr>
                <w:rFonts w:ascii="宋体" w:hAnsi="宋体"/>
                <w:sz w:val="24"/>
              </w:rPr>
              <w:t>1.0.2  本标准适用于农村新建、</w:t>
            </w:r>
            <w:r>
              <w:rPr>
                <w:rFonts w:ascii="宋体" w:hAnsi="宋体"/>
                <w:sz w:val="24"/>
                <w:bdr w:val="single" w:color="auto" w:sz="4" w:space="0"/>
              </w:rPr>
              <w:t>改</w:t>
            </w:r>
            <w:r>
              <w:rPr>
                <w:rFonts w:ascii="宋体" w:hAnsi="宋体"/>
                <w:sz w:val="24"/>
                <w:u w:val="single"/>
              </w:rPr>
              <w:t>扩</w:t>
            </w:r>
            <w:r>
              <w:rPr>
                <w:rFonts w:ascii="宋体" w:hAnsi="宋体"/>
                <w:sz w:val="24"/>
              </w:rPr>
              <w:t>建和</w:t>
            </w:r>
            <w:r>
              <w:rPr>
                <w:rFonts w:ascii="宋体" w:hAnsi="宋体"/>
                <w:sz w:val="24"/>
                <w:bdr w:val="single" w:color="auto" w:sz="4" w:space="0"/>
              </w:rPr>
              <w:t>扩</w:t>
            </w:r>
            <w:r>
              <w:rPr>
                <w:rFonts w:hint="eastAsia" w:ascii="宋体" w:hAnsi="宋体"/>
                <w:sz w:val="24"/>
                <w:u w:val="single"/>
              </w:rPr>
              <w:t>改</w:t>
            </w:r>
            <w:r>
              <w:rPr>
                <w:rFonts w:ascii="宋体" w:hAnsi="宋体"/>
                <w:sz w:val="24"/>
              </w:rPr>
              <w:t>建的居住建筑节能设计</w:t>
            </w:r>
            <w:r>
              <w:rPr>
                <w:rFonts w:hint="eastAsia" w:ascii="宋体" w:hAnsi="宋体"/>
                <w:sz w:val="24"/>
                <w:u w:val="single"/>
              </w:rPr>
              <w:t>和既有建筑节能改造设计</w:t>
            </w:r>
            <w:r>
              <w:rPr>
                <w:rFonts w:ascii="宋体" w:hAnsi="宋体"/>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b/>
                <w:sz w:val="24"/>
              </w:rPr>
            </w:pPr>
            <w:r>
              <w:rPr>
                <w:rFonts w:hint="eastAsia" w:ascii="宋体" w:hAnsi="宋体"/>
                <w:b/>
                <w:sz w:val="24"/>
              </w:rPr>
              <w:t xml:space="preserve">1.0.3  </w:t>
            </w:r>
            <w:r>
              <w:rPr>
                <w:rFonts w:hint="eastAsia" w:ascii="宋体" w:hAnsi="宋体"/>
                <w:bCs/>
                <w:sz w:val="24"/>
              </w:rPr>
              <w:t>农村居住建筑的节能设计应结合气候条件、农村地区特有的生活模式、经济条件，采用适宜的建筑形式、节能技术措施以及能源利用方式，有效改善室内居住环境，降低常规能源消耗及温室气体的排放。</w:t>
            </w:r>
          </w:p>
        </w:tc>
        <w:tc>
          <w:tcPr>
            <w:tcW w:w="4753" w:type="dxa"/>
          </w:tcPr>
          <w:p>
            <w:pPr>
              <w:spacing w:line="360" w:lineRule="auto"/>
              <w:rPr>
                <w:rFonts w:ascii="宋体" w:hAnsi="宋体"/>
                <w:b/>
                <w:sz w:val="24"/>
              </w:rPr>
            </w:pPr>
            <w:r>
              <w:rPr>
                <w:rFonts w:hint="eastAsia" w:ascii="宋体" w:hAnsi="宋体"/>
                <w:b/>
                <w:sz w:val="24"/>
              </w:rPr>
              <w:t xml:space="preserve">1.0.3  </w:t>
            </w:r>
            <w:r>
              <w:rPr>
                <w:rFonts w:hint="eastAsia" w:ascii="宋体" w:hAnsi="宋体"/>
                <w:bCs/>
                <w:sz w:val="24"/>
              </w:rPr>
              <w:t>农村居住建筑的节能设计应结合气候条件、农村地区特有的生活模式、经济条件，采用适宜的建筑形式、节能技术措施以及能源利用方式，有效改善室内居住环境，降低常规能源消耗及温室气体的排放。</w:t>
            </w:r>
            <w:r>
              <w:rPr>
                <w:rFonts w:hint="eastAsia" w:ascii="宋体" w:hAnsi="宋体"/>
                <w:bCs/>
                <w:sz w:val="24"/>
                <w:u w:val="single"/>
              </w:rPr>
              <w:t>当进行节能改造设计时，还应考虑建筑结构安全、改造成本和运行费用。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3529" w:type="dxa"/>
            <w:vAlign w:val="center"/>
          </w:tcPr>
          <w:p>
            <w:pPr>
              <w:spacing w:line="360" w:lineRule="auto"/>
              <w:jc w:val="center"/>
              <w:rPr>
                <w:rFonts w:ascii="宋体" w:hAnsi="宋体"/>
                <w:sz w:val="24"/>
              </w:rPr>
            </w:pPr>
            <w:bookmarkStart w:id="7" w:name="_Hlk128411155"/>
            <w:r>
              <w:rPr>
                <w:rFonts w:ascii="宋体" w:hAnsi="宋体"/>
                <w:sz w:val="24"/>
              </w:rPr>
              <w:t xml:space="preserve">2 </w:t>
            </w:r>
            <w:r>
              <w:rPr>
                <w:rFonts w:hint="eastAsia" w:ascii="宋体" w:hAnsi="宋体"/>
                <w:sz w:val="24"/>
              </w:rPr>
              <w:t>术语</w:t>
            </w:r>
          </w:p>
        </w:tc>
        <w:tc>
          <w:tcPr>
            <w:tcW w:w="4753" w:type="dxa"/>
            <w:vAlign w:val="center"/>
          </w:tcPr>
          <w:p>
            <w:pPr>
              <w:spacing w:line="360" w:lineRule="auto"/>
              <w:jc w:val="center"/>
              <w:rPr>
                <w:rFonts w:ascii="宋体" w:hAnsi="宋体"/>
                <w:sz w:val="24"/>
              </w:rPr>
            </w:pPr>
            <w:r>
              <w:rPr>
                <w:rFonts w:ascii="宋体" w:hAnsi="宋体"/>
                <w:sz w:val="24"/>
              </w:rPr>
              <w:t xml:space="preserve">2 </w:t>
            </w:r>
            <w:r>
              <w:rPr>
                <w:rFonts w:hint="eastAsia" w:ascii="宋体" w:hAnsi="宋体"/>
                <w:sz w:val="24"/>
              </w:rPr>
              <w:t>术语</w:t>
            </w:r>
          </w:p>
        </w:tc>
      </w:tr>
      <w:bookmarkEnd w:id="7"/>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sz w:val="24"/>
              </w:rPr>
            </w:pPr>
            <w:r>
              <w:rPr>
                <w:b/>
                <w:sz w:val="24"/>
              </w:rPr>
              <w:t xml:space="preserve">2.0.1  </w:t>
            </w:r>
            <w:r>
              <w:rPr>
                <w:sz w:val="24"/>
              </w:rPr>
              <w:t>围护结构 building envelope</w:t>
            </w:r>
          </w:p>
          <w:p>
            <w:pPr>
              <w:spacing w:line="360" w:lineRule="auto"/>
              <w:ind w:firstLine="480" w:firstLineChars="200"/>
              <w:rPr>
                <w:szCs w:val="21"/>
              </w:rPr>
            </w:pPr>
            <w:r>
              <w:rPr>
                <w:sz w:val="24"/>
              </w:rPr>
              <w:t>指建筑各面的围挡物，包括墙体、屋顶、门窗、地面等。</w:t>
            </w:r>
          </w:p>
        </w:tc>
        <w:tc>
          <w:tcPr>
            <w:tcW w:w="4753" w:type="dxa"/>
          </w:tcPr>
          <w:p>
            <w:pPr>
              <w:spacing w:line="360" w:lineRule="auto"/>
              <w:rPr>
                <w:sz w:val="24"/>
              </w:rPr>
            </w:pPr>
            <w:r>
              <w:rPr>
                <w:b/>
                <w:sz w:val="24"/>
              </w:rPr>
              <w:t xml:space="preserve">2.0.1  </w:t>
            </w:r>
            <w:r>
              <w:rPr>
                <w:sz w:val="24"/>
              </w:rPr>
              <w:t>围护结构 building envelope</w:t>
            </w:r>
          </w:p>
          <w:p>
            <w:pPr>
              <w:spacing w:line="360" w:lineRule="auto"/>
              <w:ind w:firstLine="480" w:firstLineChars="200"/>
              <w:rPr>
                <w:sz w:val="24"/>
              </w:rPr>
            </w:pPr>
            <w:r>
              <w:rPr>
                <w:sz w:val="24"/>
              </w:rPr>
              <w:t>指建筑</w:t>
            </w:r>
            <w:r>
              <w:rPr>
                <w:rFonts w:hint="eastAsia"/>
                <w:sz w:val="24"/>
                <w:u w:val="single"/>
              </w:rPr>
              <w:t>物及房间</w:t>
            </w:r>
            <w:r>
              <w:rPr>
                <w:sz w:val="24"/>
              </w:rPr>
              <w:t>各面的围挡物，包括墙体、屋顶、门窗、地面等。</w:t>
            </w:r>
          </w:p>
          <w:p>
            <w:pPr>
              <w:spacing w:line="360" w:lineRule="auto"/>
              <w:ind w:firstLine="480" w:firstLineChars="200"/>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b/>
                <w:sz w:val="24"/>
              </w:rPr>
            </w:pPr>
          </w:p>
        </w:tc>
        <w:tc>
          <w:tcPr>
            <w:tcW w:w="4753" w:type="dxa"/>
          </w:tcPr>
          <w:p>
            <w:pPr>
              <w:spacing w:line="360" w:lineRule="auto"/>
              <w:rPr>
                <w:bCs/>
                <w:sz w:val="24"/>
                <w:u w:val="single"/>
              </w:rPr>
            </w:pPr>
            <w:r>
              <w:rPr>
                <w:rFonts w:hint="eastAsia"/>
                <w:bCs/>
                <w:sz w:val="24"/>
                <w:u w:val="single"/>
              </w:rPr>
              <w:t>2.0.8A  太阳得热系数（SHGC） solar heat gain coefficient</w:t>
            </w:r>
          </w:p>
          <w:p>
            <w:pPr>
              <w:spacing w:line="360" w:lineRule="auto"/>
              <w:ind w:firstLine="480" w:firstLineChars="200"/>
              <w:rPr>
                <w:bCs/>
                <w:sz w:val="24"/>
              </w:rPr>
            </w:pPr>
            <w:r>
              <w:rPr>
                <w:rFonts w:hint="eastAsia"/>
                <w:bCs/>
                <w:sz w:val="24"/>
                <w:u w:val="single"/>
              </w:rPr>
              <w:t>通过透光围护结构（门窗）的太阳辐射室内得热量与投射到透光围护结构（门窗）外表面上的太阳辐射量的比值。太阳辐射室内得热量包括太阳辐射通过辐射透射的得热量和太阳辐射被构件吸收再传入室内的得热量两部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3529" w:type="dxa"/>
            <w:vAlign w:val="center"/>
          </w:tcPr>
          <w:p>
            <w:pPr>
              <w:spacing w:line="360" w:lineRule="auto"/>
              <w:jc w:val="center"/>
              <w:rPr>
                <w:rFonts w:ascii="宋体" w:hAnsi="宋体"/>
                <w:b/>
                <w:bCs/>
                <w:sz w:val="24"/>
              </w:rPr>
            </w:pPr>
            <w:r>
              <w:rPr>
                <w:rFonts w:ascii="宋体" w:hAnsi="宋体"/>
                <w:b/>
                <w:bCs/>
                <w:sz w:val="24"/>
              </w:rPr>
              <w:t xml:space="preserve">3 </w:t>
            </w:r>
            <w:r>
              <w:rPr>
                <w:rFonts w:hint="eastAsia" w:ascii="宋体" w:hAnsi="宋体"/>
                <w:b/>
                <w:bCs/>
                <w:sz w:val="24"/>
              </w:rPr>
              <w:t>基本规定</w:t>
            </w:r>
          </w:p>
        </w:tc>
        <w:tc>
          <w:tcPr>
            <w:tcW w:w="4753" w:type="dxa"/>
            <w:vAlign w:val="center"/>
          </w:tcPr>
          <w:p>
            <w:pPr>
              <w:spacing w:line="360" w:lineRule="auto"/>
              <w:jc w:val="center"/>
              <w:rPr>
                <w:rFonts w:ascii="宋体" w:hAnsi="宋体"/>
                <w:b/>
                <w:bCs/>
                <w:sz w:val="24"/>
              </w:rPr>
            </w:pPr>
            <w:r>
              <w:rPr>
                <w:rFonts w:ascii="宋体" w:hAnsi="宋体"/>
                <w:b/>
                <w:bCs/>
                <w:sz w:val="24"/>
              </w:rPr>
              <w:t xml:space="preserve">3 </w:t>
            </w:r>
            <w:r>
              <w:rPr>
                <w:rFonts w:hint="eastAsia" w:ascii="宋体" w:hAnsi="宋体"/>
                <w:b/>
                <w:bCs/>
                <w:sz w:val="24"/>
              </w:rPr>
              <w:t>基本规定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3529" w:type="dxa"/>
            <w:vAlign w:val="center"/>
          </w:tcPr>
          <w:p>
            <w:pPr>
              <w:spacing w:line="360" w:lineRule="auto"/>
              <w:jc w:val="left"/>
              <w:rPr>
                <w:sz w:val="24"/>
              </w:rPr>
            </w:pPr>
            <w:r>
              <w:rPr>
                <w:b/>
                <w:sz w:val="24"/>
              </w:rPr>
              <w:t xml:space="preserve">3.0.1  </w:t>
            </w:r>
            <w:r>
              <w:rPr>
                <w:sz w:val="24"/>
              </w:rPr>
              <w:t>农村居住建筑节能设计应与地区气候相适应，农村地区建筑节能气候分区应符合表3.0.1的规定。</w:t>
            </w:r>
          </w:p>
          <w:p>
            <w:pPr>
              <w:spacing w:line="360" w:lineRule="auto"/>
              <w:jc w:val="center"/>
              <w:rPr>
                <w:rFonts w:ascii="宋体" w:hAnsi="宋体"/>
                <w:b/>
                <w:color w:val="000000"/>
                <w:sz w:val="24"/>
              </w:rPr>
            </w:pPr>
            <w:r>
              <w:rPr>
                <w:rFonts w:ascii="宋体" w:hAnsi="宋体"/>
                <w:b/>
                <w:color w:val="000000"/>
                <w:sz w:val="24"/>
              </w:rPr>
              <w:t>表3.0.1</w:t>
            </w:r>
            <w:r>
              <w:rPr>
                <w:rFonts w:hint="eastAsia" w:ascii="宋体" w:hAnsi="宋体"/>
                <w:b/>
                <w:color w:val="000000"/>
                <w:sz w:val="24"/>
              </w:rPr>
              <w:t xml:space="preserve"> </w:t>
            </w:r>
            <w:r>
              <w:rPr>
                <w:rFonts w:ascii="宋体" w:hAnsi="宋体"/>
                <w:b/>
                <w:color w:val="000000"/>
                <w:sz w:val="24"/>
              </w:rPr>
              <w:t xml:space="preserve"> </w:t>
            </w:r>
            <w:r>
              <w:rPr>
                <w:rFonts w:hint="eastAsia" w:ascii="宋体" w:hAnsi="宋体"/>
                <w:b/>
                <w:color w:val="000000"/>
                <w:sz w:val="24"/>
              </w:rPr>
              <w:t>农村地区</w:t>
            </w:r>
            <w:r>
              <w:rPr>
                <w:rFonts w:ascii="宋体" w:hAnsi="宋体"/>
                <w:b/>
                <w:color w:val="000000"/>
                <w:sz w:val="24"/>
              </w:rPr>
              <w:t>建筑</w:t>
            </w:r>
            <w:r>
              <w:rPr>
                <w:rFonts w:hint="eastAsia" w:ascii="宋体" w:hAnsi="宋体"/>
                <w:b/>
                <w:color w:val="000000"/>
                <w:sz w:val="24"/>
              </w:rPr>
              <w:t>节能设计</w:t>
            </w:r>
            <w:r>
              <w:rPr>
                <w:rFonts w:ascii="宋体" w:hAnsi="宋体"/>
                <w:b/>
                <w:color w:val="000000"/>
                <w:sz w:val="24"/>
              </w:rPr>
              <w:t>气候分区</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259"/>
              <w:gridCol w:w="328"/>
              <w:gridCol w:w="601"/>
              <w:gridCol w:w="209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395" w:type="pct"/>
                  <w:vAlign w:val="center"/>
                </w:tcPr>
                <w:p>
                  <w:pPr>
                    <w:jc w:val="center"/>
                    <w:rPr>
                      <w:rFonts w:ascii="宋体" w:hAnsi="宋体"/>
                      <w:color w:val="000000"/>
                      <w:szCs w:val="21"/>
                    </w:rPr>
                  </w:pPr>
                  <w:r>
                    <w:rPr>
                      <w:rFonts w:ascii="宋体" w:hAnsi="宋体"/>
                      <w:color w:val="000000"/>
                      <w:szCs w:val="21"/>
                    </w:rPr>
                    <w:t>分区名称</w:t>
                  </w:r>
                </w:p>
              </w:tc>
              <w:tc>
                <w:tcPr>
                  <w:tcW w:w="500" w:type="pct"/>
                  <w:vAlign w:val="center"/>
                </w:tcPr>
                <w:p>
                  <w:pPr>
                    <w:jc w:val="center"/>
                    <w:rPr>
                      <w:rFonts w:ascii="宋体" w:hAnsi="宋体"/>
                      <w:color w:val="000000"/>
                      <w:szCs w:val="21"/>
                    </w:rPr>
                  </w:pPr>
                  <w:r>
                    <w:rPr>
                      <w:rFonts w:ascii="宋体" w:hAnsi="宋体"/>
                      <w:color w:val="000000"/>
                      <w:szCs w:val="21"/>
                    </w:rPr>
                    <w:t>热工分区名称</w:t>
                  </w:r>
                </w:p>
              </w:tc>
              <w:tc>
                <w:tcPr>
                  <w:tcW w:w="915" w:type="pct"/>
                  <w:vAlign w:val="center"/>
                </w:tcPr>
                <w:p>
                  <w:pPr>
                    <w:jc w:val="center"/>
                    <w:rPr>
                      <w:rFonts w:ascii="宋体" w:hAnsi="宋体"/>
                      <w:color w:val="000000"/>
                      <w:szCs w:val="21"/>
                    </w:rPr>
                  </w:pPr>
                  <w:r>
                    <w:rPr>
                      <w:rFonts w:ascii="宋体" w:hAnsi="宋体"/>
                      <w:color w:val="000000"/>
                      <w:szCs w:val="21"/>
                    </w:rPr>
                    <w:t>气候</w:t>
                  </w:r>
                  <w:r>
                    <w:rPr>
                      <w:rFonts w:hint="eastAsia" w:ascii="宋体" w:hAnsi="宋体"/>
                      <w:color w:val="000000"/>
                      <w:szCs w:val="21"/>
                    </w:rPr>
                    <w:t>区划</w:t>
                  </w:r>
                  <w:r>
                    <w:rPr>
                      <w:rFonts w:ascii="宋体" w:hAnsi="宋体"/>
                      <w:color w:val="000000"/>
                      <w:szCs w:val="21"/>
                    </w:rPr>
                    <w:t>主要</w:t>
                  </w:r>
                </w:p>
                <w:p>
                  <w:pPr>
                    <w:jc w:val="center"/>
                    <w:rPr>
                      <w:rFonts w:ascii="宋体" w:hAnsi="宋体"/>
                      <w:color w:val="000000"/>
                      <w:szCs w:val="21"/>
                    </w:rPr>
                  </w:pPr>
                  <w:r>
                    <w:rPr>
                      <w:rFonts w:ascii="宋体" w:hAnsi="宋体"/>
                      <w:color w:val="000000"/>
                      <w:szCs w:val="21"/>
                    </w:rPr>
                    <w:t>指标</w:t>
                  </w:r>
                </w:p>
              </w:tc>
              <w:tc>
                <w:tcPr>
                  <w:tcW w:w="3190" w:type="pct"/>
                  <w:vAlign w:val="center"/>
                </w:tcPr>
                <w:p>
                  <w:pPr>
                    <w:jc w:val="center"/>
                    <w:rPr>
                      <w:rFonts w:ascii="宋体" w:hAnsi="宋体"/>
                      <w:color w:val="000000"/>
                      <w:szCs w:val="21"/>
                    </w:rPr>
                  </w:pPr>
                  <w:r>
                    <w:rPr>
                      <w:rFonts w:ascii="宋体" w:hAnsi="宋体"/>
                      <w:color w:val="000000"/>
                      <w:szCs w:val="21"/>
                    </w:rPr>
                    <w:t>代表性地区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494" w:hRule="atLeast"/>
              </w:trPr>
              <w:tc>
                <w:tcPr>
                  <w:tcW w:w="395" w:type="pct"/>
                  <w:vAlign w:val="center"/>
                </w:tcPr>
                <w:p>
                  <w:pPr>
                    <w:jc w:val="center"/>
                    <w:rPr>
                      <w:rFonts w:ascii="宋体" w:hAnsi="宋体"/>
                      <w:color w:val="000000"/>
                      <w:szCs w:val="21"/>
                    </w:rPr>
                  </w:pPr>
                  <w:r>
                    <w:rPr>
                      <w:rFonts w:ascii="宋体" w:hAnsi="宋体"/>
                      <w:color w:val="000000"/>
                      <w:szCs w:val="21"/>
                    </w:rPr>
                    <w:t>Ⅰ</w:t>
                  </w:r>
                </w:p>
              </w:tc>
              <w:tc>
                <w:tcPr>
                  <w:tcW w:w="500" w:type="pct"/>
                  <w:vAlign w:val="center"/>
                </w:tcPr>
                <w:p>
                  <w:pPr>
                    <w:jc w:val="center"/>
                    <w:rPr>
                      <w:rFonts w:ascii="宋体" w:hAnsi="宋体"/>
                      <w:color w:val="000000"/>
                      <w:szCs w:val="21"/>
                    </w:rPr>
                  </w:pPr>
                  <w:r>
                    <w:rPr>
                      <w:rFonts w:hint="eastAsia" w:ascii="宋体" w:hAnsi="宋体"/>
                      <w:color w:val="000000"/>
                      <w:szCs w:val="21"/>
                    </w:rPr>
                    <w:t>严寒</w:t>
                  </w:r>
                </w:p>
                <w:p>
                  <w:pPr>
                    <w:jc w:val="center"/>
                    <w:rPr>
                      <w:rFonts w:ascii="宋体" w:hAnsi="宋体"/>
                      <w:color w:val="000000"/>
                      <w:szCs w:val="21"/>
                    </w:rPr>
                  </w:pPr>
                  <w:r>
                    <w:rPr>
                      <w:rFonts w:hint="eastAsia" w:ascii="宋体" w:hAnsi="宋体"/>
                      <w:color w:val="000000"/>
                      <w:szCs w:val="21"/>
                    </w:rPr>
                    <w:t>地区</w:t>
                  </w:r>
                </w:p>
              </w:tc>
              <w:tc>
                <w:tcPr>
                  <w:tcW w:w="915" w:type="pct"/>
                  <w:vAlign w:val="center"/>
                </w:tcPr>
                <w:p>
                  <w:pPr>
                    <w:jc w:val="center"/>
                    <w:rPr>
                      <w:rFonts w:ascii="宋体" w:hAnsi="宋体"/>
                      <w:color w:val="000000"/>
                      <w:szCs w:val="21"/>
                    </w:rPr>
                  </w:pPr>
                  <w:r>
                    <w:rPr>
                      <w:rFonts w:ascii="宋体" w:hAnsi="宋体"/>
                      <w:color w:val="000000"/>
                      <w:szCs w:val="21"/>
                    </w:rPr>
                    <w:t>1月平均气温≤-1</w:t>
                  </w:r>
                  <w:r>
                    <w:rPr>
                      <w:rFonts w:hint="eastAsia" w:ascii="宋体" w:hAnsi="宋体"/>
                      <w:color w:val="000000"/>
                      <w:szCs w:val="21"/>
                    </w:rPr>
                    <w:t>1</w:t>
                  </w:r>
                  <w:r>
                    <w:rPr>
                      <w:rFonts w:ascii="宋体" w:hAnsi="宋体"/>
                      <w:color w:val="000000"/>
                      <w:szCs w:val="21"/>
                    </w:rPr>
                    <w:t>℃</w:t>
                  </w:r>
                </w:p>
                <w:p>
                  <w:pPr>
                    <w:jc w:val="center"/>
                    <w:rPr>
                      <w:rFonts w:ascii="宋体" w:hAnsi="宋体"/>
                      <w:color w:val="000000"/>
                      <w:szCs w:val="21"/>
                    </w:rPr>
                  </w:pPr>
                  <w:r>
                    <w:rPr>
                      <w:rFonts w:ascii="宋体" w:hAnsi="宋体"/>
                      <w:color w:val="000000"/>
                      <w:szCs w:val="21"/>
                    </w:rPr>
                    <w:t>7月平均气温≤25℃</w:t>
                  </w:r>
                </w:p>
              </w:tc>
              <w:tc>
                <w:tcPr>
                  <w:tcW w:w="3190" w:type="pct"/>
                  <w:vAlign w:val="center"/>
                </w:tcPr>
                <w:p>
                  <w:pPr>
                    <w:rPr>
                      <w:rFonts w:ascii="宋体" w:hAnsi="宋体"/>
                      <w:color w:val="000000"/>
                      <w:szCs w:val="21"/>
                    </w:rPr>
                  </w:pPr>
                  <w:r>
                    <w:rPr>
                      <w:rFonts w:ascii="宋体" w:hAnsi="宋体"/>
                      <w:color w:val="000000"/>
                      <w:szCs w:val="21"/>
                    </w:rPr>
                    <w:t>漠河</w:t>
                  </w:r>
                  <w:r>
                    <w:rPr>
                      <w:rFonts w:hint="eastAsia" w:ascii="宋体" w:hAnsi="宋体"/>
                      <w:color w:val="000000"/>
                      <w:szCs w:val="21"/>
                    </w:rPr>
                    <w:t>、图里河、</w:t>
                  </w:r>
                  <w:r>
                    <w:rPr>
                      <w:rFonts w:ascii="宋体" w:hAnsi="宋体"/>
                      <w:color w:val="000000"/>
                      <w:szCs w:val="21"/>
                    </w:rPr>
                    <w:t>黑河</w:t>
                  </w:r>
                  <w:r>
                    <w:rPr>
                      <w:rFonts w:hint="eastAsia" w:ascii="宋体" w:hAnsi="宋体"/>
                      <w:color w:val="000000"/>
                      <w:szCs w:val="21"/>
                    </w:rPr>
                    <w:t>、</w:t>
                  </w:r>
                  <w:r>
                    <w:rPr>
                      <w:rFonts w:ascii="宋体" w:hAnsi="宋体"/>
                      <w:color w:val="000000"/>
                      <w:szCs w:val="21"/>
                    </w:rPr>
                    <w:t>嫩江</w:t>
                  </w:r>
                  <w:r>
                    <w:rPr>
                      <w:rFonts w:hint="eastAsia" w:ascii="宋体" w:hAnsi="宋体"/>
                      <w:color w:val="000000"/>
                      <w:szCs w:val="21"/>
                    </w:rPr>
                    <w:t>、</w:t>
                  </w:r>
                  <w:r>
                    <w:rPr>
                      <w:rFonts w:ascii="宋体" w:hAnsi="宋体"/>
                      <w:color w:val="000000"/>
                      <w:szCs w:val="21"/>
                    </w:rPr>
                    <w:t>海拉尔、博克图、</w:t>
                  </w:r>
                  <w:r>
                    <w:rPr>
                      <w:rFonts w:hint="eastAsia" w:ascii="宋体" w:hAnsi="宋体"/>
                      <w:color w:val="000000"/>
                      <w:szCs w:val="21"/>
                    </w:rPr>
                    <w:t>新巴尔虎右旗、呼玛、伊春、阿尔山、狮泉河、改则、班戈、那曲、申扎、刚察、玛多、曲麻菜、杂多、达日、托托河、</w:t>
                  </w:r>
                  <w:r>
                    <w:rPr>
                      <w:rFonts w:ascii="宋体" w:hAnsi="宋体"/>
                      <w:color w:val="000000"/>
                      <w:szCs w:val="21"/>
                    </w:rPr>
                    <w:t>东乌珠穆沁旗</w:t>
                  </w:r>
                  <w:r>
                    <w:rPr>
                      <w:rFonts w:hint="eastAsia" w:ascii="宋体" w:hAnsi="宋体"/>
                      <w:color w:val="000000"/>
                      <w:szCs w:val="21"/>
                    </w:rPr>
                    <w:t>、</w:t>
                  </w:r>
                  <w:r>
                    <w:rPr>
                      <w:rFonts w:ascii="宋体" w:hAnsi="宋体"/>
                      <w:color w:val="000000"/>
                      <w:szCs w:val="21"/>
                    </w:rPr>
                    <w:t>哈尔滨、</w:t>
                  </w:r>
                  <w:r>
                    <w:rPr>
                      <w:rFonts w:hint="eastAsia" w:ascii="宋体" w:hAnsi="宋体"/>
                      <w:color w:val="000000"/>
                      <w:szCs w:val="21"/>
                    </w:rPr>
                    <w:t>通河、尚志、牡丹江、泰来、安达、宝清、富锦、海伦、敦化、</w:t>
                  </w:r>
                  <w:r>
                    <w:rPr>
                      <w:rFonts w:ascii="宋体" w:hAnsi="宋体"/>
                      <w:color w:val="000000"/>
                      <w:szCs w:val="21"/>
                    </w:rPr>
                    <w:t>齐齐哈尔、虎林、鸡西、绥芬河、桦甸、锡林浩特、二连浩特、多伦</w:t>
                  </w:r>
                  <w:r>
                    <w:rPr>
                      <w:rFonts w:hint="eastAsia" w:ascii="宋体" w:hAnsi="宋体"/>
                      <w:color w:val="000000"/>
                      <w:szCs w:val="21"/>
                    </w:rPr>
                    <w:t>、</w:t>
                  </w:r>
                  <w:r>
                    <w:rPr>
                      <w:rFonts w:ascii="宋体" w:hAnsi="宋体"/>
                      <w:color w:val="000000"/>
                      <w:szCs w:val="21"/>
                    </w:rPr>
                    <w:t>富蕴、阿勒泰</w:t>
                  </w:r>
                  <w:r>
                    <w:rPr>
                      <w:rFonts w:hint="eastAsia" w:ascii="宋体" w:hAnsi="宋体"/>
                      <w:color w:val="000000"/>
                      <w:szCs w:val="21"/>
                    </w:rPr>
                    <w:t>、丁青、索县、</w:t>
                  </w:r>
                  <w:r>
                    <w:rPr>
                      <w:rFonts w:ascii="宋体" w:hAnsi="宋体"/>
                      <w:color w:val="000000"/>
                      <w:szCs w:val="21"/>
                    </w:rPr>
                    <w:t>冷湖</w:t>
                  </w:r>
                  <w:r>
                    <w:rPr>
                      <w:rFonts w:hint="eastAsia" w:ascii="宋体" w:hAnsi="宋体"/>
                      <w:color w:val="000000"/>
                      <w:szCs w:val="21"/>
                    </w:rPr>
                    <w:t>、</w:t>
                  </w:r>
                  <w:r>
                    <w:rPr>
                      <w:rFonts w:ascii="宋体" w:hAnsi="宋体"/>
                      <w:color w:val="000000"/>
                      <w:szCs w:val="21"/>
                    </w:rPr>
                    <w:t>都兰、同德</w:t>
                  </w:r>
                  <w:r>
                    <w:rPr>
                      <w:rFonts w:hint="eastAsia" w:ascii="宋体" w:hAnsi="宋体"/>
                      <w:color w:val="000000"/>
                      <w:szCs w:val="21"/>
                    </w:rPr>
                    <w:t>、玉树、大柴旦、</w:t>
                  </w:r>
                  <w:r>
                    <w:rPr>
                      <w:rFonts w:ascii="宋体" w:hAnsi="宋体"/>
                      <w:color w:val="000000"/>
                      <w:szCs w:val="21"/>
                    </w:rPr>
                    <w:t>若尔盖</w:t>
                  </w:r>
                  <w:r>
                    <w:rPr>
                      <w:rFonts w:hint="eastAsia" w:ascii="宋体" w:hAnsi="宋体"/>
                      <w:color w:val="000000"/>
                      <w:szCs w:val="21"/>
                    </w:rPr>
                    <w:t>、蔚县、长春、</w:t>
                  </w:r>
                  <w:r>
                    <w:rPr>
                      <w:rFonts w:ascii="宋体" w:hAnsi="宋体"/>
                      <w:color w:val="000000"/>
                      <w:szCs w:val="21"/>
                    </w:rPr>
                    <w:t>四平、沈阳、呼和浩特、赤峰、</w:t>
                  </w:r>
                  <w:r>
                    <w:rPr>
                      <w:rFonts w:hint="eastAsia" w:ascii="宋体" w:hAnsi="宋体"/>
                      <w:color w:val="000000"/>
                      <w:szCs w:val="21"/>
                    </w:rPr>
                    <w:t>达尔罕联合旗、集安、临江、长岭、前郭尔罗斯、延吉、</w:t>
                  </w:r>
                  <w:r>
                    <w:rPr>
                      <w:rFonts w:ascii="宋体" w:hAnsi="宋体"/>
                      <w:color w:val="000000"/>
                      <w:szCs w:val="21"/>
                    </w:rPr>
                    <w:t>大同、额济纳旗、张掖</w:t>
                  </w:r>
                  <w:r>
                    <w:rPr>
                      <w:rFonts w:hint="eastAsia" w:ascii="宋体" w:hAnsi="宋体"/>
                      <w:color w:val="000000"/>
                      <w:szCs w:val="21"/>
                    </w:rPr>
                    <w:t>、</w:t>
                  </w:r>
                  <w:r>
                    <w:rPr>
                      <w:rFonts w:ascii="宋体" w:hAnsi="宋体"/>
                      <w:color w:val="000000"/>
                      <w:szCs w:val="21"/>
                    </w:rPr>
                    <w:t>乌鲁木齐</w:t>
                  </w:r>
                  <w:r>
                    <w:rPr>
                      <w:rFonts w:hint="eastAsia" w:ascii="宋体" w:hAnsi="宋体"/>
                      <w:color w:val="000000"/>
                      <w:szCs w:val="21"/>
                    </w:rPr>
                    <w:t>、</w:t>
                  </w:r>
                  <w:r>
                    <w:rPr>
                      <w:rFonts w:ascii="宋体" w:hAnsi="宋体"/>
                      <w:color w:val="000000"/>
                      <w:szCs w:val="21"/>
                    </w:rPr>
                    <w:t>塔城、德令哈、格尔木、</w:t>
                  </w:r>
                  <w:r>
                    <w:rPr>
                      <w:rFonts w:hint="eastAsia" w:ascii="宋体" w:hAnsi="宋体"/>
                      <w:color w:val="000000"/>
                      <w:szCs w:val="21"/>
                    </w:rPr>
                    <w:t>西宁、克拉玛依、日喀则、隆子、稻城、甘孜、德钦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686" w:hRule="atLeast"/>
              </w:trPr>
              <w:tc>
                <w:tcPr>
                  <w:tcW w:w="395" w:type="pct"/>
                  <w:vAlign w:val="center"/>
                </w:tcPr>
                <w:p>
                  <w:pPr>
                    <w:jc w:val="center"/>
                    <w:rPr>
                      <w:rFonts w:ascii="宋体" w:hAnsi="宋体"/>
                      <w:color w:val="000000"/>
                      <w:szCs w:val="21"/>
                    </w:rPr>
                  </w:pPr>
                  <w:r>
                    <w:rPr>
                      <w:rFonts w:ascii="宋体" w:hAnsi="宋体"/>
                      <w:color w:val="000000"/>
                      <w:szCs w:val="21"/>
                    </w:rPr>
                    <w:t>Ⅱ</w:t>
                  </w:r>
                </w:p>
              </w:tc>
              <w:tc>
                <w:tcPr>
                  <w:tcW w:w="500" w:type="pct"/>
                  <w:vAlign w:val="center"/>
                </w:tcPr>
                <w:p>
                  <w:pPr>
                    <w:jc w:val="center"/>
                    <w:rPr>
                      <w:rFonts w:ascii="宋体" w:hAnsi="宋体"/>
                      <w:color w:val="000000"/>
                      <w:szCs w:val="21"/>
                    </w:rPr>
                  </w:pPr>
                  <w:r>
                    <w:rPr>
                      <w:rFonts w:ascii="宋体" w:hAnsi="宋体"/>
                      <w:color w:val="000000"/>
                      <w:szCs w:val="21"/>
                    </w:rPr>
                    <w:t>寒冷</w:t>
                  </w:r>
                </w:p>
                <w:p>
                  <w:pPr>
                    <w:jc w:val="center"/>
                    <w:rPr>
                      <w:rFonts w:ascii="宋体" w:hAnsi="宋体"/>
                      <w:color w:val="000000"/>
                      <w:szCs w:val="21"/>
                    </w:rPr>
                  </w:pPr>
                  <w:r>
                    <w:rPr>
                      <w:rFonts w:ascii="宋体" w:hAnsi="宋体"/>
                      <w:color w:val="000000"/>
                      <w:szCs w:val="21"/>
                    </w:rPr>
                    <w:t>地区</w:t>
                  </w:r>
                </w:p>
              </w:tc>
              <w:tc>
                <w:tcPr>
                  <w:tcW w:w="915" w:type="pct"/>
                  <w:vAlign w:val="center"/>
                </w:tcPr>
                <w:p>
                  <w:pPr>
                    <w:jc w:val="center"/>
                    <w:rPr>
                      <w:rFonts w:ascii="宋体" w:hAnsi="宋体"/>
                      <w:color w:val="000000"/>
                      <w:szCs w:val="21"/>
                    </w:rPr>
                  </w:pPr>
                  <w:r>
                    <w:rPr>
                      <w:rFonts w:ascii="宋体" w:hAnsi="宋体"/>
                      <w:color w:val="000000"/>
                      <w:szCs w:val="21"/>
                    </w:rPr>
                    <w:t>1月平均气温-1</w:t>
                  </w:r>
                  <w:r>
                    <w:rPr>
                      <w:rFonts w:hint="eastAsia" w:ascii="宋体" w:hAnsi="宋体"/>
                      <w:color w:val="000000"/>
                      <w:szCs w:val="21"/>
                    </w:rPr>
                    <w:t>1</w:t>
                  </w:r>
                  <w:r>
                    <w:rPr>
                      <w:rFonts w:ascii="宋体" w:hAnsi="宋体"/>
                      <w:color w:val="000000"/>
                      <w:szCs w:val="21"/>
                    </w:rPr>
                    <w:t>～0℃</w:t>
                  </w:r>
                </w:p>
                <w:p>
                  <w:pPr>
                    <w:jc w:val="center"/>
                    <w:rPr>
                      <w:rFonts w:ascii="宋体" w:hAnsi="宋体"/>
                      <w:color w:val="000000"/>
                      <w:szCs w:val="21"/>
                    </w:rPr>
                  </w:pPr>
                  <w:r>
                    <w:rPr>
                      <w:rFonts w:ascii="宋体" w:hAnsi="宋体"/>
                      <w:color w:val="000000"/>
                      <w:szCs w:val="21"/>
                    </w:rPr>
                    <w:t>7月平均气温18～28℃</w:t>
                  </w:r>
                </w:p>
              </w:tc>
              <w:tc>
                <w:tcPr>
                  <w:tcW w:w="3190" w:type="pct"/>
                  <w:vAlign w:val="center"/>
                </w:tcPr>
                <w:p>
                  <w:pPr>
                    <w:rPr>
                      <w:rFonts w:ascii="宋体" w:hAnsi="宋体"/>
                      <w:color w:val="000000"/>
                      <w:szCs w:val="21"/>
                    </w:rPr>
                  </w:pPr>
                  <w:r>
                    <w:rPr>
                      <w:rFonts w:hint="eastAsia" w:ascii="宋体" w:hAnsi="宋体"/>
                      <w:color w:val="000000"/>
                      <w:szCs w:val="21"/>
                    </w:rPr>
                    <w:t>承德、张家口、乐亭、太原、锦州、朝阳、营口、丹东、大连、青岛、潍坊、海阳、日照、菏泽、临沂、离石、卢氏、榆林、延安、兰州、天水、银川、中宁、伊宁、喀什、和田、马尔康、拉萨、昌都、林芝、</w:t>
                  </w:r>
                  <w:r>
                    <w:rPr>
                      <w:rFonts w:ascii="宋体" w:hAnsi="宋体"/>
                      <w:color w:val="000000"/>
                      <w:szCs w:val="21"/>
                    </w:rPr>
                    <w:t>北京、</w:t>
                  </w:r>
                  <w:r>
                    <w:rPr>
                      <w:rFonts w:hint="eastAsia" w:ascii="宋体" w:hAnsi="宋体"/>
                      <w:color w:val="000000"/>
                      <w:szCs w:val="21"/>
                    </w:rPr>
                    <w:t>天津、</w:t>
                  </w:r>
                  <w:r>
                    <w:rPr>
                      <w:rFonts w:ascii="宋体" w:hAnsi="宋体"/>
                      <w:color w:val="000000"/>
                      <w:szCs w:val="21"/>
                    </w:rPr>
                    <w:t>石家庄、</w:t>
                  </w:r>
                  <w:r>
                    <w:rPr>
                      <w:rFonts w:hint="eastAsia" w:ascii="宋体" w:hAnsi="宋体"/>
                      <w:color w:val="000000"/>
                      <w:szCs w:val="21"/>
                    </w:rPr>
                    <w:t>保定、邢台、</w:t>
                  </w:r>
                  <w:r>
                    <w:rPr>
                      <w:rFonts w:ascii="宋体" w:hAnsi="宋体"/>
                      <w:color w:val="000000"/>
                      <w:szCs w:val="21"/>
                    </w:rPr>
                    <w:t>沧州、济南</w:t>
                  </w:r>
                  <w:r>
                    <w:rPr>
                      <w:rFonts w:hint="eastAsia" w:ascii="宋体" w:hAnsi="宋体"/>
                      <w:color w:val="000000"/>
                      <w:szCs w:val="21"/>
                    </w:rPr>
                    <w:t>、德州、定陶、</w:t>
                  </w:r>
                  <w:r>
                    <w:rPr>
                      <w:rFonts w:ascii="宋体" w:hAnsi="宋体"/>
                      <w:color w:val="000000"/>
                      <w:szCs w:val="21"/>
                    </w:rPr>
                    <w:t>郑州、</w:t>
                  </w:r>
                  <w:r>
                    <w:rPr>
                      <w:rFonts w:hint="eastAsia" w:ascii="宋体" w:hAnsi="宋体"/>
                      <w:color w:val="000000"/>
                      <w:szCs w:val="21"/>
                    </w:rPr>
                    <w:t>安阳、徐州、亳州、西安、哈密、库尔勒、</w:t>
                  </w:r>
                  <w:r>
                    <w:rPr>
                      <w:rFonts w:ascii="宋体" w:hAnsi="宋体"/>
                      <w:color w:val="000000"/>
                      <w:szCs w:val="21"/>
                    </w:rPr>
                    <w:t>吐鲁番、</w:t>
                  </w:r>
                  <w:r>
                    <w:rPr>
                      <w:rFonts w:hint="eastAsia" w:ascii="宋体" w:hAnsi="宋体"/>
                      <w:color w:val="000000"/>
                      <w:szCs w:val="21"/>
                    </w:rPr>
                    <w:t>铁干里克、若羌</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395" w:type="pct"/>
                  <w:vAlign w:val="center"/>
                </w:tcPr>
                <w:p>
                  <w:pPr>
                    <w:jc w:val="center"/>
                    <w:rPr>
                      <w:rFonts w:ascii="宋体" w:hAnsi="宋体"/>
                      <w:color w:val="000000"/>
                      <w:szCs w:val="21"/>
                    </w:rPr>
                  </w:pPr>
                  <w:r>
                    <w:rPr>
                      <w:rFonts w:ascii="宋体" w:hAnsi="宋体"/>
                      <w:color w:val="000000"/>
                      <w:szCs w:val="21"/>
                    </w:rPr>
                    <w:t>Ⅲ</w:t>
                  </w:r>
                </w:p>
              </w:tc>
              <w:tc>
                <w:tcPr>
                  <w:tcW w:w="500" w:type="pct"/>
                  <w:vAlign w:val="center"/>
                </w:tcPr>
                <w:p>
                  <w:pPr>
                    <w:jc w:val="center"/>
                    <w:rPr>
                      <w:rFonts w:ascii="宋体" w:hAnsi="宋体"/>
                      <w:color w:val="000000"/>
                      <w:szCs w:val="21"/>
                    </w:rPr>
                  </w:pPr>
                  <w:r>
                    <w:rPr>
                      <w:rFonts w:ascii="宋体" w:hAnsi="宋体"/>
                      <w:color w:val="000000"/>
                      <w:szCs w:val="21"/>
                    </w:rPr>
                    <w:t>夏热冬冷地区</w:t>
                  </w:r>
                </w:p>
              </w:tc>
              <w:tc>
                <w:tcPr>
                  <w:tcW w:w="915" w:type="pct"/>
                  <w:vAlign w:val="center"/>
                </w:tcPr>
                <w:p>
                  <w:pPr>
                    <w:jc w:val="center"/>
                    <w:rPr>
                      <w:rFonts w:ascii="宋体" w:hAnsi="宋体"/>
                      <w:color w:val="000000"/>
                      <w:szCs w:val="21"/>
                    </w:rPr>
                  </w:pPr>
                  <w:r>
                    <w:rPr>
                      <w:rFonts w:ascii="宋体" w:hAnsi="宋体"/>
                      <w:color w:val="000000"/>
                      <w:szCs w:val="21"/>
                    </w:rPr>
                    <w:t>1月平均气温0～10℃</w:t>
                  </w:r>
                </w:p>
                <w:p>
                  <w:pPr>
                    <w:jc w:val="center"/>
                    <w:rPr>
                      <w:rFonts w:ascii="宋体" w:hAnsi="宋体"/>
                      <w:color w:val="000000"/>
                      <w:szCs w:val="21"/>
                    </w:rPr>
                  </w:pPr>
                  <w:r>
                    <w:rPr>
                      <w:rFonts w:ascii="宋体" w:hAnsi="宋体"/>
                      <w:color w:val="000000"/>
                      <w:szCs w:val="21"/>
                    </w:rPr>
                    <w:t>7月平均气温25～30℃</w:t>
                  </w:r>
                </w:p>
              </w:tc>
              <w:tc>
                <w:tcPr>
                  <w:tcW w:w="3190" w:type="pct"/>
                  <w:vAlign w:val="center"/>
                </w:tcPr>
                <w:p>
                  <w:pPr>
                    <w:jc w:val="left"/>
                    <w:rPr>
                      <w:rFonts w:ascii="宋体" w:hAnsi="宋体"/>
                      <w:color w:val="000000"/>
                      <w:szCs w:val="21"/>
                    </w:rPr>
                  </w:pPr>
                  <w:r>
                    <w:rPr>
                      <w:rFonts w:ascii="宋体" w:hAnsi="宋体"/>
                      <w:color w:val="000000"/>
                      <w:szCs w:val="21"/>
                    </w:rPr>
                    <w:t>上海</w:t>
                  </w:r>
                  <w:r>
                    <w:rPr>
                      <w:rFonts w:hint="eastAsia" w:ascii="宋体" w:hAnsi="宋体"/>
                      <w:color w:val="000000"/>
                      <w:szCs w:val="21"/>
                    </w:rPr>
                    <w:t>、南京、</w:t>
                  </w:r>
                  <w:r>
                    <w:rPr>
                      <w:rFonts w:ascii="宋体" w:hAnsi="宋体"/>
                      <w:color w:val="000000"/>
                      <w:szCs w:val="21"/>
                    </w:rPr>
                    <w:t>盐城</w:t>
                  </w:r>
                  <w:r>
                    <w:rPr>
                      <w:rFonts w:hint="eastAsia" w:ascii="宋体" w:hAnsi="宋体"/>
                      <w:color w:val="000000"/>
                      <w:szCs w:val="21"/>
                    </w:rPr>
                    <w:t>、</w:t>
                  </w:r>
                  <w:r>
                    <w:rPr>
                      <w:rFonts w:ascii="宋体" w:hAnsi="宋体"/>
                      <w:color w:val="000000"/>
                      <w:szCs w:val="21"/>
                    </w:rPr>
                    <w:t>泰州、</w:t>
                  </w:r>
                  <w:r>
                    <w:rPr>
                      <w:rFonts w:hint="eastAsia" w:ascii="宋体" w:hAnsi="宋体"/>
                      <w:color w:val="000000"/>
                      <w:szCs w:val="21"/>
                    </w:rPr>
                    <w:t>杭州、</w:t>
                  </w:r>
                  <w:r>
                    <w:rPr>
                      <w:rFonts w:ascii="宋体" w:hAnsi="宋体"/>
                      <w:color w:val="000000"/>
                      <w:szCs w:val="21"/>
                    </w:rPr>
                    <w:t>温州</w:t>
                  </w:r>
                  <w:r>
                    <w:rPr>
                      <w:rFonts w:hint="eastAsia" w:ascii="宋体" w:hAnsi="宋体"/>
                      <w:color w:val="000000"/>
                      <w:szCs w:val="21"/>
                    </w:rPr>
                    <w:t>、丽水、</w:t>
                  </w:r>
                  <w:r>
                    <w:rPr>
                      <w:rFonts w:ascii="宋体" w:hAnsi="宋体"/>
                      <w:color w:val="000000"/>
                      <w:szCs w:val="21"/>
                    </w:rPr>
                    <w:t>舟山、</w:t>
                  </w:r>
                  <w:r>
                    <w:rPr>
                      <w:rFonts w:hint="eastAsia" w:ascii="宋体" w:hAnsi="宋体"/>
                      <w:color w:val="000000"/>
                      <w:szCs w:val="21"/>
                    </w:rPr>
                    <w:t>合肥、</w:t>
                  </w:r>
                  <w:r>
                    <w:rPr>
                      <w:rFonts w:ascii="宋体" w:hAnsi="宋体"/>
                      <w:color w:val="000000"/>
                      <w:szCs w:val="21"/>
                    </w:rPr>
                    <w:t>铜陵、宁德、蚌埠、</w:t>
                  </w:r>
                  <w:r>
                    <w:rPr>
                      <w:rFonts w:hint="eastAsia" w:ascii="宋体" w:hAnsi="宋体"/>
                      <w:color w:val="000000"/>
                      <w:szCs w:val="21"/>
                    </w:rPr>
                    <w:t>南昌、赣州、</w:t>
                  </w:r>
                  <w:r>
                    <w:rPr>
                      <w:rFonts w:ascii="宋体" w:hAnsi="宋体"/>
                      <w:color w:val="000000"/>
                      <w:szCs w:val="21"/>
                    </w:rPr>
                    <w:t>景德镇、吉安、广昌、邵武、三明、驻马店、固始、平顶山、少绕、</w:t>
                  </w:r>
                  <w:r>
                    <w:rPr>
                      <w:rFonts w:hint="eastAsia" w:ascii="宋体" w:hAnsi="宋体"/>
                      <w:color w:val="000000"/>
                      <w:szCs w:val="21"/>
                    </w:rPr>
                    <w:t>武汉、</w:t>
                  </w:r>
                  <w:r>
                    <w:rPr>
                      <w:rFonts w:ascii="宋体" w:hAnsi="宋体"/>
                      <w:color w:val="000000"/>
                      <w:szCs w:val="21"/>
                    </w:rPr>
                    <w:t>沙市、老河口、随州、远安、恩施、</w:t>
                  </w:r>
                  <w:r>
                    <w:rPr>
                      <w:rFonts w:hint="eastAsia" w:ascii="宋体" w:hAnsi="宋体"/>
                      <w:color w:val="000000"/>
                      <w:szCs w:val="21"/>
                    </w:rPr>
                    <w:t>长沙、</w:t>
                  </w:r>
                  <w:r>
                    <w:rPr>
                      <w:rFonts w:ascii="宋体" w:hAnsi="宋体"/>
                      <w:color w:val="000000"/>
                      <w:szCs w:val="21"/>
                    </w:rPr>
                    <w:t>永州、</w:t>
                  </w:r>
                  <w:r>
                    <w:rPr>
                      <w:rFonts w:hint="eastAsia" w:ascii="宋体" w:hAnsi="宋体"/>
                      <w:color w:val="000000"/>
                      <w:szCs w:val="21"/>
                    </w:rPr>
                    <w:t>张家界、涟源、</w:t>
                  </w:r>
                  <w:r>
                    <w:rPr>
                      <w:rFonts w:ascii="宋体" w:hAnsi="宋体"/>
                      <w:color w:val="000000"/>
                      <w:szCs w:val="21"/>
                    </w:rPr>
                    <w:t>韶关、汉中、略阳、山阳、安康</w:t>
                  </w:r>
                  <w:r>
                    <w:rPr>
                      <w:rFonts w:hint="eastAsia" w:ascii="宋体" w:hAnsi="宋体"/>
                      <w:color w:val="000000"/>
                      <w:szCs w:val="21"/>
                    </w:rPr>
                    <w:t xml:space="preserve"> 、成都、</w:t>
                  </w:r>
                  <w:r>
                    <w:rPr>
                      <w:rFonts w:ascii="宋体" w:hAnsi="宋体"/>
                      <w:color w:val="000000"/>
                      <w:szCs w:val="21"/>
                    </w:rPr>
                    <w:t>平武、</w:t>
                  </w:r>
                  <w:r>
                    <w:rPr>
                      <w:rFonts w:hint="eastAsia" w:ascii="宋体" w:hAnsi="宋体"/>
                      <w:color w:val="000000"/>
                      <w:szCs w:val="21"/>
                    </w:rPr>
                    <w:t>达州</w:t>
                  </w:r>
                  <w:r>
                    <w:rPr>
                      <w:rFonts w:ascii="宋体" w:hAnsi="宋体"/>
                      <w:color w:val="000000"/>
                      <w:szCs w:val="21"/>
                    </w:rPr>
                    <w:t>、内江</w:t>
                  </w:r>
                  <w:r>
                    <w:rPr>
                      <w:rFonts w:hint="eastAsia" w:ascii="宋体" w:hAnsi="宋体"/>
                      <w:color w:val="000000"/>
                      <w:szCs w:val="21"/>
                    </w:rPr>
                    <w:t>、重庆</w:t>
                  </w:r>
                  <w:r>
                    <w:rPr>
                      <w:rFonts w:ascii="宋体" w:hAnsi="宋体"/>
                      <w:color w:val="000000"/>
                      <w:szCs w:val="21"/>
                    </w:rPr>
                    <w:t>、桐</w:t>
                  </w:r>
                  <w:r>
                    <w:rPr>
                      <w:rFonts w:hint="eastAsia" w:ascii="宋体" w:hAnsi="宋体"/>
                      <w:color w:val="000000"/>
                      <w:szCs w:val="21"/>
                    </w:rPr>
                    <w:t>仁</w:t>
                  </w:r>
                  <w:r>
                    <w:rPr>
                      <w:rFonts w:ascii="宋体" w:hAnsi="宋体"/>
                      <w:color w:val="000000"/>
                      <w:szCs w:val="21"/>
                    </w:rPr>
                    <w:t>、凯里</w:t>
                  </w:r>
                  <w:r>
                    <w:rPr>
                      <w:rFonts w:hint="eastAsia" w:ascii="宋体" w:hAnsi="宋体"/>
                      <w:color w:val="000000"/>
                      <w:szCs w:val="21"/>
                    </w:rPr>
                    <w:t>、桂林、西昌</w:t>
                  </w:r>
                  <w:r>
                    <w:rPr>
                      <w:rFonts w:hint="eastAsia" w:ascii="宋体" w:hAnsi="宋体"/>
                      <w:color w:val="000000"/>
                      <w:szCs w:val="21"/>
                      <w:vertAlign w:val="superscript"/>
                    </w:rPr>
                    <w:t>*</w:t>
                  </w:r>
                  <w:r>
                    <w:rPr>
                      <w:rFonts w:hint="eastAsia" w:ascii="宋体" w:hAnsi="宋体"/>
                      <w:color w:val="000000"/>
                      <w:szCs w:val="21"/>
                    </w:rPr>
                    <w:t>、酉阳</w:t>
                  </w:r>
                  <w:r>
                    <w:rPr>
                      <w:rFonts w:hint="eastAsia" w:ascii="宋体" w:hAnsi="宋体"/>
                      <w:color w:val="000000"/>
                      <w:szCs w:val="21"/>
                      <w:vertAlign w:val="superscript"/>
                    </w:rPr>
                    <w:t>*</w:t>
                  </w:r>
                  <w:r>
                    <w:rPr>
                      <w:rFonts w:hint="eastAsia" w:ascii="宋体" w:hAnsi="宋体"/>
                      <w:color w:val="000000"/>
                      <w:szCs w:val="21"/>
                    </w:rPr>
                    <w:t>、贵阳</w:t>
                  </w:r>
                  <w:r>
                    <w:rPr>
                      <w:rFonts w:hint="eastAsia" w:ascii="宋体" w:hAnsi="宋体"/>
                      <w:color w:val="000000"/>
                      <w:szCs w:val="21"/>
                      <w:vertAlign w:val="superscript"/>
                    </w:rPr>
                    <w:t>*</w:t>
                  </w:r>
                  <w:r>
                    <w:rPr>
                      <w:rFonts w:hint="eastAsia" w:ascii="宋体" w:hAnsi="宋体"/>
                      <w:color w:val="000000"/>
                      <w:szCs w:val="21"/>
                    </w:rPr>
                    <w:t>、遵义</w:t>
                  </w:r>
                  <w:r>
                    <w:rPr>
                      <w:rFonts w:hint="eastAsia" w:ascii="宋体" w:hAnsi="宋体"/>
                      <w:color w:val="000000"/>
                      <w:szCs w:val="21"/>
                      <w:vertAlign w:val="superscript"/>
                    </w:rPr>
                    <w:t>*</w:t>
                  </w:r>
                  <w:r>
                    <w:rPr>
                      <w:rFonts w:hint="eastAsia" w:ascii="宋体" w:hAnsi="宋体"/>
                      <w:color w:val="000000"/>
                      <w:szCs w:val="21"/>
                    </w:rPr>
                    <w:t>、桐梓</w:t>
                  </w:r>
                  <w:r>
                    <w:rPr>
                      <w:rFonts w:hint="eastAsia" w:ascii="宋体" w:hAnsi="宋体"/>
                      <w:color w:val="000000"/>
                      <w:szCs w:val="21"/>
                      <w:vertAlign w:val="superscript"/>
                    </w:rPr>
                    <w:t>*</w:t>
                  </w:r>
                  <w:r>
                    <w:rPr>
                      <w:rFonts w:hint="eastAsia" w:ascii="宋体" w:hAnsi="宋体"/>
                      <w:color w:val="000000"/>
                      <w:szCs w:val="21"/>
                    </w:rPr>
                    <w:t>、大理</w:t>
                  </w:r>
                  <w:r>
                    <w:rPr>
                      <w:rFonts w:hint="eastAsia" w:ascii="宋体" w:hAnsi="宋体"/>
                      <w:color w:val="000000"/>
                      <w:szCs w:val="21"/>
                      <w:vertAlign w:val="superscript"/>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550" w:hRule="atLeast"/>
              </w:trPr>
              <w:tc>
                <w:tcPr>
                  <w:tcW w:w="395" w:type="pct"/>
                  <w:vAlign w:val="center"/>
                </w:tcPr>
                <w:p>
                  <w:pPr>
                    <w:jc w:val="center"/>
                    <w:rPr>
                      <w:rFonts w:ascii="宋体" w:hAnsi="宋体"/>
                      <w:color w:val="000000"/>
                      <w:szCs w:val="21"/>
                    </w:rPr>
                  </w:pPr>
                  <w:r>
                    <w:rPr>
                      <w:rFonts w:ascii="宋体" w:hAnsi="宋体"/>
                      <w:color w:val="000000"/>
                      <w:szCs w:val="21"/>
                    </w:rPr>
                    <w:t>Ⅳ</w:t>
                  </w:r>
                </w:p>
              </w:tc>
              <w:tc>
                <w:tcPr>
                  <w:tcW w:w="500" w:type="pct"/>
                  <w:vAlign w:val="center"/>
                </w:tcPr>
                <w:p>
                  <w:pPr>
                    <w:jc w:val="center"/>
                    <w:rPr>
                      <w:rFonts w:ascii="宋体" w:hAnsi="宋体"/>
                      <w:color w:val="000000"/>
                      <w:szCs w:val="21"/>
                    </w:rPr>
                  </w:pPr>
                  <w:r>
                    <w:rPr>
                      <w:rFonts w:ascii="宋体" w:hAnsi="宋体"/>
                      <w:color w:val="000000"/>
                      <w:szCs w:val="21"/>
                    </w:rPr>
                    <w:t>夏热冬暖地区</w:t>
                  </w:r>
                </w:p>
              </w:tc>
              <w:tc>
                <w:tcPr>
                  <w:tcW w:w="915" w:type="pct"/>
                  <w:vAlign w:val="center"/>
                </w:tcPr>
                <w:p>
                  <w:pPr>
                    <w:jc w:val="center"/>
                    <w:rPr>
                      <w:rFonts w:ascii="宋体" w:hAnsi="宋体"/>
                      <w:color w:val="000000"/>
                      <w:szCs w:val="21"/>
                    </w:rPr>
                  </w:pPr>
                  <w:r>
                    <w:rPr>
                      <w:rFonts w:ascii="宋体" w:hAnsi="宋体"/>
                      <w:color w:val="000000"/>
                      <w:szCs w:val="21"/>
                    </w:rPr>
                    <w:t>1月平均气温＞10℃</w:t>
                  </w:r>
                </w:p>
                <w:p>
                  <w:pPr>
                    <w:jc w:val="center"/>
                    <w:rPr>
                      <w:rFonts w:ascii="宋体" w:hAnsi="宋体"/>
                      <w:color w:val="000000"/>
                      <w:szCs w:val="21"/>
                    </w:rPr>
                  </w:pPr>
                  <w:r>
                    <w:rPr>
                      <w:rFonts w:ascii="宋体" w:hAnsi="宋体"/>
                      <w:color w:val="000000"/>
                      <w:szCs w:val="21"/>
                    </w:rPr>
                    <w:t>7月平均气温25～29℃</w:t>
                  </w:r>
                </w:p>
              </w:tc>
              <w:tc>
                <w:tcPr>
                  <w:tcW w:w="3190" w:type="pct"/>
                  <w:vAlign w:val="center"/>
                </w:tcPr>
                <w:p>
                  <w:pPr>
                    <w:jc w:val="left"/>
                    <w:rPr>
                      <w:rFonts w:ascii="宋体" w:hAnsi="宋体"/>
                      <w:color w:val="000000"/>
                      <w:szCs w:val="21"/>
                    </w:rPr>
                  </w:pPr>
                  <w:r>
                    <w:rPr>
                      <w:rFonts w:ascii="宋体" w:hAnsi="宋体"/>
                      <w:color w:val="000000"/>
                      <w:szCs w:val="21"/>
                    </w:rPr>
                    <w:t>福州、泉州、漳州、</w:t>
                  </w:r>
                  <w:r>
                    <w:rPr>
                      <w:rFonts w:hint="eastAsia" w:ascii="宋体" w:hAnsi="宋体"/>
                      <w:color w:val="000000"/>
                      <w:szCs w:val="21"/>
                    </w:rPr>
                    <w:t>广州、</w:t>
                  </w:r>
                  <w:r>
                    <w:rPr>
                      <w:rFonts w:ascii="宋体" w:hAnsi="宋体"/>
                      <w:color w:val="000000"/>
                      <w:szCs w:val="21"/>
                    </w:rPr>
                    <w:t>梅州、汕头、茂名、南宁、梧州、河池、百色、北海、萍乡、元江、景洪</w:t>
                  </w:r>
                  <w:r>
                    <w:rPr>
                      <w:rFonts w:hint="eastAsia" w:ascii="宋体" w:hAnsi="宋体"/>
                      <w:color w:val="000000"/>
                      <w:szCs w:val="21"/>
                    </w:rPr>
                    <w:t>、</w:t>
                  </w:r>
                  <w:r>
                    <w:rPr>
                      <w:rFonts w:ascii="宋体" w:hAnsi="宋体"/>
                      <w:color w:val="000000"/>
                      <w:szCs w:val="21"/>
                    </w:rPr>
                    <w:t>海口、琼中、三亚、台北</w:t>
                  </w:r>
                </w:p>
              </w:tc>
            </w:tr>
          </w:tbl>
          <w:p>
            <w:pPr>
              <w:spacing w:before="240" w:line="360" w:lineRule="auto"/>
              <w:ind w:firstLine="240" w:firstLineChars="100"/>
              <w:rPr>
                <w:rFonts w:ascii="宋体" w:hAnsi="宋体"/>
                <w:color w:val="000000"/>
                <w:sz w:val="24"/>
              </w:rPr>
            </w:pPr>
            <w:r>
              <w:rPr>
                <w:rFonts w:hint="eastAsia" w:ascii="宋体" w:hAnsi="宋体"/>
                <w:color w:val="000000"/>
                <w:sz w:val="24"/>
              </w:rPr>
              <w:t>注：带*号地区在建筑热工分区中属温和A区，围护结构限值按夏热冬冷地区的相关参数执行。</w:t>
            </w:r>
          </w:p>
          <w:p>
            <w:pPr>
              <w:spacing w:line="360" w:lineRule="auto"/>
              <w:jc w:val="left"/>
              <w:rPr>
                <w:rFonts w:ascii="宋体" w:hAnsi="宋体"/>
                <w:sz w:val="24"/>
              </w:rPr>
            </w:pPr>
          </w:p>
        </w:tc>
        <w:tc>
          <w:tcPr>
            <w:tcW w:w="4753" w:type="dxa"/>
            <w:vAlign w:val="center"/>
          </w:tcPr>
          <w:p>
            <w:pPr>
              <w:spacing w:line="360" w:lineRule="auto"/>
              <w:jc w:val="left"/>
              <w:rPr>
                <w:rFonts w:asciiTheme="minorEastAsia" w:hAnsiTheme="minorEastAsia" w:eastAsiaTheme="minorEastAsia"/>
                <w:sz w:val="24"/>
              </w:rPr>
            </w:pPr>
            <w:r>
              <w:rPr>
                <w:rFonts w:asciiTheme="minorEastAsia" w:hAnsiTheme="minorEastAsia" w:eastAsiaTheme="minorEastAsia"/>
                <w:b/>
                <w:sz w:val="24"/>
              </w:rPr>
              <w:t xml:space="preserve">3.0.1  </w:t>
            </w:r>
            <w:r>
              <w:rPr>
                <w:rFonts w:asciiTheme="minorEastAsia" w:hAnsiTheme="minorEastAsia" w:eastAsiaTheme="minorEastAsia"/>
                <w:sz w:val="24"/>
              </w:rPr>
              <w:t>农村居住建筑节能设计应与地区气候相适应，农村地区建筑节能气候分区应符合</w:t>
            </w:r>
            <w:r>
              <w:rPr>
                <w:rFonts w:hint="eastAsia" w:asciiTheme="minorEastAsia" w:hAnsiTheme="minorEastAsia" w:eastAsiaTheme="minorEastAsia"/>
                <w:sz w:val="24"/>
                <w:u w:val="single"/>
              </w:rPr>
              <w:t>现行国家标准《民用建筑热工设计规范》GB</w:t>
            </w:r>
            <w:r>
              <w:rPr>
                <w:rFonts w:asciiTheme="minorEastAsia" w:hAnsiTheme="minorEastAsia" w:eastAsiaTheme="minorEastAsia"/>
                <w:sz w:val="24"/>
                <w:u w:val="single"/>
              </w:rPr>
              <w:t xml:space="preserve"> 50176</w:t>
            </w:r>
            <w:r>
              <w:rPr>
                <w:rFonts w:hint="eastAsia" w:asciiTheme="minorEastAsia" w:hAnsiTheme="minorEastAsia" w:eastAsiaTheme="minorEastAsia"/>
                <w:sz w:val="24"/>
                <w:u w:val="single"/>
              </w:rPr>
              <w:t>和</w:t>
            </w:r>
            <w:r>
              <w:rPr>
                <w:rFonts w:asciiTheme="minorEastAsia" w:hAnsiTheme="minorEastAsia" w:eastAsiaTheme="minorEastAsia"/>
                <w:sz w:val="24"/>
              </w:rPr>
              <w:t>表3.0.1的规定。</w:t>
            </w:r>
          </w:p>
          <w:p>
            <w:pPr>
              <w:spacing w:line="360" w:lineRule="auto"/>
              <w:jc w:val="center"/>
              <w:rPr>
                <w:b/>
                <w:sz w:val="24"/>
              </w:rPr>
            </w:pPr>
            <w:r>
              <w:rPr>
                <w:b/>
                <w:sz w:val="24"/>
              </w:rPr>
              <w:t>表3.0.1  农村地区建筑节能设计气候分区</w:t>
            </w: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356"/>
              <w:gridCol w:w="451"/>
              <w:gridCol w:w="825"/>
              <w:gridCol w:w="287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88" w:hRule="atLeast"/>
              </w:trPr>
              <w:tc>
                <w:tcPr>
                  <w:tcW w:w="395" w:type="pct"/>
                  <w:vAlign w:val="center"/>
                </w:tcPr>
                <w:p>
                  <w:pPr>
                    <w:jc w:val="center"/>
                    <w:rPr>
                      <w:szCs w:val="21"/>
                    </w:rPr>
                  </w:pPr>
                  <w:r>
                    <w:rPr>
                      <w:szCs w:val="21"/>
                    </w:rPr>
                    <w:t>分区名称</w:t>
                  </w:r>
                </w:p>
              </w:tc>
              <w:tc>
                <w:tcPr>
                  <w:tcW w:w="500" w:type="pct"/>
                  <w:vAlign w:val="center"/>
                </w:tcPr>
                <w:p>
                  <w:pPr>
                    <w:jc w:val="center"/>
                    <w:rPr>
                      <w:szCs w:val="21"/>
                    </w:rPr>
                  </w:pPr>
                  <w:r>
                    <w:rPr>
                      <w:szCs w:val="21"/>
                    </w:rPr>
                    <w:t>热工分区名称</w:t>
                  </w:r>
                </w:p>
              </w:tc>
              <w:tc>
                <w:tcPr>
                  <w:tcW w:w="915" w:type="pct"/>
                  <w:vAlign w:val="center"/>
                </w:tcPr>
                <w:p>
                  <w:pPr>
                    <w:jc w:val="center"/>
                    <w:rPr>
                      <w:szCs w:val="21"/>
                    </w:rPr>
                  </w:pPr>
                  <w:r>
                    <w:rPr>
                      <w:szCs w:val="21"/>
                    </w:rPr>
                    <w:t>气候区划主要</w:t>
                  </w:r>
                </w:p>
                <w:p>
                  <w:pPr>
                    <w:jc w:val="center"/>
                    <w:rPr>
                      <w:szCs w:val="21"/>
                    </w:rPr>
                  </w:pPr>
                  <w:r>
                    <w:rPr>
                      <w:szCs w:val="21"/>
                    </w:rPr>
                    <w:t>指标</w:t>
                  </w:r>
                </w:p>
              </w:tc>
              <w:tc>
                <w:tcPr>
                  <w:tcW w:w="3190" w:type="pct"/>
                  <w:vAlign w:val="center"/>
                </w:tcPr>
                <w:p>
                  <w:pPr>
                    <w:jc w:val="center"/>
                    <w:rPr>
                      <w:szCs w:val="21"/>
                    </w:rPr>
                  </w:pPr>
                  <w:r>
                    <w:rPr>
                      <w:szCs w:val="21"/>
                    </w:rPr>
                    <w:t>代表性地区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494" w:hRule="atLeast"/>
              </w:trPr>
              <w:tc>
                <w:tcPr>
                  <w:tcW w:w="395" w:type="pct"/>
                  <w:vAlign w:val="center"/>
                </w:tcPr>
                <w:p>
                  <w:pPr>
                    <w:jc w:val="center"/>
                    <w:rPr>
                      <w:szCs w:val="21"/>
                    </w:rPr>
                  </w:pPr>
                  <w:r>
                    <w:rPr>
                      <w:szCs w:val="21"/>
                    </w:rPr>
                    <w:t>Ⅰ</w:t>
                  </w:r>
                </w:p>
              </w:tc>
              <w:tc>
                <w:tcPr>
                  <w:tcW w:w="500" w:type="pct"/>
                  <w:vAlign w:val="center"/>
                </w:tcPr>
                <w:p>
                  <w:pPr>
                    <w:jc w:val="center"/>
                    <w:rPr>
                      <w:szCs w:val="21"/>
                    </w:rPr>
                  </w:pPr>
                  <w:r>
                    <w:rPr>
                      <w:szCs w:val="21"/>
                    </w:rPr>
                    <w:t>严寒</w:t>
                  </w:r>
                </w:p>
                <w:p>
                  <w:pPr>
                    <w:jc w:val="center"/>
                    <w:rPr>
                      <w:szCs w:val="21"/>
                    </w:rPr>
                  </w:pPr>
                  <w:r>
                    <w:rPr>
                      <w:szCs w:val="21"/>
                    </w:rPr>
                    <w:t>地区</w:t>
                  </w:r>
                </w:p>
              </w:tc>
              <w:tc>
                <w:tcPr>
                  <w:tcW w:w="915" w:type="pct"/>
                  <w:vAlign w:val="center"/>
                </w:tcPr>
                <w:p>
                  <w:pPr>
                    <w:jc w:val="center"/>
                    <w:rPr>
                      <w:szCs w:val="21"/>
                    </w:rPr>
                  </w:pPr>
                  <w:r>
                    <w:rPr>
                      <w:szCs w:val="21"/>
                    </w:rPr>
                    <w:t>1月平均气温≤</w:t>
                  </w:r>
                  <w:r>
                    <w:rPr>
                      <w:szCs w:val="21"/>
                      <w:bdr w:val="single" w:color="auto" w:sz="4" w:space="0"/>
                    </w:rPr>
                    <w:t>-11</w:t>
                  </w:r>
                  <w:r>
                    <w:rPr>
                      <w:rFonts w:hint="eastAsia"/>
                      <w:szCs w:val="21"/>
                      <w:u w:val="single"/>
                    </w:rPr>
                    <w:t>-</w:t>
                  </w:r>
                  <w:r>
                    <w:rPr>
                      <w:szCs w:val="21"/>
                      <w:u w:val="single"/>
                    </w:rPr>
                    <w:t>10</w:t>
                  </w:r>
                  <w:r>
                    <w:rPr>
                      <w:szCs w:val="21"/>
                    </w:rPr>
                    <w:t>℃</w:t>
                  </w:r>
                </w:p>
                <w:p>
                  <w:pPr>
                    <w:jc w:val="center"/>
                    <w:rPr>
                      <w:szCs w:val="21"/>
                    </w:rPr>
                  </w:pPr>
                  <w:r>
                    <w:rPr>
                      <w:szCs w:val="21"/>
                    </w:rPr>
                    <w:t>7月平均气温≤25℃</w:t>
                  </w:r>
                </w:p>
                <w:p>
                  <w:pPr>
                    <w:jc w:val="center"/>
                    <w:rPr>
                      <w:szCs w:val="21"/>
                    </w:rPr>
                  </w:pPr>
                </w:p>
              </w:tc>
              <w:tc>
                <w:tcPr>
                  <w:tcW w:w="3190" w:type="pct"/>
                  <w:vAlign w:val="center"/>
                </w:tcPr>
                <w:p>
                  <w:pPr>
                    <w:rPr>
                      <w:szCs w:val="21"/>
                    </w:rPr>
                  </w:pPr>
                  <w:r>
                    <w:rPr>
                      <w:szCs w:val="21"/>
                    </w:rPr>
                    <w:t>漠河、图里河、黑河、嫩江、海拉尔、博克图、新巴尔虎右旗、呼玛、伊春、阿尔山、狮泉河、改则、班戈、那曲、申扎、刚察、玛多、曲麻菜、杂多、达日、托托河、东乌珠穆沁旗、哈尔滨、通河、尚志、牡丹江、泰来、安达、宝清、富锦、海伦、敦化、齐齐哈尔、虎林、鸡西、绥芬河、桦甸、锡林浩特、二连浩特、多伦、富蕴、阿勒泰、丁青、索县、冷湖、都兰、同德、玉树、大柴旦、若尔盖、蔚县、</w:t>
                  </w:r>
                  <w:r>
                    <w:rPr>
                      <w:rFonts w:hint="eastAsia"/>
                      <w:szCs w:val="21"/>
                      <w:u w:val="single"/>
                    </w:rPr>
                    <w:t>丰宁、围场、</w:t>
                  </w:r>
                  <w:r>
                    <w:rPr>
                      <w:szCs w:val="21"/>
                    </w:rPr>
                    <w:t>长春、四平、沈阳、呼和浩特、赤峰、达尔罕联合旗、集安、临江、长岭、前郭尔罗斯、延吉、大同、</w:t>
                  </w:r>
                  <w:r>
                    <w:rPr>
                      <w:rFonts w:hint="eastAsia"/>
                      <w:szCs w:val="21"/>
                      <w:u w:val="single"/>
                    </w:rPr>
                    <w:t>河曲、</w:t>
                  </w:r>
                  <w:r>
                    <w:rPr>
                      <w:szCs w:val="21"/>
                    </w:rPr>
                    <w:t>额济纳旗、张掖、乌鲁木齐、塔城、德令哈、格尔木、西宁、克拉玛依、日喀则、隆子、稻城、甘孜、</w:t>
                  </w:r>
                  <w:r>
                    <w:rPr>
                      <w:rFonts w:hint="eastAsia"/>
                      <w:szCs w:val="21"/>
                      <w:u w:val="single"/>
                    </w:rPr>
                    <w:t>色达、德格、潘松、理塘、康定、</w:t>
                  </w:r>
                  <w:r>
                    <w:rPr>
                      <w:szCs w:val="21"/>
                    </w:rPr>
                    <w:t>德钦</w:t>
                  </w:r>
                  <w:r>
                    <w:rPr>
                      <w:rFonts w:hint="eastAsia"/>
                      <w:szCs w:val="21"/>
                      <w:u w:val="single"/>
                    </w:rPr>
                    <w:t>、马鬃山、酒泉、玉门镇、华家岭、茫崖、冷湖</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686" w:hRule="atLeast"/>
              </w:trPr>
              <w:tc>
                <w:tcPr>
                  <w:tcW w:w="395" w:type="pct"/>
                  <w:vAlign w:val="center"/>
                </w:tcPr>
                <w:p>
                  <w:pPr>
                    <w:jc w:val="center"/>
                    <w:rPr>
                      <w:szCs w:val="21"/>
                    </w:rPr>
                  </w:pPr>
                  <w:r>
                    <w:rPr>
                      <w:szCs w:val="21"/>
                    </w:rPr>
                    <w:t>Ⅱ</w:t>
                  </w:r>
                </w:p>
              </w:tc>
              <w:tc>
                <w:tcPr>
                  <w:tcW w:w="500" w:type="pct"/>
                  <w:vAlign w:val="center"/>
                </w:tcPr>
                <w:p>
                  <w:pPr>
                    <w:jc w:val="center"/>
                    <w:rPr>
                      <w:szCs w:val="21"/>
                    </w:rPr>
                  </w:pPr>
                  <w:r>
                    <w:rPr>
                      <w:szCs w:val="21"/>
                    </w:rPr>
                    <w:t>寒冷</w:t>
                  </w:r>
                </w:p>
                <w:p>
                  <w:pPr>
                    <w:jc w:val="center"/>
                    <w:rPr>
                      <w:szCs w:val="21"/>
                    </w:rPr>
                  </w:pPr>
                  <w:r>
                    <w:rPr>
                      <w:szCs w:val="21"/>
                    </w:rPr>
                    <w:t>地区</w:t>
                  </w:r>
                </w:p>
              </w:tc>
              <w:tc>
                <w:tcPr>
                  <w:tcW w:w="915" w:type="pct"/>
                  <w:vAlign w:val="center"/>
                </w:tcPr>
                <w:p>
                  <w:pPr>
                    <w:jc w:val="center"/>
                    <w:rPr>
                      <w:szCs w:val="21"/>
                    </w:rPr>
                  </w:pPr>
                  <w:r>
                    <w:rPr>
                      <w:szCs w:val="21"/>
                    </w:rPr>
                    <w:t>1月平均气温</w:t>
                  </w:r>
                  <w:r>
                    <w:rPr>
                      <w:szCs w:val="21"/>
                      <w:bdr w:val="single" w:color="auto" w:sz="4" w:space="0"/>
                    </w:rPr>
                    <w:t>-11</w:t>
                  </w:r>
                  <w:r>
                    <w:rPr>
                      <w:rFonts w:hint="eastAsia"/>
                      <w:szCs w:val="21"/>
                      <w:u w:val="single"/>
                    </w:rPr>
                    <w:t>-</w:t>
                  </w:r>
                  <w:r>
                    <w:rPr>
                      <w:szCs w:val="21"/>
                      <w:u w:val="single"/>
                    </w:rPr>
                    <w:t>10</w:t>
                  </w:r>
                  <w:r>
                    <w:rPr>
                      <w:szCs w:val="21"/>
                    </w:rPr>
                    <w:t>～0℃</w:t>
                  </w:r>
                </w:p>
                <w:p>
                  <w:pPr>
                    <w:jc w:val="center"/>
                    <w:rPr>
                      <w:szCs w:val="21"/>
                    </w:rPr>
                  </w:pPr>
                  <w:r>
                    <w:rPr>
                      <w:szCs w:val="21"/>
                    </w:rPr>
                    <w:t>7月平均气温18～28℃</w:t>
                  </w:r>
                </w:p>
              </w:tc>
              <w:tc>
                <w:tcPr>
                  <w:tcW w:w="3190" w:type="pct"/>
                  <w:vAlign w:val="center"/>
                </w:tcPr>
                <w:p>
                  <w:pPr>
                    <w:rPr>
                      <w:szCs w:val="21"/>
                    </w:rPr>
                  </w:pPr>
                  <w:r>
                    <w:rPr>
                      <w:szCs w:val="21"/>
                    </w:rPr>
                    <w:t>承德、张家口、</w:t>
                  </w:r>
                  <w:r>
                    <w:rPr>
                      <w:rFonts w:hint="eastAsia"/>
                      <w:szCs w:val="21"/>
                      <w:u w:val="single"/>
                    </w:rPr>
                    <w:t>怀来、唐山、</w:t>
                  </w:r>
                  <w:r>
                    <w:rPr>
                      <w:szCs w:val="21"/>
                    </w:rPr>
                    <w:t>乐亭、太原、锦州、朝阳、营口、丹东、大连、青岛、潍坊、海阳、日照、菏泽、临沂、</w:t>
                  </w:r>
                  <w:r>
                    <w:rPr>
                      <w:rFonts w:hint="eastAsia"/>
                      <w:szCs w:val="21"/>
                      <w:u w:val="single"/>
                    </w:rPr>
                    <w:t>原平、</w:t>
                  </w:r>
                  <w:r>
                    <w:rPr>
                      <w:szCs w:val="21"/>
                    </w:rPr>
                    <w:t>离石、</w:t>
                  </w:r>
                  <w:r>
                    <w:rPr>
                      <w:rFonts w:hint="eastAsia"/>
                      <w:szCs w:val="21"/>
                      <w:u w:val="single"/>
                    </w:rPr>
                    <w:t>榆社、介休、运城、阳城、</w:t>
                  </w:r>
                  <w:r>
                    <w:rPr>
                      <w:szCs w:val="21"/>
                    </w:rPr>
                    <w:t>卢氏、</w:t>
                  </w:r>
                  <w:r>
                    <w:rPr>
                      <w:rFonts w:hint="eastAsia"/>
                      <w:szCs w:val="21"/>
                      <w:u w:val="single"/>
                    </w:rPr>
                    <w:t>西安、</w:t>
                  </w:r>
                  <w:r>
                    <w:rPr>
                      <w:szCs w:val="21"/>
                    </w:rPr>
                    <w:t>榆林、延安、</w:t>
                  </w:r>
                  <w:r>
                    <w:rPr>
                      <w:rFonts w:hint="eastAsia"/>
                      <w:szCs w:val="21"/>
                      <w:u w:val="single"/>
                    </w:rPr>
                    <w:t>宝鸡、敦煌、</w:t>
                  </w:r>
                  <w:r>
                    <w:rPr>
                      <w:szCs w:val="21"/>
                    </w:rPr>
                    <w:t>兰州、天水、银川、中宁、伊宁、喀什、和田、马尔康、拉萨、昌都、林芝、北京、天津、石家庄、保定、邢台、沧州、济南、德州、定陶、郑州、安阳、</w:t>
                  </w:r>
                  <w:r>
                    <w:rPr>
                      <w:rFonts w:hint="eastAsia"/>
                      <w:szCs w:val="21"/>
                      <w:u w:val="single"/>
                    </w:rPr>
                    <w:t>孟津、西华、</w:t>
                  </w:r>
                  <w:r>
                    <w:rPr>
                      <w:szCs w:val="21"/>
                    </w:rPr>
                    <w:t>徐州、亳州、西安、哈密、库尔勒、吐鲁番、铁干里克、若羌</w:t>
                  </w:r>
                  <w:r>
                    <w:rPr>
                      <w:rFonts w:hint="eastAsia"/>
                      <w:szCs w:val="21"/>
                      <w:u w:val="single"/>
                    </w:rPr>
                    <w:t>、吉兰泰、临河、盐池、道孚、马尔康、九龙、威宁、毕节、昭通</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395" w:type="pct"/>
                  <w:vAlign w:val="center"/>
                </w:tcPr>
                <w:p>
                  <w:pPr>
                    <w:jc w:val="center"/>
                    <w:rPr>
                      <w:szCs w:val="21"/>
                    </w:rPr>
                  </w:pPr>
                  <w:r>
                    <w:rPr>
                      <w:szCs w:val="21"/>
                    </w:rPr>
                    <w:t>Ⅲ</w:t>
                  </w:r>
                </w:p>
              </w:tc>
              <w:tc>
                <w:tcPr>
                  <w:tcW w:w="500" w:type="pct"/>
                  <w:vAlign w:val="center"/>
                </w:tcPr>
                <w:p>
                  <w:pPr>
                    <w:jc w:val="center"/>
                    <w:rPr>
                      <w:szCs w:val="21"/>
                    </w:rPr>
                  </w:pPr>
                  <w:r>
                    <w:rPr>
                      <w:szCs w:val="21"/>
                    </w:rPr>
                    <w:t>夏热冬冷地区</w:t>
                  </w:r>
                </w:p>
              </w:tc>
              <w:tc>
                <w:tcPr>
                  <w:tcW w:w="915" w:type="pct"/>
                  <w:vAlign w:val="center"/>
                </w:tcPr>
                <w:p>
                  <w:pPr>
                    <w:jc w:val="center"/>
                    <w:rPr>
                      <w:szCs w:val="21"/>
                    </w:rPr>
                  </w:pPr>
                  <w:r>
                    <w:rPr>
                      <w:szCs w:val="21"/>
                    </w:rPr>
                    <w:t>1月平均气温0～10℃</w:t>
                  </w:r>
                </w:p>
                <w:p>
                  <w:pPr>
                    <w:jc w:val="center"/>
                    <w:rPr>
                      <w:szCs w:val="21"/>
                    </w:rPr>
                  </w:pPr>
                  <w:r>
                    <w:rPr>
                      <w:szCs w:val="21"/>
                    </w:rPr>
                    <w:t>7月平均气温25～30℃</w:t>
                  </w:r>
                </w:p>
              </w:tc>
              <w:tc>
                <w:tcPr>
                  <w:tcW w:w="3190" w:type="pct"/>
                  <w:vAlign w:val="center"/>
                </w:tcPr>
                <w:p>
                  <w:pPr>
                    <w:jc w:val="left"/>
                    <w:rPr>
                      <w:szCs w:val="21"/>
                    </w:rPr>
                  </w:pPr>
                  <w:r>
                    <w:rPr>
                      <w:szCs w:val="21"/>
                    </w:rPr>
                    <w:t>上海、南京、盐城、泰州、杭州、温州、丽水、舟山、合肥、铜陵、宁德、蚌埠、南昌、赣州、景德镇、吉安、广昌、邵武、三明、驻马店、</w:t>
                  </w:r>
                  <w:r>
                    <w:rPr>
                      <w:rFonts w:hint="eastAsia"/>
                      <w:szCs w:val="21"/>
                      <w:u w:val="single"/>
                    </w:rPr>
                    <w:t>南阳、信阳、</w:t>
                  </w:r>
                  <w:r>
                    <w:rPr>
                      <w:szCs w:val="21"/>
                    </w:rPr>
                    <w:t>固始、平顶山、少绕、武汉、沙市、老河口、随州、远安、恩施、长沙、永州、张家界、涟源、韶关、汉中、略阳、山阳、安康 、成都、平武、</w:t>
                  </w:r>
                  <w:r>
                    <w:rPr>
                      <w:rFonts w:hint="eastAsia"/>
                      <w:szCs w:val="21"/>
                      <w:u w:val="single"/>
                    </w:rPr>
                    <w:t>绵阳、雅安、宜宾、南充、泸州、</w:t>
                  </w:r>
                  <w:r>
                    <w:rPr>
                      <w:szCs w:val="21"/>
                    </w:rPr>
                    <w:t>达州、内江、重庆、桐仁、凯里、桂林、</w:t>
                  </w:r>
                  <w:r>
                    <w:rPr>
                      <w:rFonts w:hint="eastAsia"/>
                      <w:szCs w:val="21"/>
                      <w:u w:val="single"/>
                    </w:rPr>
                    <w:t>思南、三穗、罗甸、榕江</w:t>
                  </w:r>
                  <w:r>
                    <w:rPr>
                      <w:szCs w:val="21"/>
                      <w:bdr w:val="single" w:color="auto" w:sz="4" w:space="0"/>
                    </w:rPr>
                    <w:t>西昌</w:t>
                  </w:r>
                  <w:r>
                    <w:rPr>
                      <w:szCs w:val="21"/>
                      <w:bdr w:val="single" w:color="auto" w:sz="4" w:space="0"/>
                      <w:vertAlign w:val="superscript"/>
                    </w:rPr>
                    <w:t>*</w:t>
                  </w:r>
                  <w:r>
                    <w:rPr>
                      <w:szCs w:val="21"/>
                      <w:bdr w:val="single" w:color="auto" w:sz="4" w:space="0"/>
                    </w:rPr>
                    <w:t>、酉阳</w:t>
                  </w:r>
                  <w:r>
                    <w:rPr>
                      <w:szCs w:val="21"/>
                      <w:bdr w:val="single" w:color="auto" w:sz="4" w:space="0"/>
                      <w:vertAlign w:val="superscript"/>
                    </w:rPr>
                    <w:t>*</w:t>
                  </w:r>
                  <w:r>
                    <w:rPr>
                      <w:szCs w:val="21"/>
                      <w:bdr w:val="single" w:color="auto" w:sz="4" w:space="0"/>
                    </w:rPr>
                    <w:t>、贵阳</w:t>
                  </w:r>
                  <w:r>
                    <w:rPr>
                      <w:szCs w:val="21"/>
                      <w:bdr w:val="single" w:color="auto" w:sz="4" w:space="0"/>
                      <w:vertAlign w:val="superscript"/>
                    </w:rPr>
                    <w:t>*</w:t>
                  </w:r>
                  <w:r>
                    <w:rPr>
                      <w:szCs w:val="21"/>
                      <w:bdr w:val="single" w:color="auto" w:sz="4" w:space="0"/>
                    </w:rPr>
                    <w:t>、遵义</w:t>
                  </w:r>
                  <w:r>
                    <w:rPr>
                      <w:szCs w:val="21"/>
                      <w:bdr w:val="single" w:color="auto" w:sz="4" w:space="0"/>
                      <w:vertAlign w:val="superscript"/>
                    </w:rPr>
                    <w:t>*</w:t>
                  </w:r>
                  <w:r>
                    <w:rPr>
                      <w:szCs w:val="21"/>
                      <w:bdr w:val="single" w:color="auto" w:sz="4" w:space="0"/>
                    </w:rPr>
                    <w:t>、桐梓</w:t>
                  </w:r>
                  <w:r>
                    <w:rPr>
                      <w:szCs w:val="21"/>
                      <w:bdr w:val="single" w:color="auto" w:sz="4" w:space="0"/>
                      <w:vertAlign w:val="superscript"/>
                    </w:rPr>
                    <w:t>*</w:t>
                  </w:r>
                  <w:r>
                    <w:rPr>
                      <w:szCs w:val="21"/>
                      <w:bdr w:val="single" w:color="auto" w:sz="4" w:space="0"/>
                    </w:rPr>
                    <w:t>、大理</w:t>
                  </w:r>
                  <w:r>
                    <w:rPr>
                      <w:szCs w:val="21"/>
                      <w:bdr w:val="single" w:color="auto" w:sz="4" w:space="0"/>
                      <w:vertAlign w:val="superscript"/>
                    </w:rPr>
                    <w:t>*</w:t>
                  </w:r>
                  <w:r>
                    <w:rPr>
                      <w:rFonts w:hint="eastAsia"/>
                      <w:szCs w:val="21"/>
                      <w:u w:val="single"/>
                    </w:rPr>
                    <w:t>、武夷山市、浦城、福鼎、南平、长汀、永安、蒙山</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550" w:hRule="atLeast"/>
              </w:trPr>
              <w:tc>
                <w:tcPr>
                  <w:tcW w:w="395" w:type="pct"/>
                  <w:vAlign w:val="center"/>
                </w:tcPr>
                <w:p>
                  <w:pPr>
                    <w:jc w:val="center"/>
                    <w:rPr>
                      <w:szCs w:val="21"/>
                    </w:rPr>
                  </w:pPr>
                  <w:r>
                    <w:rPr>
                      <w:szCs w:val="21"/>
                    </w:rPr>
                    <w:t>Ⅳ</w:t>
                  </w:r>
                </w:p>
              </w:tc>
              <w:tc>
                <w:tcPr>
                  <w:tcW w:w="500" w:type="pct"/>
                  <w:vAlign w:val="center"/>
                </w:tcPr>
                <w:p>
                  <w:pPr>
                    <w:jc w:val="center"/>
                    <w:rPr>
                      <w:szCs w:val="21"/>
                    </w:rPr>
                  </w:pPr>
                  <w:r>
                    <w:rPr>
                      <w:szCs w:val="21"/>
                    </w:rPr>
                    <w:t>夏热冬暖地区</w:t>
                  </w:r>
                </w:p>
              </w:tc>
              <w:tc>
                <w:tcPr>
                  <w:tcW w:w="915" w:type="pct"/>
                  <w:vAlign w:val="center"/>
                </w:tcPr>
                <w:p>
                  <w:pPr>
                    <w:jc w:val="center"/>
                    <w:rPr>
                      <w:szCs w:val="21"/>
                    </w:rPr>
                  </w:pPr>
                  <w:r>
                    <w:rPr>
                      <w:szCs w:val="21"/>
                    </w:rPr>
                    <w:t>1月平均气温＞10℃</w:t>
                  </w:r>
                </w:p>
                <w:p>
                  <w:pPr>
                    <w:jc w:val="center"/>
                    <w:rPr>
                      <w:szCs w:val="21"/>
                    </w:rPr>
                  </w:pPr>
                  <w:r>
                    <w:rPr>
                      <w:szCs w:val="21"/>
                    </w:rPr>
                    <w:t>7月平均气温25～29℃</w:t>
                  </w:r>
                </w:p>
              </w:tc>
              <w:tc>
                <w:tcPr>
                  <w:tcW w:w="3190" w:type="pct"/>
                  <w:vAlign w:val="center"/>
                </w:tcPr>
                <w:p>
                  <w:pPr>
                    <w:jc w:val="left"/>
                    <w:rPr>
                      <w:szCs w:val="21"/>
                    </w:rPr>
                  </w:pPr>
                  <w:r>
                    <w:rPr>
                      <w:szCs w:val="21"/>
                    </w:rPr>
                    <w:t>福州、泉州、漳州、广州、梅州、汕头、茂名、南宁、梧州、河池、百色、北海、萍乡、元江、景洪、海口、琼中、三亚、台北</w:t>
                  </w:r>
                  <w:r>
                    <w:rPr>
                      <w:rFonts w:hint="eastAsia"/>
                      <w:szCs w:val="21"/>
                      <w:u w:val="single"/>
                    </w:rPr>
                    <w:t>、元谋、勐腊、漳平、平潭、厦门、连平、河源、深圳、汕尾、湛江、阳江、柳州、那坡、钦州、东方、儋州</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762" w:hRule="atLeast"/>
              </w:trPr>
              <w:tc>
                <w:tcPr>
                  <w:tcW w:w="395" w:type="pct"/>
                  <w:vMerge w:val="restart"/>
                  <w:vAlign w:val="center"/>
                </w:tcPr>
                <w:p>
                  <w:pPr>
                    <w:jc w:val="center"/>
                    <w:rPr>
                      <w:szCs w:val="21"/>
                      <w:u w:val="single"/>
                    </w:rPr>
                  </w:pPr>
                  <w:r>
                    <w:rPr>
                      <w:szCs w:val="21"/>
                      <w:u w:val="single"/>
                    </w:rPr>
                    <w:fldChar w:fldCharType="begin"/>
                  </w:r>
                  <w:r>
                    <w:rPr>
                      <w:szCs w:val="21"/>
                      <w:u w:val="single"/>
                    </w:rPr>
                    <w:instrText xml:space="preserve"> </w:instrText>
                  </w:r>
                  <w:r>
                    <w:rPr>
                      <w:rFonts w:hint="eastAsia"/>
                      <w:szCs w:val="21"/>
                      <w:u w:val="single"/>
                    </w:rPr>
                    <w:instrText xml:space="preserve">= 5 \* ROMAN</w:instrText>
                  </w:r>
                  <w:r>
                    <w:rPr>
                      <w:szCs w:val="21"/>
                      <w:u w:val="single"/>
                    </w:rPr>
                    <w:instrText xml:space="preserve"> </w:instrText>
                  </w:r>
                  <w:r>
                    <w:rPr>
                      <w:szCs w:val="21"/>
                      <w:u w:val="single"/>
                    </w:rPr>
                    <w:fldChar w:fldCharType="separate"/>
                  </w:r>
                  <w:r>
                    <w:rPr>
                      <w:szCs w:val="21"/>
                      <w:u w:val="single"/>
                    </w:rPr>
                    <w:t>V</w:t>
                  </w:r>
                  <w:r>
                    <w:rPr>
                      <w:szCs w:val="21"/>
                      <w:u w:val="single"/>
                    </w:rPr>
                    <w:fldChar w:fldCharType="end"/>
                  </w:r>
                </w:p>
              </w:tc>
              <w:tc>
                <w:tcPr>
                  <w:tcW w:w="500" w:type="pct"/>
                  <w:vMerge w:val="restart"/>
                  <w:vAlign w:val="center"/>
                </w:tcPr>
                <w:p>
                  <w:pPr>
                    <w:jc w:val="center"/>
                    <w:rPr>
                      <w:szCs w:val="21"/>
                      <w:u w:val="single"/>
                    </w:rPr>
                  </w:pPr>
                  <w:r>
                    <w:rPr>
                      <w:rFonts w:hint="eastAsia"/>
                      <w:szCs w:val="21"/>
                      <w:u w:val="single"/>
                    </w:rPr>
                    <w:t>温和地区</w:t>
                  </w:r>
                </w:p>
              </w:tc>
              <w:tc>
                <w:tcPr>
                  <w:tcW w:w="915" w:type="pct"/>
                  <w:vMerge w:val="restart"/>
                  <w:vAlign w:val="center"/>
                </w:tcPr>
                <w:p>
                  <w:pPr>
                    <w:jc w:val="center"/>
                    <w:rPr>
                      <w:szCs w:val="21"/>
                      <w:u w:val="single"/>
                    </w:rPr>
                  </w:pPr>
                  <w:r>
                    <w:rPr>
                      <w:szCs w:val="21"/>
                      <w:u w:val="single"/>
                    </w:rPr>
                    <w:t>1月平均气温0～13℃</w:t>
                  </w:r>
                </w:p>
                <w:p>
                  <w:pPr>
                    <w:jc w:val="center"/>
                    <w:rPr>
                      <w:szCs w:val="21"/>
                      <w:u w:val="single"/>
                    </w:rPr>
                  </w:pPr>
                  <w:r>
                    <w:rPr>
                      <w:szCs w:val="21"/>
                      <w:u w:val="single"/>
                    </w:rPr>
                    <w:t>7月平均气温18～25℃</w:t>
                  </w:r>
                </w:p>
              </w:tc>
              <w:tc>
                <w:tcPr>
                  <w:tcW w:w="3190" w:type="pct"/>
                  <w:tcBorders>
                    <w:bottom w:val="single" w:color="auto" w:sz="4" w:space="0"/>
                  </w:tcBorders>
                  <w:vAlign w:val="center"/>
                </w:tcPr>
                <w:p>
                  <w:pPr>
                    <w:jc w:val="left"/>
                    <w:rPr>
                      <w:szCs w:val="21"/>
                      <w:u w:val="single"/>
                    </w:rPr>
                  </w:pPr>
                  <w:r>
                    <w:rPr>
                      <w:rFonts w:hint="eastAsia"/>
                      <w:szCs w:val="21"/>
                      <w:u w:val="single"/>
                    </w:rPr>
                    <w:t>温和A区：</w:t>
                  </w:r>
                  <w:r>
                    <w:rPr>
                      <w:szCs w:val="21"/>
                      <w:u w:val="single"/>
                    </w:rPr>
                    <w:t>西昌、酉阳、贵阳、桐梓、大理、</w:t>
                  </w:r>
                  <w:r>
                    <w:rPr>
                      <w:rFonts w:hint="eastAsia"/>
                      <w:szCs w:val="21"/>
                      <w:u w:val="single"/>
                    </w:rPr>
                    <w:t>会理、兴义、独山、昆明、丽江、会泽、腾冲、保山、楚雄、沾益、泸西、广南</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878" w:hRule="atLeast"/>
              </w:trPr>
              <w:tc>
                <w:tcPr>
                  <w:tcW w:w="395" w:type="pct"/>
                  <w:vMerge w:val="continue"/>
                  <w:vAlign w:val="center"/>
                </w:tcPr>
                <w:p>
                  <w:pPr>
                    <w:jc w:val="center"/>
                    <w:rPr>
                      <w:szCs w:val="21"/>
                    </w:rPr>
                  </w:pPr>
                </w:p>
              </w:tc>
              <w:tc>
                <w:tcPr>
                  <w:tcW w:w="500" w:type="pct"/>
                  <w:vMerge w:val="continue"/>
                  <w:vAlign w:val="center"/>
                </w:tcPr>
                <w:p>
                  <w:pPr>
                    <w:jc w:val="center"/>
                    <w:rPr>
                      <w:szCs w:val="21"/>
                    </w:rPr>
                  </w:pPr>
                </w:p>
              </w:tc>
              <w:tc>
                <w:tcPr>
                  <w:tcW w:w="915" w:type="pct"/>
                  <w:vMerge w:val="continue"/>
                  <w:vAlign w:val="center"/>
                </w:tcPr>
                <w:p>
                  <w:pPr>
                    <w:jc w:val="center"/>
                    <w:rPr>
                      <w:szCs w:val="21"/>
                    </w:rPr>
                  </w:pPr>
                </w:p>
              </w:tc>
              <w:tc>
                <w:tcPr>
                  <w:tcW w:w="3190" w:type="pct"/>
                  <w:tcBorders>
                    <w:top w:val="single" w:color="auto" w:sz="4" w:space="0"/>
                  </w:tcBorders>
                  <w:vAlign w:val="center"/>
                </w:tcPr>
                <w:p>
                  <w:pPr>
                    <w:jc w:val="left"/>
                    <w:rPr>
                      <w:szCs w:val="21"/>
                      <w:u w:val="single"/>
                    </w:rPr>
                  </w:pPr>
                  <w:r>
                    <w:rPr>
                      <w:rFonts w:hint="eastAsia"/>
                      <w:szCs w:val="21"/>
                      <w:u w:val="single"/>
                    </w:rPr>
                    <w:t>温和B区：瑞丽、耿马、临沧、澜沧、思茅、江城、蒙自</w:t>
                  </w:r>
                </w:p>
              </w:tc>
            </w:tr>
          </w:tbl>
          <w:p>
            <w:pPr>
              <w:spacing w:before="240" w:line="360" w:lineRule="auto"/>
              <w:ind w:firstLine="240" w:firstLineChars="100"/>
              <w:rPr>
                <w:rFonts w:asciiTheme="minorEastAsia" w:hAnsiTheme="minorEastAsia" w:eastAsiaTheme="minorEastAsia"/>
                <w:sz w:val="24"/>
              </w:rPr>
            </w:pPr>
            <w:r>
              <w:rPr>
                <w:sz w:val="24"/>
                <w:bdr w:val="single" w:color="auto" w:sz="4" w:space="0"/>
              </w:rPr>
              <w:t>注：带*号地区在建筑热工分区中属温和A区，围护结构限值按夏热冬冷地区的相关参数执行。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3529" w:type="dxa"/>
            <w:vAlign w:val="center"/>
          </w:tcPr>
          <w:p>
            <w:pPr>
              <w:spacing w:line="360" w:lineRule="auto"/>
              <w:rPr>
                <w:sz w:val="24"/>
              </w:rPr>
            </w:pPr>
            <w:r>
              <w:rPr>
                <w:b/>
                <w:sz w:val="24"/>
              </w:rPr>
              <w:t xml:space="preserve">3.0.2 </w:t>
            </w:r>
            <w:r>
              <w:rPr>
                <w:sz w:val="24"/>
              </w:rPr>
              <w:t xml:space="preserve"> 严寒和寒冷地区农村居住建筑的卧室、起居室等主要功能房间，节能计算冬季室内热环境参数的选取应符合下列规定： </w:t>
            </w:r>
          </w:p>
          <w:p>
            <w:pPr>
              <w:spacing w:line="360" w:lineRule="auto"/>
              <w:rPr>
                <w:sz w:val="24"/>
              </w:rPr>
            </w:pPr>
            <w:r>
              <w:rPr>
                <w:sz w:val="24"/>
              </w:rPr>
              <w:t xml:space="preserve">    </w:t>
            </w:r>
            <w:r>
              <w:rPr>
                <w:b/>
                <w:sz w:val="24"/>
              </w:rPr>
              <w:t xml:space="preserve">1  </w:t>
            </w:r>
            <w:r>
              <w:rPr>
                <w:sz w:val="24"/>
              </w:rPr>
              <w:t>室内计算温度应取</w:t>
            </w:r>
            <w:r>
              <w:rPr>
                <w:rFonts w:ascii="宋体" w:hAnsi="宋体" w:cs="宋体"/>
                <w:sz w:val="24"/>
              </w:rPr>
              <w:t>14</w:t>
            </w:r>
            <w:r>
              <w:rPr>
                <w:sz w:val="24"/>
              </w:rPr>
              <w:t>℃；</w:t>
            </w:r>
          </w:p>
          <w:p>
            <w:pPr>
              <w:spacing w:line="360" w:lineRule="auto"/>
              <w:ind w:firstLine="420"/>
              <w:rPr>
                <w:sz w:val="24"/>
              </w:rPr>
            </w:pPr>
            <w:r>
              <w:rPr>
                <w:b/>
                <w:sz w:val="24"/>
              </w:rPr>
              <w:t>2</w:t>
            </w:r>
            <w:r>
              <w:rPr>
                <w:sz w:val="24"/>
              </w:rPr>
              <w:t xml:space="preserve">  计算换气次数应取0.5 h</w:t>
            </w:r>
            <w:r>
              <w:rPr>
                <w:sz w:val="24"/>
                <w:vertAlign w:val="superscript"/>
              </w:rPr>
              <w:t>-1</w:t>
            </w:r>
            <w:r>
              <w:rPr>
                <w:sz w:val="24"/>
              </w:rPr>
              <w:t>。</w:t>
            </w:r>
          </w:p>
        </w:tc>
        <w:tc>
          <w:tcPr>
            <w:tcW w:w="4753" w:type="dxa"/>
            <w:vAlign w:val="center"/>
          </w:tcPr>
          <w:p>
            <w:pPr>
              <w:spacing w:line="360" w:lineRule="auto"/>
              <w:rPr>
                <w:sz w:val="24"/>
              </w:rPr>
            </w:pPr>
            <w:r>
              <w:rPr>
                <w:b/>
                <w:sz w:val="24"/>
              </w:rPr>
              <w:t xml:space="preserve">3.0.2 </w:t>
            </w:r>
            <w:r>
              <w:rPr>
                <w:sz w:val="24"/>
              </w:rPr>
              <w:t xml:space="preserve"> 严寒和寒冷地区农村居住建筑的卧室、起居室等主要功能房间，节能计算冬季室内热环境参数的选取应符合下列规定： </w:t>
            </w:r>
          </w:p>
          <w:p>
            <w:pPr>
              <w:spacing w:line="360" w:lineRule="auto"/>
              <w:rPr>
                <w:sz w:val="24"/>
              </w:rPr>
            </w:pPr>
            <w:r>
              <w:rPr>
                <w:sz w:val="24"/>
              </w:rPr>
              <w:t xml:space="preserve">    </w:t>
            </w:r>
            <w:r>
              <w:rPr>
                <w:b/>
                <w:sz w:val="24"/>
              </w:rPr>
              <w:t xml:space="preserve">1  </w:t>
            </w:r>
            <w:r>
              <w:rPr>
                <w:sz w:val="24"/>
              </w:rPr>
              <w:t>室内计算温度应取</w:t>
            </w:r>
            <w:r>
              <w:rPr>
                <w:rFonts w:hint="eastAsia"/>
                <w:sz w:val="24"/>
                <w:bdr w:val="single" w:color="auto" w:sz="4" w:space="0"/>
              </w:rPr>
              <w:t>1</w:t>
            </w:r>
            <w:r>
              <w:rPr>
                <w:sz w:val="24"/>
                <w:bdr w:val="single" w:color="auto" w:sz="4" w:space="0"/>
              </w:rPr>
              <w:t>4</w:t>
            </w:r>
            <w:r>
              <w:rPr>
                <w:sz w:val="24"/>
                <w:u w:val="single"/>
              </w:rPr>
              <w:t>18</w:t>
            </w:r>
            <w:r>
              <w:rPr>
                <w:sz w:val="24"/>
              </w:rPr>
              <w:t>℃；</w:t>
            </w:r>
          </w:p>
          <w:p>
            <w:pPr>
              <w:spacing w:line="360" w:lineRule="auto"/>
              <w:ind w:firstLine="420"/>
              <w:rPr>
                <w:sz w:val="24"/>
              </w:rPr>
            </w:pPr>
            <w:r>
              <w:rPr>
                <w:b/>
                <w:sz w:val="24"/>
              </w:rPr>
              <w:t>2</w:t>
            </w:r>
            <w:r>
              <w:rPr>
                <w:sz w:val="24"/>
              </w:rPr>
              <w:t xml:space="preserve">  计算换气次数应取0.5 h</w:t>
            </w:r>
            <w:r>
              <w:rPr>
                <w:sz w:val="24"/>
                <w:vertAlign w:val="superscript"/>
              </w:rPr>
              <w:t>-1</w:t>
            </w:r>
            <w:r>
              <w:rPr>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b/>
                <w:sz w:val="24"/>
              </w:rPr>
            </w:pPr>
          </w:p>
        </w:tc>
        <w:tc>
          <w:tcPr>
            <w:tcW w:w="4753" w:type="dxa"/>
          </w:tcPr>
          <w:p>
            <w:pPr>
              <w:spacing w:line="360" w:lineRule="auto"/>
              <w:rPr>
                <w:sz w:val="24"/>
                <w:u w:val="single"/>
              </w:rPr>
            </w:pPr>
            <w:r>
              <w:rPr>
                <w:b/>
                <w:sz w:val="24"/>
                <w:u w:val="single"/>
              </w:rPr>
              <w:t>3.0.4</w:t>
            </w:r>
            <w:r>
              <w:rPr>
                <w:rFonts w:hint="eastAsia"/>
                <w:b/>
                <w:sz w:val="24"/>
                <w:u w:val="single"/>
              </w:rPr>
              <w:t>A</w:t>
            </w:r>
            <w:r>
              <w:rPr>
                <w:sz w:val="24"/>
                <w:u w:val="single"/>
              </w:rPr>
              <w:t xml:space="preserve">  </w:t>
            </w:r>
            <w:r>
              <w:rPr>
                <w:rFonts w:hint="eastAsia"/>
                <w:sz w:val="24"/>
                <w:u w:val="single"/>
              </w:rPr>
              <w:t>温和A</w:t>
            </w:r>
            <w:r>
              <w:rPr>
                <w:sz w:val="24"/>
                <w:u w:val="single"/>
              </w:rPr>
              <w:t>区农村居住建筑的卧室、起居室等主要功能房间，</w:t>
            </w:r>
            <w:r>
              <w:rPr>
                <w:rFonts w:hint="eastAsia"/>
                <w:sz w:val="24"/>
                <w:u w:val="single"/>
              </w:rPr>
              <w:t>节能计算冬季室内热环境参数的选取应符合下列规定：</w:t>
            </w:r>
            <w:r>
              <w:rPr>
                <w:sz w:val="24"/>
                <w:u w:val="single"/>
              </w:rPr>
              <w:t xml:space="preserve"> </w:t>
            </w:r>
          </w:p>
          <w:p>
            <w:pPr>
              <w:spacing w:line="360" w:lineRule="auto"/>
              <w:ind w:firstLine="482" w:firstLineChars="200"/>
              <w:rPr>
                <w:sz w:val="24"/>
                <w:u w:val="single"/>
              </w:rPr>
            </w:pPr>
            <w:r>
              <w:rPr>
                <w:b/>
                <w:sz w:val="24"/>
                <w:u w:val="single"/>
              </w:rPr>
              <w:t>1</w:t>
            </w:r>
            <w:r>
              <w:rPr>
                <w:sz w:val="24"/>
                <w:u w:val="single"/>
              </w:rPr>
              <w:t xml:space="preserve"> </w:t>
            </w:r>
            <w:r>
              <w:rPr>
                <w:rFonts w:hint="eastAsia"/>
                <w:sz w:val="24"/>
                <w:u w:val="single"/>
              </w:rPr>
              <w:t xml:space="preserve"> </w:t>
            </w:r>
            <w:r>
              <w:rPr>
                <w:sz w:val="24"/>
                <w:u w:val="single"/>
              </w:rPr>
              <w:t>室内</w:t>
            </w:r>
            <w:r>
              <w:rPr>
                <w:rFonts w:hint="eastAsia"/>
                <w:sz w:val="24"/>
                <w:u w:val="single"/>
              </w:rPr>
              <w:t>计算</w:t>
            </w:r>
            <w:r>
              <w:rPr>
                <w:sz w:val="24"/>
                <w:u w:val="single"/>
              </w:rPr>
              <w:t>温度</w:t>
            </w:r>
            <w:r>
              <w:rPr>
                <w:rFonts w:hint="eastAsia"/>
                <w:sz w:val="24"/>
                <w:u w:val="single"/>
              </w:rPr>
              <w:t>应取</w:t>
            </w:r>
            <w:r>
              <w:rPr>
                <w:sz w:val="24"/>
                <w:u w:val="single"/>
              </w:rPr>
              <w:t>8℃；</w:t>
            </w:r>
          </w:p>
          <w:p>
            <w:pPr>
              <w:spacing w:line="360" w:lineRule="auto"/>
              <w:ind w:firstLine="482" w:firstLineChars="200"/>
              <w:rPr>
                <w:szCs w:val="21"/>
                <w:u w:val="single"/>
              </w:rPr>
            </w:pPr>
            <w:r>
              <w:rPr>
                <w:b/>
                <w:sz w:val="24"/>
                <w:u w:val="single"/>
              </w:rPr>
              <w:t>2</w:t>
            </w:r>
            <w:r>
              <w:rPr>
                <w:rFonts w:hint="eastAsia"/>
                <w:sz w:val="24"/>
                <w:u w:val="single"/>
              </w:rPr>
              <w:t xml:space="preserve">  计算</w:t>
            </w:r>
            <w:r>
              <w:rPr>
                <w:sz w:val="24"/>
                <w:u w:val="single"/>
              </w:rPr>
              <w:t>换气次数</w:t>
            </w:r>
            <w:r>
              <w:rPr>
                <w:rFonts w:hint="eastAsia"/>
                <w:sz w:val="24"/>
                <w:u w:val="single"/>
              </w:rPr>
              <w:t>应取</w:t>
            </w:r>
            <w:r>
              <w:rPr>
                <w:sz w:val="24"/>
                <w:u w:val="single"/>
              </w:rPr>
              <w:t>1</w:t>
            </w:r>
            <w:r>
              <w:rPr>
                <w:rFonts w:hint="eastAsia"/>
                <w:sz w:val="24"/>
                <w:u w:val="single"/>
              </w:rPr>
              <w:t xml:space="preserve"> h</w:t>
            </w:r>
            <w:r>
              <w:rPr>
                <w:rFonts w:hint="eastAsia"/>
                <w:sz w:val="24"/>
                <w:u w:val="single"/>
                <w:vertAlign w:val="superscript"/>
              </w:rPr>
              <w:t>-1</w:t>
            </w:r>
            <w:r>
              <w:rPr>
                <w:sz w:val="24"/>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sz w:val="24"/>
                <w:u w:val="single"/>
              </w:rPr>
            </w:pPr>
            <w:r>
              <w:rPr>
                <w:b/>
                <w:sz w:val="24"/>
              </w:rPr>
              <w:t xml:space="preserve">3.0.5  </w:t>
            </w:r>
            <w:r>
              <w:rPr>
                <w:sz w:val="24"/>
              </w:rPr>
              <w:t>农村居住建筑应充分利用建筑外部环境因素创造适宜的室内环境。</w:t>
            </w:r>
          </w:p>
        </w:tc>
        <w:tc>
          <w:tcPr>
            <w:tcW w:w="4753" w:type="dxa"/>
          </w:tcPr>
          <w:p>
            <w:pPr>
              <w:spacing w:line="360" w:lineRule="auto"/>
              <w:rPr>
                <w:sz w:val="24"/>
                <w:u w:val="single"/>
              </w:rPr>
            </w:pPr>
            <w:r>
              <w:rPr>
                <w:b/>
                <w:sz w:val="24"/>
              </w:rPr>
              <w:t xml:space="preserve">3.0.5  </w:t>
            </w:r>
            <w:r>
              <w:rPr>
                <w:sz w:val="24"/>
                <w:szCs w:val="21"/>
                <w:bdr w:val="single" w:color="auto" w:sz="4" w:space="0"/>
              </w:rPr>
              <w:t>农村居住建筑应充分利用建筑外部环境因素创造适宜的室内环境。</w:t>
            </w:r>
            <w:r>
              <w:rPr>
                <w:rFonts w:hint="eastAsia"/>
                <w:sz w:val="24"/>
                <w:u w:val="single"/>
              </w:rPr>
              <w:t>农村居住建筑设计应根据当地气候特征、自然资源和场地条件，充分利用被动式建筑设计降低建筑冷热负荷需求，并应采用清洁能源为建筑提供供暖、空调、生活热水、照明、炊事等用能。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sz w:val="24"/>
              </w:rPr>
            </w:pPr>
            <w:r>
              <w:rPr>
                <w:b/>
                <w:sz w:val="24"/>
              </w:rPr>
              <w:t>3.0.7</w:t>
            </w:r>
            <w:r>
              <w:rPr>
                <w:sz w:val="24"/>
              </w:rPr>
              <w:t xml:space="preserve">  农村居住建筑节能设计应总结并采用当地有效的保</w:t>
            </w:r>
            <w:r>
              <w:rPr>
                <w:rFonts w:hint="eastAsia"/>
                <w:sz w:val="24"/>
              </w:rPr>
              <w:t>暖</w:t>
            </w:r>
            <w:r>
              <w:rPr>
                <w:sz w:val="24"/>
              </w:rPr>
              <w:t>降温经验和措施，并</w:t>
            </w:r>
            <w:r>
              <w:rPr>
                <w:rFonts w:hint="eastAsia"/>
                <w:sz w:val="24"/>
              </w:rPr>
              <w:t>应</w:t>
            </w:r>
            <w:r>
              <w:rPr>
                <w:sz w:val="24"/>
              </w:rPr>
              <w:t>与当地民居建筑设计风格相协调。</w:t>
            </w:r>
          </w:p>
        </w:tc>
        <w:tc>
          <w:tcPr>
            <w:tcW w:w="4753" w:type="dxa"/>
          </w:tcPr>
          <w:p>
            <w:pPr>
              <w:spacing w:line="360" w:lineRule="auto"/>
              <w:rPr>
                <w:b/>
                <w:sz w:val="24"/>
              </w:rPr>
            </w:pPr>
            <w:r>
              <w:rPr>
                <w:b/>
                <w:sz w:val="24"/>
              </w:rPr>
              <w:t>3.0.7</w:t>
            </w:r>
            <w:r>
              <w:rPr>
                <w:sz w:val="24"/>
              </w:rPr>
              <w:t xml:space="preserve">  农村居住建筑节能设计应总结并采用当地有效的保</w:t>
            </w:r>
            <w:r>
              <w:rPr>
                <w:rFonts w:hint="eastAsia"/>
                <w:sz w:val="24"/>
              </w:rPr>
              <w:t>暖</w:t>
            </w:r>
            <w:r>
              <w:rPr>
                <w:sz w:val="24"/>
              </w:rPr>
              <w:t>降温经验和措施，并</w:t>
            </w:r>
            <w:r>
              <w:rPr>
                <w:rFonts w:hint="eastAsia"/>
                <w:sz w:val="24"/>
              </w:rPr>
              <w:t>应</w:t>
            </w:r>
            <w:r>
              <w:rPr>
                <w:rFonts w:hint="eastAsia"/>
                <w:sz w:val="24"/>
                <w:u w:val="single"/>
              </w:rPr>
              <w:t>充分利用乡土技术和材料，</w:t>
            </w:r>
            <w:r>
              <w:rPr>
                <w:sz w:val="24"/>
              </w:rPr>
              <w:t>与当地民居建筑设计风格相协调。</w:t>
            </w:r>
            <w:r>
              <w:rPr>
                <w:rFonts w:hint="eastAsia"/>
                <w:sz w:val="24"/>
                <w:u w:val="single"/>
              </w:rPr>
              <w:t>节能改造后的农村居住建筑应体现乡土建筑特色，并与村落整体风貌相融合。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b/>
                <w:sz w:val="24"/>
              </w:rPr>
            </w:pPr>
          </w:p>
        </w:tc>
        <w:tc>
          <w:tcPr>
            <w:tcW w:w="4753" w:type="dxa"/>
          </w:tcPr>
          <w:p>
            <w:pPr>
              <w:spacing w:line="360" w:lineRule="auto"/>
              <w:rPr>
                <w:b/>
                <w:sz w:val="24"/>
              </w:rPr>
            </w:pPr>
            <w:r>
              <w:rPr>
                <w:rFonts w:hint="eastAsia"/>
                <w:b/>
                <w:sz w:val="24"/>
              </w:rPr>
              <w:t>3.0.8</w:t>
            </w:r>
            <w:r>
              <w:rPr>
                <w:b/>
                <w:sz w:val="24"/>
              </w:rPr>
              <w:t xml:space="preserve"> </w:t>
            </w:r>
            <w:r>
              <w:rPr>
                <w:rFonts w:hint="eastAsia"/>
                <w:bCs/>
                <w:sz w:val="24"/>
                <w:u w:val="single"/>
              </w:rPr>
              <w:t>执行本标准的新建农村居住建筑能耗水平应较《农村居住建筑节能设计标准》GB/T 50824-2013降低30%以上。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b/>
                <w:sz w:val="24"/>
              </w:rPr>
            </w:pPr>
          </w:p>
        </w:tc>
        <w:tc>
          <w:tcPr>
            <w:tcW w:w="4753" w:type="dxa"/>
          </w:tcPr>
          <w:p>
            <w:pPr>
              <w:spacing w:line="360" w:lineRule="auto"/>
              <w:rPr>
                <w:bCs/>
                <w:sz w:val="24"/>
                <w:u w:val="single"/>
              </w:rPr>
            </w:pPr>
            <w:r>
              <w:rPr>
                <w:b/>
                <w:sz w:val="24"/>
                <w:u w:val="single"/>
              </w:rPr>
              <w:t xml:space="preserve">3.0.9 </w:t>
            </w:r>
            <w:r>
              <w:rPr>
                <w:rFonts w:hint="eastAsia"/>
                <w:bCs/>
                <w:sz w:val="24"/>
                <w:u w:val="single"/>
              </w:rPr>
              <w:t>执行农村居住建筑节能50%以下标准且改造后能继续使用20年以上的既有建筑应进行节能改造。</w:t>
            </w:r>
            <w:r>
              <w:rPr>
                <w:bCs/>
                <w:sz w:val="24"/>
                <w:u w:val="single"/>
              </w:rPr>
              <w:t>节能改造</w:t>
            </w:r>
            <w:r>
              <w:rPr>
                <w:rFonts w:hint="eastAsia"/>
                <w:bCs/>
                <w:sz w:val="24"/>
                <w:u w:val="single"/>
              </w:rPr>
              <w:t>后建筑能耗指标应较节能改造前降低3</w:t>
            </w:r>
            <w:r>
              <w:rPr>
                <w:bCs/>
                <w:sz w:val="24"/>
                <w:u w:val="single"/>
              </w:rPr>
              <w:t>0</w:t>
            </w:r>
            <w:r>
              <w:rPr>
                <w:rFonts w:hint="eastAsia"/>
                <w:bCs/>
                <w:sz w:val="24"/>
                <w:u w:val="single"/>
              </w:rPr>
              <w:t>%，改造部分宜满足新建建筑性能要求</w:t>
            </w:r>
            <w:r>
              <w:rPr>
                <w:bCs/>
                <w:sz w:val="24"/>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b/>
                <w:sz w:val="24"/>
              </w:rPr>
            </w:pPr>
          </w:p>
        </w:tc>
        <w:tc>
          <w:tcPr>
            <w:tcW w:w="4753" w:type="dxa"/>
          </w:tcPr>
          <w:p>
            <w:pPr>
              <w:spacing w:line="360" w:lineRule="auto"/>
              <w:rPr>
                <w:sz w:val="24"/>
                <w:u w:val="single"/>
              </w:rPr>
            </w:pPr>
            <w:r>
              <w:rPr>
                <w:b/>
                <w:sz w:val="24"/>
                <w:u w:val="single"/>
              </w:rPr>
              <w:t>3.0.10</w:t>
            </w:r>
            <w:r>
              <w:rPr>
                <w:rFonts w:hint="eastAsia"/>
                <w:sz w:val="24"/>
                <w:u w:val="single"/>
              </w:rPr>
              <w:t xml:space="preserve"> 农村居住建筑节能改造应优先进行围护结构节能改造，可同步进行用能系统和可再生能源利用系统改造。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b/>
                <w:sz w:val="24"/>
              </w:rPr>
            </w:pPr>
          </w:p>
        </w:tc>
        <w:tc>
          <w:tcPr>
            <w:tcW w:w="4753" w:type="dxa"/>
          </w:tcPr>
          <w:p>
            <w:pPr>
              <w:spacing w:line="288" w:lineRule="auto"/>
              <w:rPr>
                <w:rFonts w:ascii="宋体" w:hAnsi="宋体" w:cs="宋体"/>
                <w:color w:val="FF0000"/>
                <w:sz w:val="24"/>
                <w:u w:val="single"/>
              </w:rPr>
            </w:pPr>
            <w:r>
              <w:rPr>
                <w:b/>
                <w:sz w:val="24"/>
                <w:u w:val="single"/>
              </w:rPr>
              <w:t>3.0.11</w:t>
            </w:r>
            <w:r>
              <w:rPr>
                <w:sz w:val="24"/>
                <w:u w:val="single"/>
              </w:rPr>
              <w:t xml:space="preserve">  </w:t>
            </w:r>
            <w:r>
              <w:rPr>
                <w:rFonts w:hint="eastAsia"/>
                <w:sz w:val="24"/>
                <w:u w:val="single"/>
              </w:rPr>
              <w:t>农村居住建筑在满足节能要求的前提下，宜优先采用装配式建筑技术。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vAlign w:val="center"/>
          </w:tcPr>
          <w:p>
            <w:pPr>
              <w:spacing w:line="360" w:lineRule="auto"/>
              <w:jc w:val="center"/>
              <w:rPr>
                <w:rFonts w:ascii="宋体" w:hAnsi="宋体"/>
                <w:b/>
                <w:bCs/>
                <w:sz w:val="24"/>
              </w:rPr>
            </w:pPr>
            <w:bookmarkStart w:id="8" w:name="_Toc119425245"/>
            <w:r>
              <w:rPr>
                <w:rFonts w:ascii="宋体" w:hAnsi="宋体"/>
                <w:b/>
                <w:bCs/>
                <w:sz w:val="24"/>
              </w:rPr>
              <w:t>4  建筑布局与节能设计</w:t>
            </w:r>
            <w:bookmarkEnd w:id="8"/>
          </w:p>
        </w:tc>
        <w:tc>
          <w:tcPr>
            <w:tcW w:w="4753" w:type="dxa"/>
            <w:vAlign w:val="center"/>
          </w:tcPr>
          <w:p>
            <w:pPr>
              <w:spacing w:line="288" w:lineRule="auto"/>
              <w:jc w:val="center"/>
              <w:rPr>
                <w:rFonts w:ascii="宋体" w:hAnsi="宋体"/>
                <w:b/>
                <w:bCs/>
                <w:sz w:val="24"/>
              </w:rPr>
            </w:pPr>
            <w:r>
              <w:rPr>
                <w:rFonts w:ascii="宋体" w:hAnsi="宋体"/>
                <w:b/>
                <w:bCs/>
                <w:sz w:val="24"/>
              </w:rPr>
              <w:t>4  建筑布局与节能设计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9" w:name="_Toc119425246"/>
            <w:bookmarkStart w:id="10" w:name="_Toc308789940"/>
            <w:bookmarkStart w:id="11" w:name="_Toc311459954"/>
            <w:bookmarkStart w:id="12" w:name="_Toc307301156"/>
            <w:bookmarkStart w:id="13" w:name="_Toc300845627"/>
            <w:bookmarkStart w:id="14" w:name="_Toc308019509"/>
            <w:bookmarkStart w:id="15" w:name="_Toc303242465"/>
            <w:r>
              <w:rPr>
                <w:rFonts w:ascii="宋体" w:hAnsi="宋体"/>
                <w:b/>
                <w:bCs/>
                <w:sz w:val="24"/>
              </w:rPr>
              <w:t>4.1  一般规定</w:t>
            </w:r>
            <w:bookmarkEnd w:id="9"/>
            <w:bookmarkEnd w:id="10"/>
            <w:bookmarkEnd w:id="11"/>
            <w:bookmarkEnd w:id="12"/>
            <w:bookmarkEnd w:id="13"/>
            <w:bookmarkEnd w:id="14"/>
            <w:bookmarkEnd w:id="15"/>
          </w:p>
        </w:tc>
        <w:tc>
          <w:tcPr>
            <w:tcW w:w="4753" w:type="dxa"/>
          </w:tcPr>
          <w:p>
            <w:pPr>
              <w:spacing w:line="288" w:lineRule="auto"/>
              <w:jc w:val="center"/>
              <w:rPr>
                <w:rFonts w:ascii="宋体" w:hAnsi="宋体"/>
                <w:b/>
                <w:bCs/>
                <w:sz w:val="24"/>
              </w:rPr>
            </w:pPr>
            <w:r>
              <w:rPr>
                <w:rFonts w:ascii="宋体" w:hAnsi="宋体"/>
                <w:b/>
                <w:bCs/>
                <w:sz w:val="24"/>
              </w:rPr>
              <w:t>4.1  一般规定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sz w:val="24"/>
              </w:rPr>
            </w:pPr>
            <w:r>
              <w:rPr>
                <w:b/>
                <w:sz w:val="24"/>
              </w:rPr>
              <w:t xml:space="preserve">4.1.1  </w:t>
            </w:r>
            <w:r>
              <w:rPr>
                <w:sz w:val="24"/>
              </w:rPr>
              <w:t>农村居住建筑的选址与布置应根据不同的气候区进行选择。严寒和寒冷地区应有利于冬季日照和冬季防风，并应有利于夏季通风；夏热冬冷地区应有利于夏季通风，并应</w:t>
            </w:r>
            <w:r>
              <w:rPr>
                <w:kern w:val="0"/>
                <w:sz w:val="24"/>
              </w:rPr>
              <w:t>兼顾</w:t>
            </w:r>
            <w:r>
              <w:rPr>
                <w:sz w:val="24"/>
              </w:rPr>
              <w:t>冬季防风；夏热冬暖地区应有利于自然通风和夏季遮阳。</w:t>
            </w:r>
          </w:p>
        </w:tc>
        <w:tc>
          <w:tcPr>
            <w:tcW w:w="4753" w:type="dxa"/>
          </w:tcPr>
          <w:p>
            <w:pPr>
              <w:spacing w:line="360" w:lineRule="auto"/>
              <w:rPr>
                <w:sz w:val="24"/>
              </w:rPr>
            </w:pPr>
            <w:r>
              <w:rPr>
                <w:b/>
                <w:sz w:val="24"/>
              </w:rPr>
              <w:t xml:space="preserve">4.1.1  </w:t>
            </w:r>
            <w:r>
              <w:rPr>
                <w:sz w:val="24"/>
              </w:rPr>
              <w:t>农村居住建筑的选址与布置应根据不同的气候区进行选择。严寒和寒冷地区应有利于冬季日照和冬季防风，并应有利于夏季通风；夏热冬冷</w:t>
            </w:r>
            <w:r>
              <w:rPr>
                <w:rFonts w:hint="eastAsia"/>
                <w:sz w:val="24"/>
                <w:u w:val="single"/>
              </w:rPr>
              <w:t>和温和</w:t>
            </w:r>
            <w:r>
              <w:rPr>
                <w:sz w:val="24"/>
              </w:rPr>
              <w:t>地区应有利于夏季通风，并应</w:t>
            </w:r>
            <w:r>
              <w:rPr>
                <w:kern w:val="0"/>
                <w:sz w:val="24"/>
              </w:rPr>
              <w:t>兼顾</w:t>
            </w:r>
            <w:r>
              <w:rPr>
                <w:sz w:val="24"/>
              </w:rPr>
              <w:t>冬季防风</w:t>
            </w:r>
            <w:r>
              <w:rPr>
                <w:rFonts w:hint="eastAsia"/>
                <w:sz w:val="24"/>
                <w:u w:val="single"/>
              </w:rPr>
              <w:t>和夏季遮阳</w:t>
            </w:r>
            <w:r>
              <w:rPr>
                <w:sz w:val="24"/>
              </w:rPr>
              <w:t>；夏热冬暖地区应有利于自然通风和夏季遮阳。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288" w:lineRule="auto"/>
              <w:rPr>
                <w:sz w:val="24"/>
              </w:rPr>
            </w:pPr>
            <w:r>
              <w:rPr>
                <w:b/>
                <w:sz w:val="24"/>
              </w:rPr>
              <w:t xml:space="preserve">4.1.3  </w:t>
            </w:r>
            <w:r>
              <w:rPr>
                <w:sz w:val="24"/>
              </w:rPr>
              <w:t>农村居住建筑宜采用被动式太阳房满足冬季供暖需求。</w:t>
            </w:r>
          </w:p>
        </w:tc>
        <w:tc>
          <w:tcPr>
            <w:tcW w:w="4753" w:type="dxa"/>
          </w:tcPr>
          <w:p>
            <w:pPr>
              <w:spacing w:line="360" w:lineRule="auto"/>
              <w:rPr>
                <w:b/>
                <w:sz w:val="24"/>
              </w:rPr>
            </w:pPr>
            <w:r>
              <w:rPr>
                <w:b/>
                <w:sz w:val="24"/>
              </w:rPr>
              <w:t xml:space="preserve">4.1.3  </w:t>
            </w:r>
            <w:r>
              <w:rPr>
                <w:sz w:val="24"/>
              </w:rPr>
              <w:t>农村居住建筑宜采用被动式太阳房满足冬季供暖需求。</w:t>
            </w:r>
            <w:r>
              <w:rPr>
                <w:rFonts w:hint="eastAsia"/>
                <w:sz w:val="24"/>
                <w:u w:val="single"/>
              </w:rPr>
              <w:t>被动式太阳房宜设置在建筑南侧，与门斗、走廊、阳台、温室、起居室、卧室等功能空间结合设计。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b/>
                <w:sz w:val="24"/>
              </w:rPr>
            </w:pPr>
          </w:p>
        </w:tc>
        <w:tc>
          <w:tcPr>
            <w:tcW w:w="4753" w:type="dxa"/>
          </w:tcPr>
          <w:p>
            <w:pPr>
              <w:spacing w:line="360" w:lineRule="auto"/>
              <w:rPr>
                <w:sz w:val="24"/>
                <w:u w:val="single"/>
              </w:rPr>
            </w:pPr>
            <w:r>
              <w:rPr>
                <w:b/>
                <w:sz w:val="24"/>
                <w:u w:val="single"/>
              </w:rPr>
              <w:t xml:space="preserve">4.1.3A  </w:t>
            </w:r>
            <w:r>
              <w:rPr>
                <w:rFonts w:hint="eastAsia"/>
                <w:sz w:val="24"/>
                <w:u w:val="single"/>
              </w:rPr>
              <w:t>采用可再生能源系统的新建农村居住建筑应进行可再生能源系统与建筑的一体化设计，可再生能源系统应与建筑同步设计、同步施工、同步验收。既有建筑进行节能改造时，宜采用可再生能源系统一体化改造方案，改造前应进行结构安全评估，并兼顾建筑外观风貌。可再生能源系统一体化改造宜与既有农村居住建筑的功能、安全、风貌等改造工程同期进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16" w:name="_Toc119425247"/>
            <w:r>
              <w:rPr>
                <w:rFonts w:ascii="宋体" w:hAnsi="宋体"/>
                <w:b/>
                <w:bCs/>
                <w:sz w:val="24"/>
              </w:rPr>
              <w:t>4.2  选址与布局</w:t>
            </w:r>
            <w:bookmarkEnd w:id="16"/>
          </w:p>
        </w:tc>
        <w:tc>
          <w:tcPr>
            <w:tcW w:w="4753" w:type="dxa"/>
          </w:tcPr>
          <w:p>
            <w:pPr>
              <w:spacing w:line="360" w:lineRule="auto"/>
              <w:jc w:val="center"/>
              <w:rPr>
                <w:b/>
                <w:bCs/>
                <w:sz w:val="24"/>
              </w:rPr>
            </w:pPr>
            <w:r>
              <w:rPr>
                <w:rFonts w:ascii="宋体" w:hAnsi="宋体"/>
                <w:b/>
                <w:bCs/>
                <w:sz w:val="24"/>
              </w:rPr>
              <w:t>4.2  选址与布局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sz w:val="24"/>
              </w:rPr>
            </w:pPr>
            <w:r>
              <w:rPr>
                <w:b/>
                <w:sz w:val="24"/>
              </w:rPr>
              <w:t>4.2.4</w:t>
            </w:r>
            <w:r>
              <w:rPr>
                <w:sz w:val="24"/>
              </w:rPr>
              <w:t xml:space="preserve">  农村居住建筑建造在山坡上时，应根据地形依山势而建，不宜进行过多地挖土填方。</w:t>
            </w:r>
          </w:p>
        </w:tc>
        <w:tc>
          <w:tcPr>
            <w:tcW w:w="4753" w:type="dxa"/>
          </w:tcPr>
          <w:p>
            <w:pPr>
              <w:spacing w:line="360" w:lineRule="auto"/>
              <w:rPr>
                <w:sz w:val="24"/>
              </w:rPr>
            </w:pPr>
            <w:r>
              <w:rPr>
                <w:b/>
                <w:sz w:val="24"/>
              </w:rPr>
              <w:t>4.2.4</w:t>
            </w:r>
            <w:r>
              <w:rPr>
                <w:sz w:val="24"/>
              </w:rPr>
              <w:t xml:space="preserve">  农村居住建筑建造在山坡上时，应根据地形依山势而建，不宜进行过多地挖土填方</w:t>
            </w:r>
            <w:r>
              <w:rPr>
                <w:rFonts w:hint="eastAsia"/>
                <w:sz w:val="24"/>
                <w:u w:val="single"/>
              </w:rPr>
              <w:t>，选址宜避开背阴的北坡地段</w:t>
            </w:r>
            <w:r>
              <w:rPr>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17" w:name="_Toc308789942"/>
            <w:bookmarkStart w:id="18" w:name="_Toc303242467"/>
            <w:bookmarkStart w:id="19" w:name="_Toc300845629"/>
            <w:bookmarkStart w:id="20" w:name="_Toc307301158"/>
            <w:bookmarkStart w:id="21" w:name="_Toc119425248"/>
            <w:bookmarkStart w:id="22" w:name="_Toc308019511"/>
            <w:bookmarkStart w:id="23" w:name="_Toc311459956"/>
            <w:r>
              <w:rPr>
                <w:rFonts w:ascii="宋体" w:hAnsi="宋体"/>
                <w:b/>
                <w:bCs/>
                <w:sz w:val="24"/>
              </w:rPr>
              <w:t>4.3  平立面设计</w:t>
            </w:r>
            <w:bookmarkEnd w:id="17"/>
            <w:bookmarkEnd w:id="18"/>
            <w:bookmarkEnd w:id="19"/>
            <w:bookmarkEnd w:id="20"/>
            <w:bookmarkEnd w:id="21"/>
            <w:bookmarkEnd w:id="22"/>
            <w:bookmarkEnd w:id="23"/>
          </w:p>
        </w:tc>
        <w:tc>
          <w:tcPr>
            <w:tcW w:w="4753" w:type="dxa"/>
          </w:tcPr>
          <w:p>
            <w:pPr>
              <w:spacing w:line="360" w:lineRule="auto"/>
              <w:jc w:val="center"/>
              <w:rPr>
                <w:rFonts w:ascii="宋体" w:hAnsi="宋体"/>
                <w:b/>
                <w:bCs/>
                <w:sz w:val="24"/>
              </w:rPr>
            </w:pPr>
            <w:r>
              <w:rPr>
                <w:rFonts w:ascii="宋体" w:hAnsi="宋体"/>
                <w:b/>
                <w:bCs/>
                <w:sz w:val="24"/>
              </w:rPr>
              <w:t>4.3  平立面设计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sz w:val="24"/>
              </w:rPr>
            </w:pPr>
            <w:r>
              <w:rPr>
                <w:b/>
                <w:sz w:val="24"/>
              </w:rPr>
              <w:t xml:space="preserve">4.3.1  </w:t>
            </w:r>
            <w:r>
              <w:rPr>
                <w:sz w:val="24"/>
              </w:rPr>
              <w:t>严寒和寒冷地区农村居住建筑的体形宜简单、规整，平立面不宜出现过多的局部凸出或凹进的部位。开口部位设计应避开当地冬季的主导风向。</w:t>
            </w:r>
          </w:p>
        </w:tc>
        <w:tc>
          <w:tcPr>
            <w:tcW w:w="4753" w:type="dxa"/>
          </w:tcPr>
          <w:p>
            <w:pPr>
              <w:spacing w:line="360" w:lineRule="auto"/>
              <w:rPr>
                <w:sz w:val="24"/>
              </w:rPr>
            </w:pPr>
            <w:r>
              <w:rPr>
                <w:b/>
                <w:sz w:val="24"/>
              </w:rPr>
              <w:t xml:space="preserve">4.3.1  </w:t>
            </w:r>
            <w:r>
              <w:rPr>
                <w:sz w:val="24"/>
              </w:rPr>
              <w:t>严寒和寒冷地区农村居住建筑的体形宜简单、规整，平立面不宜出现过多的局部凸出或凹进的部位。</w:t>
            </w:r>
            <w:r>
              <w:rPr>
                <w:rFonts w:hint="eastAsia"/>
                <w:sz w:val="24"/>
                <w:u w:val="single"/>
              </w:rPr>
              <w:t>严寒地区农村居住建筑的体形系数不应超过0.55，寒冷地区农村居住建筑的体形系数不应超过0.57。</w:t>
            </w:r>
            <w:r>
              <w:rPr>
                <w:sz w:val="24"/>
              </w:rPr>
              <w:t>开口部位设计应避开当地冬季的主导风向。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tabs>
                <w:tab w:val="left" w:pos="1463"/>
              </w:tabs>
              <w:spacing w:line="360" w:lineRule="auto"/>
              <w:rPr>
                <w:sz w:val="24"/>
              </w:rPr>
            </w:pPr>
            <w:r>
              <w:rPr>
                <w:b/>
                <w:sz w:val="24"/>
              </w:rPr>
              <w:t xml:space="preserve">4.3.2 </w:t>
            </w:r>
            <w:r>
              <w:rPr>
                <w:sz w:val="24"/>
              </w:rPr>
              <w:t xml:space="preserve"> 夏热冬冷</w:t>
            </w:r>
            <w:r>
              <w:rPr>
                <w:rFonts w:hint="eastAsia"/>
                <w:sz w:val="24"/>
                <w:u w:val="single"/>
              </w:rPr>
              <w:t>、</w:t>
            </w:r>
            <w:r>
              <w:rPr>
                <w:sz w:val="24"/>
              </w:rPr>
              <w:t>夏热冬暖</w:t>
            </w:r>
            <w:r>
              <w:rPr>
                <w:rFonts w:hint="eastAsia"/>
                <w:sz w:val="24"/>
                <w:u w:val="single"/>
              </w:rPr>
              <w:t>和温和</w:t>
            </w:r>
            <w:r>
              <w:rPr>
                <w:sz w:val="24"/>
              </w:rPr>
              <w:t>地区农村居住建筑的体形宜错落、丰富，并宜有利于夏季遮阳及自然通风。开口部位设计应利用当地夏季主导风向，并宜有利于自然通风。</w:t>
            </w:r>
          </w:p>
          <w:p>
            <w:pPr>
              <w:spacing w:line="360" w:lineRule="auto"/>
              <w:rPr>
                <w:b/>
                <w:sz w:val="24"/>
              </w:rPr>
            </w:pPr>
          </w:p>
        </w:tc>
        <w:tc>
          <w:tcPr>
            <w:tcW w:w="4753" w:type="dxa"/>
          </w:tcPr>
          <w:p>
            <w:pPr>
              <w:tabs>
                <w:tab w:val="left" w:pos="1463"/>
              </w:tabs>
              <w:spacing w:line="360" w:lineRule="auto"/>
              <w:rPr>
                <w:sz w:val="24"/>
              </w:rPr>
            </w:pPr>
            <w:r>
              <w:rPr>
                <w:b/>
                <w:sz w:val="24"/>
              </w:rPr>
              <w:t xml:space="preserve">4.3.2 </w:t>
            </w:r>
            <w:r>
              <w:rPr>
                <w:sz w:val="24"/>
              </w:rPr>
              <w:t xml:space="preserve"> 夏热冬冷</w:t>
            </w:r>
            <w:r>
              <w:rPr>
                <w:rFonts w:hint="eastAsia"/>
                <w:sz w:val="24"/>
                <w:u w:val="single"/>
              </w:rPr>
              <w:t>、</w:t>
            </w:r>
            <w:r>
              <w:rPr>
                <w:sz w:val="24"/>
              </w:rPr>
              <w:t>夏热冬暖</w:t>
            </w:r>
            <w:r>
              <w:rPr>
                <w:rFonts w:hint="eastAsia"/>
                <w:sz w:val="24"/>
                <w:u w:val="single"/>
              </w:rPr>
              <w:t>和温和</w:t>
            </w:r>
            <w:r>
              <w:rPr>
                <w:sz w:val="24"/>
              </w:rPr>
              <w:t>地区农村居住建筑的体形宜错落、丰富，并宜有利于夏季遮阳及自然通风。</w:t>
            </w:r>
            <w:r>
              <w:rPr>
                <w:rFonts w:hint="eastAsia"/>
                <w:sz w:val="24"/>
                <w:u w:val="single"/>
              </w:rPr>
              <w:t>夏热冬冷A区和温和A区农村居住建筑的体形系数不应超过0.6。</w:t>
            </w:r>
            <w:r>
              <w:rPr>
                <w:sz w:val="24"/>
              </w:rPr>
              <w:t>开口部位设计应利用当地夏季主导风向，并宜有利于自然通风。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4.3.6</w:t>
            </w:r>
            <w:r>
              <w:rPr>
                <w:rFonts w:ascii="宋体" w:hAnsi="宋体"/>
                <w:sz w:val="24"/>
              </w:rPr>
              <w:t xml:space="preserve">  严寒和寒冷地区农村居住建筑的外窗面积不应过大，南向宜采用大窗，北向宜采用小窗，窗墙面积比限值宜符合表4.3.6的规定。</w:t>
            </w:r>
          </w:p>
          <w:p>
            <w:pPr>
              <w:spacing w:line="360" w:lineRule="auto"/>
              <w:jc w:val="center"/>
              <w:rPr>
                <w:rFonts w:ascii="宋体" w:hAnsi="宋体"/>
                <w:b/>
                <w:sz w:val="24"/>
              </w:rPr>
            </w:pPr>
            <w:r>
              <w:rPr>
                <w:rFonts w:ascii="宋体" w:hAnsi="宋体"/>
                <w:b/>
                <w:sz w:val="24"/>
              </w:rPr>
              <w:t>表4.3.6  严寒和寒冷地区农村居住建筑的窗墙面积比限值</w:t>
            </w:r>
          </w:p>
          <w:tbl>
            <w:tblPr>
              <w:tblStyle w:val="17"/>
              <w:tblW w:w="35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214"/>
              <w:gridCol w:w="1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247" w:type="dxa"/>
                  <w:vMerge w:val="restart"/>
                  <w:vAlign w:val="center"/>
                </w:tcPr>
                <w:p>
                  <w:pPr>
                    <w:jc w:val="center"/>
                    <w:rPr>
                      <w:rFonts w:ascii="宋体" w:hAnsi="宋体"/>
                      <w:color w:val="000000"/>
                      <w:szCs w:val="21"/>
                    </w:rPr>
                  </w:pPr>
                  <w:r>
                    <w:rPr>
                      <w:rFonts w:ascii="宋体" w:hAnsi="宋体"/>
                      <w:color w:val="000000"/>
                      <w:szCs w:val="21"/>
                    </w:rPr>
                    <w:t>朝    向</w:t>
                  </w:r>
                </w:p>
              </w:tc>
              <w:tc>
                <w:tcPr>
                  <w:tcW w:w="2307" w:type="dxa"/>
                  <w:gridSpan w:val="2"/>
                  <w:vAlign w:val="center"/>
                </w:tcPr>
                <w:p>
                  <w:pPr>
                    <w:jc w:val="center"/>
                    <w:rPr>
                      <w:rFonts w:ascii="宋体" w:hAnsi="宋体"/>
                      <w:color w:val="000000"/>
                      <w:szCs w:val="21"/>
                    </w:rPr>
                  </w:pPr>
                  <w:r>
                    <w:rPr>
                      <w:rFonts w:ascii="宋体" w:hAnsi="宋体"/>
                      <w:color w:val="000000"/>
                      <w:szCs w:val="21"/>
                    </w:rPr>
                    <w:t>窗墙面积比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1247" w:type="dxa"/>
                  <w:vMerge w:val="continue"/>
                  <w:vAlign w:val="center"/>
                </w:tcPr>
                <w:p>
                  <w:pPr>
                    <w:jc w:val="center"/>
                    <w:rPr>
                      <w:rFonts w:ascii="宋体" w:hAnsi="宋体"/>
                      <w:color w:val="000000"/>
                      <w:szCs w:val="21"/>
                    </w:rPr>
                  </w:pPr>
                </w:p>
              </w:tc>
              <w:tc>
                <w:tcPr>
                  <w:tcW w:w="1214" w:type="dxa"/>
                  <w:vAlign w:val="center"/>
                </w:tcPr>
                <w:p>
                  <w:pPr>
                    <w:jc w:val="center"/>
                    <w:rPr>
                      <w:rFonts w:ascii="宋体" w:hAnsi="宋体"/>
                      <w:color w:val="000000"/>
                      <w:szCs w:val="21"/>
                    </w:rPr>
                  </w:pPr>
                  <w:r>
                    <w:rPr>
                      <w:rFonts w:ascii="宋体" w:hAnsi="宋体"/>
                      <w:color w:val="000000"/>
                      <w:szCs w:val="21"/>
                    </w:rPr>
                    <w:t>严寒地区</w:t>
                  </w:r>
                </w:p>
              </w:tc>
              <w:tc>
                <w:tcPr>
                  <w:tcW w:w="1093" w:type="dxa"/>
                  <w:vAlign w:val="center"/>
                </w:tcPr>
                <w:p>
                  <w:pPr>
                    <w:jc w:val="center"/>
                    <w:rPr>
                      <w:rFonts w:ascii="宋体" w:hAnsi="宋体"/>
                      <w:color w:val="000000"/>
                      <w:szCs w:val="21"/>
                    </w:rPr>
                  </w:pPr>
                  <w:r>
                    <w:rPr>
                      <w:rFonts w:ascii="宋体" w:hAnsi="宋体"/>
                      <w:color w:val="000000"/>
                      <w:szCs w:val="21"/>
                    </w:rPr>
                    <w:t>寒冷地区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247" w:type="dxa"/>
                  <w:vAlign w:val="center"/>
                </w:tcPr>
                <w:p>
                  <w:pPr>
                    <w:jc w:val="center"/>
                    <w:rPr>
                      <w:rFonts w:ascii="宋体" w:hAnsi="宋体"/>
                      <w:color w:val="000000"/>
                      <w:szCs w:val="21"/>
                    </w:rPr>
                  </w:pPr>
                  <w:r>
                    <w:rPr>
                      <w:rFonts w:ascii="宋体" w:hAnsi="宋体"/>
                      <w:color w:val="000000"/>
                      <w:szCs w:val="21"/>
                    </w:rPr>
                    <w:t>北</w:t>
                  </w:r>
                </w:p>
              </w:tc>
              <w:tc>
                <w:tcPr>
                  <w:tcW w:w="1214" w:type="dxa"/>
                  <w:vAlign w:val="center"/>
                </w:tcPr>
                <w:p>
                  <w:pPr>
                    <w:jc w:val="center"/>
                    <w:rPr>
                      <w:rFonts w:ascii="宋体" w:hAnsi="宋体"/>
                      <w:color w:val="000000"/>
                      <w:szCs w:val="21"/>
                    </w:rPr>
                  </w:pPr>
                  <w:r>
                    <w:rPr>
                      <w:rFonts w:hint="eastAsia" w:ascii="宋体" w:hAnsi="宋体"/>
                      <w:bCs/>
                      <w:color w:val="000000"/>
                      <w:szCs w:val="21"/>
                    </w:rPr>
                    <w:t>≤</w:t>
                  </w:r>
                  <w:r>
                    <w:rPr>
                      <w:rFonts w:ascii="宋体" w:hAnsi="宋体"/>
                      <w:color w:val="000000"/>
                      <w:szCs w:val="21"/>
                    </w:rPr>
                    <w:t>0.25</w:t>
                  </w:r>
                </w:p>
              </w:tc>
              <w:tc>
                <w:tcPr>
                  <w:tcW w:w="1093" w:type="dxa"/>
                  <w:vAlign w:val="center"/>
                </w:tcPr>
                <w:p>
                  <w:pPr>
                    <w:jc w:val="center"/>
                    <w:rPr>
                      <w:rFonts w:ascii="宋体" w:hAnsi="宋体"/>
                      <w:color w:val="000000"/>
                      <w:szCs w:val="21"/>
                    </w:rPr>
                  </w:pPr>
                  <w:r>
                    <w:rPr>
                      <w:rFonts w:hint="eastAsia" w:ascii="宋体" w:hAnsi="宋体"/>
                      <w:bCs/>
                      <w:color w:val="000000"/>
                      <w:szCs w:val="21"/>
                    </w:rPr>
                    <w:t>≤</w:t>
                  </w:r>
                  <w:r>
                    <w:rPr>
                      <w:rFonts w:ascii="宋体" w:hAnsi="宋体"/>
                      <w:color w:val="000000"/>
                      <w:szCs w:val="21"/>
                    </w:rPr>
                    <w:t>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247" w:type="dxa"/>
                  <w:vAlign w:val="center"/>
                </w:tcPr>
                <w:p>
                  <w:pPr>
                    <w:jc w:val="center"/>
                    <w:rPr>
                      <w:rFonts w:ascii="宋体" w:hAnsi="宋体"/>
                      <w:color w:val="000000"/>
                      <w:szCs w:val="21"/>
                    </w:rPr>
                  </w:pPr>
                  <w:r>
                    <w:rPr>
                      <w:rFonts w:ascii="宋体" w:hAnsi="宋体"/>
                      <w:color w:val="000000"/>
                      <w:szCs w:val="21"/>
                    </w:rPr>
                    <w:t>东 、西</w:t>
                  </w:r>
                </w:p>
              </w:tc>
              <w:tc>
                <w:tcPr>
                  <w:tcW w:w="1214" w:type="dxa"/>
                  <w:vAlign w:val="center"/>
                </w:tcPr>
                <w:p>
                  <w:pPr>
                    <w:jc w:val="center"/>
                    <w:rPr>
                      <w:rFonts w:ascii="宋体" w:hAnsi="宋体"/>
                      <w:color w:val="000000"/>
                      <w:szCs w:val="21"/>
                    </w:rPr>
                  </w:pPr>
                  <w:r>
                    <w:rPr>
                      <w:rFonts w:hint="eastAsia" w:ascii="宋体" w:hAnsi="宋体"/>
                      <w:bCs/>
                      <w:color w:val="000000"/>
                      <w:szCs w:val="21"/>
                    </w:rPr>
                    <w:t>≤</w:t>
                  </w:r>
                  <w:r>
                    <w:rPr>
                      <w:rFonts w:ascii="宋体" w:hAnsi="宋体"/>
                      <w:color w:val="000000"/>
                      <w:szCs w:val="21"/>
                    </w:rPr>
                    <w:t>0.30</w:t>
                  </w:r>
                </w:p>
              </w:tc>
              <w:tc>
                <w:tcPr>
                  <w:tcW w:w="1093" w:type="dxa"/>
                  <w:vAlign w:val="center"/>
                </w:tcPr>
                <w:p>
                  <w:pPr>
                    <w:jc w:val="center"/>
                    <w:rPr>
                      <w:rFonts w:ascii="宋体" w:hAnsi="宋体"/>
                      <w:color w:val="000000"/>
                      <w:szCs w:val="21"/>
                    </w:rPr>
                  </w:pPr>
                  <w:r>
                    <w:rPr>
                      <w:rFonts w:hint="eastAsia" w:ascii="宋体" w:hAnsi="宋体"/>
                      <w:bCs/>
                      <w:color w:val="000000"/>
                      <w:szCs w:val="21"/>
                    </w:rPr>
                    <w:t>≤</w:t>
                  </w:r>
                  <w:r>
                    <w:rPr>
                      <w:rFonts w:ascii="宋体" w:hAnsi="宋体"/>
                      <w:color w:val="000000"/>
                      <w:szCs w:val="21"/>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47" w:type="dxa"/>
                  <w:vAlign w:val="center"/>
                </w:tcPr>
                <w:p>
                  <w:pPr>
                    <w:jc w:val="center"/>
                    <w:rPr>
                      <w:rFonts w:ascii="宋体" w:hAnsi="宋体"/>
                      <w:color w:val="000000"/>
                      <w:szCs w:val="21"/>
                    </w:rPr>
                  </w:pPr>
                  <w:r>
                    <w:rPr>
                      <w:rFonts w:ascii="宋体" w:hAnsi="宋体"/>
                      <w:color w:val="000000"/>
                      <w:szCs w:val="21"/>
                    </w:rPr>
                    <w:t>南</w:t>
                  </w:r>
                </w:p>
              </w:tc>
              <w:tc>
                <w:tcPr>
                  <w:tcW w:w="1214" w:type="dxa"/>
                  <w:vAlign w:val="center"/>
                </w:tcPr>
                <w:p>
                  <w:pPr>
                    <w:jc w:val="center"/>
                    <w:rPr>
                      <w:rFonts w:ascii="宋体" w:hAnsi="宋体"/>
                      <w:color w:val="000000"/>
                      <w:szCs w:val="21"/>
                    </w:rPr>
                  </w:pPr>
                  <w:r>
                    <w:rPr>
                      <w:rFonts w:hint="eastAsia" w:ascii="宋体" w:hAnsi="宋体"/>
                      <w:bCs/>
                      <w:color w:val="000000"/>
                      <w:szCs w:val="21"/>
                    </w:rPr>
                    <w:t>≤</w:t>
                  </w:r>
                  <w:r>
                    <w:rPr>
                      <w:rFonts w:ascii="宋体" w:hAnsi="宋体"/>
                      <w:color w:val="000000"/>
                      <w:szCs w:val="21"/>
                    </w:rPr>
                    <w:t>0.4</w:t>
                  </w:r>
                  <w:r>
                    <w:rPr>
                      <w:rFonts w:hint="eastAsia" w:ascii="宋体" w:hAnsi="宋体"/>
                      <w:color w:val="000000"/>
                      <w:szCs w:val="21"/>
                    </w:rPr>
                    <w:t>0</w:t>
                  </w:r>
                </w:p>
              </w:tc>
              <w:tc>
                <w:tcPr>
                  <w:tcW w:w="1093" w:type="dxa"/>
                  <w:vAlign w:val="center"/>
                </w:tcPr>
                <w:p>
                  <w:pPr>
                    <w:jc w:val="center"/>
                    <w:rPr>
                      <w:rFonts w:ascii="宋体" w:hAnsi="宋体"/>
                      <w:color w:val="000000"/>
                      <w:szCs w:val="21"/>
                    </w:rPr>
                  </w:pPr>
                  <w:r>
                    <w:rPr>
                      <w:rFonts w:hint="eastAsia" w:ascii="宋体" w:hAnsi="宋体"/>
                      <w:bCs/>
                      <w:color w:val="000000"/>
                      <w:szCs w:val="21"/>
                    </w:rPr>
                    <w:t>≤</w:t>
                  </w:r>
                  <w:r>
                    <w:rPr>
                      <w:rFonts w:ascii="宋体" w:hAnsi="宋体"/>
                      <w:color w:val="000000"/>
                      <w:szCs w:val="21"/>
                    </w:rPr>
                    <w:t>0.</w:t>
                  </w:r>
                  <w:r>
                    <w:rPr>
                      <w:rFonts w:hint="eastAsia" w:ascii="宋体" w:hAnsi="宋体"/>
                      <w:color w:val="000000"/>
                      <w:szCs w:val="21"/>
                    </w:rPr>
                    <w:t>4</w:t>
                  </w:r>
                  <w:r>
                    <w:rPr>
                      <w:rFonts w:ascii="宋体" w:hAnsi="宋体"/>
                      <w:color w:val="000000"/>
                      <w:szCs w:val="21"/>
                    </w:rPr>
                    <w:t>5</w:t>
                  </w:r>
                </w:p>
              </w:tc>
            </w:tr>
          </w:tbl>
          <w:p>
            <w:pPr>
              <w:spacing w:line="360" w:lineRule="auto"/>
              <w:rPr>
                <w:rFonts w:ascii="宋体" w:hAnsi="宋体"/>
                <w:sz w:val="24"/>
              </w:rPr>
            </w:pPr>
          </w:p>
        </w:tc>
        <w:tc>
          <w:tcPr>
            <w:tcW w:w="4753" w:type="dxa"/>
          </w:tcPr>
          <w:p>
            <w:pPr>
              <w:spacing w:line="360" w:lineRule="auto"/>
              <w:rPr>
                <w:rFonts w:ascii="宋体" w:hAnsi="宋体"/>
                <w:sz w:val="24"/>
              </w:rPr>
            </w:pPr>
            <w:r>
              <w:rPr>
                <w:rFonts w:ascii="宋体" w:hAnsi="宋体"/>
                <w:b/>
                <w:sz w:val="24"/>
              </w:rPr>
              <w:t>4.3.6</w:t>
            </w:r>
            <w:r>
              <w:rPr>
                <w:rFonts w:ascii="宋体" w:hAnsi="宋体"/>
                <w:sz w:val="24"/>
              </w:rPr>
              <w:t xml:space="preserve">  </w:t>
            </w:r>
            <w:r>
              <w:rPr>
                <w:sz w:val="24"/>
                <w:szCs w:val="21"/>
                <w:bdr w:val="single" w:color="auto" w:sz="4" w:space="0"/>
              </w:rPr>
              <w:t>严寒和寒冷地区</w:t>
            </w:r>
            <w:r>
              <w:rPr>
                <w:rFonts w:ascii="宋体" w:hAnsi="宋体"/>
                <w:sz w:val="24"/>
              </w:rPr>
              <w:t>农村居住建筑的外窗面积不应过大，南向宜采用大窗，北向宜采用小窗，窗墙面积比限值宜符合表4.3.6的规定。</w:t>
            </w:r>
          </w:p>
          <w:p>
            <w:pPr>
              <w:spacing w:line="360" w:lineRule="auto"/>
              <w:jc w:val="center"/>
              <w:rPr>
                <w:rFonts w:ascii="宋体" w:hAnsi="宋体"/>
                <w:b/>
                <w:sz w:val="24"/>
              </w:rPr>
            </w:pPr>
            <w:r>
              <w:rPr>
                <w:rFonts w:ascii="宋体" w:hAnsi="宋体"/>
                <w:b/>
                <w:sz w:val="24"/>
              </w:rPr>
              <w:t xml:space="preserve">表4.3.6  </w:t>
            </w:r>
            <w:r>
              <w:rPr>
                <w:rFonts w:ascii="宋体" w:hAnsi="宋体"/>
                <w:b/>
                <w:sz w:val="24"/>
                <w:bdr w:val="single" w:color="auto" w:sz="4" w:space="0"/>
              </w:rPr>
              <w:t>严寒和寒冷地区</w:t>
            </w:r>
            <w:r>
              <w:rPr>
                <w:rFonts w:ascii="宋体" w:hAnsi="宋体"/>
                <w:b/>
                <w:sz w:val="24"/>
              </w:rPr>
              <w:t>农村居住建筑的窗墙面积比限值</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738"/>
              <w:gridCol w:w="738"/>
              <w:gridCol w:w="738"/>
              <w:gridCol w:w="738"/>
              <w:gridCol w:w="7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652" w:type="dxa"/>
                  <w:vMerge w:val="restart"/>
                  <w:vAlign w:val="center"/>
                </w:tcPr>
                <w:p>
                  <w:pPr>
                    <w:jc w:val="center"/>
                    <w:rPr>
                      <w:rFonts w:ascii="宋体" w:hAnsi="宋体"/>
                      <w:sz w:val="20"/>
                      <w:szCs w:val="20"/>
                    </w:rPr>
                  </w:pPr>
                  <w:r>
                    <w:rPr>
                      <w:rFonts w:ascii="宋体" w:hAnsi="宋体"/>
                      <w:sz w:val="20"/>
                      <w:szCs w:val="20"/>
                    </w:rPr>
                    <w:t>朝    向</w:t>
                  </w:r>
                </w:p>
              </w:tc>
              <w:tc>
                <w:tcPr>
                  <w:tcW w:w="3690" w:type="dxa"/>
                  <w:gridSpan w:val="5"/>
                  <w:vAlign w:val="center"/>
                </w:tcPr>
                <w:p>
                  <w:pPr>
                    <w:jc w:val="center"/>
                    <w:rPr>
                      <w:rFonts w:ascii="宋体" w:hAnsi="宋体"/>
                      <w:sz w:val="20"/>
                      <w:szCs w:val="20"/>
                    </w:rPr>
                  </w:pPr>
                  <w:r>
                    <w:rPr>
                      <w:rFonts w:ascii="宋体" w:hAnsi="宋体"/>
                      <w:sz w:val="20"/>
                      <w:szCs w:val="20"/>
                    </w:rPr>
                    <w:t>窗墙面积比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652" w:type="dxa"/>
                  <w:vMerge w:val="continue"/>
                  <w:vAlign w:val="center"/>
                </w:tcPr>
                <w:p>
                  <w:pPr>
                    <w:jc w:val="center"/>
                    <w:rPr>
                      <w:rFonts w:ascii="宋体" w:hAnsi="宋体"/>
                      <w:sz w:val="20"/>
                      <w:szCs w:val="20"/>
                    </w:rPr>
                  </w:pPr>
                </w:p>
              </w:tc>
              <w:tc>
                <w:tcPr>
                  <w:tcW w:w="738" w:type="dxa"/>
                  <w:vAlign w:val="center"/>
                </w:tcPr>
                <w:p>
                  <w:pPr>
                    <w:jc w:val="center"/>
                    <w:rPr>
                      <w:rFonts w:ascii="宋体" w:hAnsi="宋体"/>
                      <w:sz w:val="20"/>
                      <w:szCs w:val="20"/>
                    </w:rPr>
                  </w:pPr>
                  <w:r>
                    <w:rPr>
                      <w:rFonts w:ascii="宋体" w:hAnsi="宋体"/>
                      <w:sz w:val="20"/>
                      <w:szCs w:val="20"/>
                    </w:rPr>
                    <w:t>严寒地区</w:t>
                  </w:r>
                </w:p>
              </w:tc>
              <w:tc>
                <w:tcPr>
                  <w:tcW w:w="738" w:type="dxa"/>
                  <w:vAlign w:val="center"/>
                </w:tcPr>
                <w:p>
                  <w:pPr>
                    <w:jc w:val="center"/>
                    <w:rPr>
                      <w:rFonts w:ascii="宋体" w:hAnsi="宋体"/>
                      <w:sz w:val="20"/>
                      <w:szCs w:val="20"/>
                    </w:rPr>
                  </w:pPr>
                  <w:r>
                    <w:rPr>
                      <w:rFonts w:ascii="宋体" w:hAnsi="宋体"/>
                      <w:sz w:val="20"/>
                      <w:szCs w:val="20"/>
                    </w:rPr>
                    <w:t>寒冷地区</w:t>
                  </w:r>
                </w:p>
              </w:tc>
              <w:tc>
                <w:tcPr>
                  <w:tcW w:w="738" w:type="dxa"/>
                  <w:vAlign w:val="center"/>
                </w:tcPr>
                <w:p>
                  <w:pPr>
                    <w:jc w:val="center"/>
                    <w:rPr>
                      <w:rFonts w:ascii="宋体" w:hAnsi="宋体"/>
                      <w:sz w:val="20"/>
                      <w:szCs w:val="20"/>
                      <w:u w:val="single"/>
                    </w:rPr>
                  </w:pPr>
                  <w:r>
                    <w:rPr>
                      <w:rFonts w:hint="eastAsia" w:ascii="宋体" w:hAnsi="宋体"/>
                      <w:sz w:val="20"/>
                      <w:szCs w:val="20"/>
                      <w:u w:val="single"/>
                    </w:rPr>
                    <w:t>夏热冬冷地区</w:t>
                  </w:r>
                </w:p>
              </w:tc>
              <w:tc>
                <w:tcPr>
                  <w:tcW w:w="738" w:type="dxa"/>
                  <w:vAlign w:val="center"/>
                </w:tcPr>
                <w:p>
                  <w:pPr>
                    <w:jc w:val="center"/>
                    <w:rPr>
                      <w:rFonts w:ascii="宋体" w:hAnsi="宋体"/>
                      <w:sz w:val="20"/>
                      <w:szCs w:val="20"/>
                      <w:u w:val="single"/>
                    </w:rPr>
                  </w:pPr>
                  <w:r>
                    <w:rPr>
                      <w:rFonts w:hint="eastAsia" w:ascii="宋体" w:hAnsi="宋体"/>
                      <w:sz w:val="20"/>
                      <w:szCs w:val="20"/>
                      <w:u w:val="single"/>
                    </w:rPr>
                    <w:t>夏热冬暖地区</w:t>
                  </w:r>
                </w:p>
              </w:tc>
              <w:tc>
                <w:tcPr>
                  <w:tcW w:w="738" w:type="dxa"/>
                  <w:vAlign w:val="center"/>
                </w:tcPr>
                <w:p>
                  <w:pPr>
                    <w:jc w:val="center"/>
                    <w:rPr>
                      <w:rFonts w:ascii="宋体" w:hAnsi="宋体"/>
                      <w:sz w:val="20"/>
                      <w:szCs w:val="20"/>
                      <w:u w:val="single"/>
                    </w:rPr>
                  </w:pPr>
                  <w:r>
                    <w:rPr>
                      <w:rFonts w:hint="eastAsia" w:ascii="宋体" w:hAnsi="宋体"/>
                      <w:sz w:val="20"/>
                      <w:szCs w:val="20"/>
                      <w:u w:val="single"/>
                    </w:rPr>
                    <w:t>温和A区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52" w:type="dxa"/>
                  <w:vAlign w:val="center"/>
                </w:tcPr>
                <w:p>
                  <w:pPr>
                    <w:jc w:val="center"/>
                    <w:rPr>
                      <w:rFonts w:ascii="宋体" w:hAnsi="宋体"/>
                      <w:sz w:val="20"/>
                      <w:szCs w:val="20"/>
                    </w:rPr>
                  </w:pPr>
                  <w:r>
                    <w:rPr>
                      <w:rFonts w:ascii="宋体" w:hAnsi="宋体"/>
                      <w:sz w:val="20"/>
                      <w:szCs w:val="20"/>
                    </w:rPr>
                    <w:t>北</w:t>
                  </w:r>
                </w:p>
              </w:tc>
              <w:tc>
                <w:tcPr>
                  <w:tcW w:w="738" w:type="dxa"/>
                  <w:vAlign w:val="center"/>
                </w:tcPr>
                <w:p>
                  <w:pPr>
                    <w:jc w:val="center"/>
                    <w:rPr>
                      <w:rFonts w:ascii="宋体" w:hAnsi="宋体"/>
                      <w:sz w:val="20"/>
                      <w:szCs w:val="20"/>
                    </w:rPr>
                  </w:pPr>
                  <w:r>
                    <w:rPr>
                      <w:rFonts w:ascii="宋体" w:hAnsi="宋体"/>
                      <w:bCs/>
                      <w:sz w:val="20"/>
                      <w:szCs w:val="20"/>
                    </w:rPr>
                    <w:t>≤</w:t>
                  </w:r>
                  <w:r>
                    <w:rPr>
                      <w:rFonts w:ascii="宋体" w:hAnsi="宋体"/>
                      <w:sz w:val="20"/>
                      <w:szCs w:val="20"/>
                    </w:rPr>
                    <w:t>0.25</w:t>
                  </w:r>
                </w:p>
              </w:tc>
              <w:tc>
                <w:tcPr>
                  <w:tcW w:w="738" w:type="dxa"/>
                  <w:vAlign w:val="center"/>
                </w:tcPr>
                <w:p>
                  <w:pPr>
                    <w:jc w:val="center"/>
                    <w:rPr>
                      <w:rFonts w:ascii="宋体" w:hAnsi="宋体"/>
                      <w:sz w:val="20"/>
                      <w:szCs w:val="20"/>
                    </w:rPr>
                  </w:pPr>
                  <w:r>
                    <w:rPr>
                      <w:rFonts w:ascii="宋体" w:hAnsi="宋体"/>
                      <w:bCs/>
                      <w:sz w:val="20"/>
                      <w:szCs w:val="20"/>
                    </w:rPr>
                    <w:t>≤</w:t>
                  </w:r>
                  <w:r>
                    <w:rPr>
                      <w:rFonts w:ascii="宋体" w:hAnsi="宋体"/>
                      <w:sz w:val="20"/>
                      <w:szCs w:val="20"/>
                    </w:rPr>
                    <w:t>0.30</w:t>
                  </w:r>
                </w:p>
              </w:tc>
              <w:tc>
                <w:tcPr>
                  <w:tcW w:w="738" w:type="dxa"/>
                  <w:vAlign w:val="center"/>
                </w:tcPr>
                <w:p>
                  <w:pPr>
                    <w:jc w:val="center"/>
                    <w:rPr>
                      <w:rFonts w:ascii="宋体" w:hAnsi="宋体"/>
                      <w:bCs/>
                      <w:sz w:val="20"/>
                      <w:szCs w:val="20"/>
                      <w:u w:val="single"/>
                    </w:rPr>
                  </w:pPr>
                  <w:r>
                    <w:rPr>
                      <w:rFonts w:ascii="宋体" w:hAnsi="宋体"/>
                      <w:bCs/>
                      <w:sz w:val="20"/>
                      <w:szCs w:val="20"/>
                      <w:u w:val="single"/>
                    </w:rPr>
                    <w:t>≤</w:t>
                  </w:r>
                  <w:r>
                    <w:rPr>
                      <w:rFonts w:ascii="宋体" w:hAnsi="宋体"/>
                      <w:sz w:val="20"/>
                      <w:szCs w:val="20"/>
                      <w:u w:val="single"/>
                    </w:rPr>
                    <w:t>0.40</w:t>
                  </w:r>
                </w:p>
              </w:tc>
              <w:tc>
                <w:tcPr>
                  <w:tcW w:w="738" w:type="dxa"/>
                  <w:vAlign w:val="center"/>
                </w:tcPr>
                <w:p>
                  <w:pPr>
                    <w:jc w:val="center"/>
                    <w:rPr>
                      <w:rFonts w:ascii="宋体" w:hAnsi="宋体"/>
                      <w:bCs/>
                      <w:sz w:val="20"/>
                      <w:szCs w:val="20"/>
                      <w:u w:val="single"/>
                    </w:rPr>
                  </w:pPr>
                  <w:r>
                    <w:rPr>
                      <w:rFonts w:ascii="宋体" w:hAnsi="宋体"/>
                      <w:bCs/>
                      <w:sz w:val="20"/>
                      <w:szCs w:val="20"/>
                      <w:u w:val="single"/>
                    </w:rPr>
                    <w:t>≤</w:t>
                  </w:r>
                  <w:r>
                    <w:rPr>
                      <w:rFonts w:ascii="宋体" w:hAnsi="宋体"/>
                      <w:sz w:val="20"/>
                      <w:szCs w:val="20"/>
                      <w:u w:val="single"/>
                    </w:rPr>
                    <w:t>0.40</w:t>
                  </w:r>
                </w:p>
              </w:tc>
              <w:tc>
                <w:tcPr>
                  <w:tcW w:w="738" w:type="dxa"/>
                  <w:vAlign w:val="center"/>
                </w:tcPr>
                <w:p>
                  <w:pPr>
                    <w:jc w:val="center"/>
                    <w:rPr>
                      <w:rFonts w:ascii="宋体" w:hAnsi="宋体"/>
                      <w:bCs/>
                      <w:sz w:val="20"/>
                      <w:szCs w:val="20"/>
                      <w:u w:val="single"/>
                    </w:rPr>
                  </w:pPr>
                  <w:r>
                    <w:rPr>
                      <w:rFonts w:ascii="宋体" w:hAnsi="宋体"/>
                      <w:bCs/>
                      <w:sz w:val="20"/>
                      <w:szCs w:val="20"/>
                      <w:u w:val="single"/>
                    </w:rPr>
                    <w:t>≤</w:t>
                  </w:r>
                  <w:r>
                    <w:rPr>
                      <w:rFonts w:ascii="宋体" w:hAnsi="宋体"/>
                      <w:sz w:val="20"/>
                      <w:szCs w:val="20"/>
                      <w:u w:val="single"/>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52" w:type="dxa"/>
                  <w:vAlign w:val="center"/>
                </w:tcPr>
                <w:p>
                  <w:pPr>
                    <w:jc w:val="center"/>
                    <w:rPr>
                      <w:rFonts w:ascii="宋体" w:hAnsi="宋体"/>
                      <w:sz w:val="20"/>
                      <w:szCs w:val="20"/>
                    </w:rPr>
                  </w:pPr>
                  <w:r>
                    <w:rPr>
                      <w:rFonts w:ascii="宋体" w:hAnsi="宋体"/>
                      <w:sz w:val="20"/>
                      <w:szCs w:val="20"/>
                    </w:rPr>
                    <w:t>东 、西</w:t>
                  </w:r>
                </w:p>
              </w:tc>
              <w:tc>
                <w:tcPr>
                  <w:tcW w:w="738" w:type="dxa"/>
                  <w:vAlign w:val="center"/>
                </w:tcPr>
                <w:p>
                  <w:pPr>
                    <w:jc w:val="center"/>
                    <w:rPr>
                      <w:rFonts w:ascii="宋体" w:hAnsi="宋体"/>
                      <w:sz w:val="20"/>
                      <w:szCs w:val="20"/>
                    </w:rPr>
                  </w:pPr>
                  <w:r>
                    <w:rPr>
                      <w:rFonts w:ascii="宋体" w:hAnsi="宋体"/>
                      <w:bCs/>
                      <w:sz w:val="20"/>
                      <w:szCs w:val="20"/>
                    </w:rPr>
                    <w:t>≤</w:t>
                  </w:r>
                  <w:r>
                    <w:rPr>
                      <w:rFonts w:ascii="宋体" w:hAnsi="宋体"/>
                      <w:sz w:val="20"/>
                      <w:szCs w:val="20"/>
                    </w:rPr>
                    <w:t>0.30</w:t>
                  </w:r>
                </w:p>
              </w:tc>
              <w:tc>
                <w:tcPr>
                  <w:tcW w:w="738" w:type="dxa"/>
                  <w:vAlign w:val="center"/>
                </w:tcPr>
                <w:p>
                  <w:pPr>
                    <w:jc w:val="center"/>
                    <w:rPr>
                      <w:rFonts w:ascii="宋体" w:hAnsi="宋体"/>
                      <w:sz w:val="20"/>
                      <w:szCs w:val="20"/>
                    </w:rPr>
                  </w:pPr>
                  <w:r>
                    <w:rPr>
                      <w:rFonts w:ascii="宋体" w:hAnsi="宋体"/>
                      <w:bCs/>
                      <w:sz w:val="20"/>
                      <w:szCs w:val="20"/>
                    </w:rPr>
                    <w:t>≤</w:t>
                  </w:r>
                  <w:r>
                    <w:rPr>
                      <w:rFonts w:ascii="宋体" w:hAnsi="宋体"/>
                      <w:sz w:val="20"/>
                      <w:szCs w:val="20"/>
                    </w:rPr>
                    <w:t>0.35</w:t>
                  </w:r>
                </w:p>
              </w:tc>
              <w:tc>
                <w:tcPr>
                  <w:tcW w:w="738" w:type="dxa"/>
                  <w:vAlign w:val="center"/>
                </w:tcPr>
                <w:p>
                  <w:pPr>
                    <w:jc w:val="center"/>
                    <w:rPr>
                      <w:rFonts w:ascii="宋体" w:hAnsi="宋体"/>
                      <w:bCs/>
                      <w:sz w:val="20"/>
                      <w:szCs w:val="20"/>
                      <w:u w:val="single"/>
                    </w:rPr>
                  </w:pPr>
                  <w:r>
                    <w:rPr>
                      <w:rFonts w:ascii="宋体" w:hAnsi="宋体"/>
                      <w:bCs/>
                      <w:sz w:val="20"/>
                      <w:szCs w:val="20"/>
                      <w:u w:val="single"/>
                    </w:rPr>
                    <w:t>≤</w:t>
                  </w:r>
                  <w:r>
                    <w:rPr>
                      <w:rFonts w:ascii="宋体" w:hAnsi="宋体"/>
                      <w:sz w:val="20"/>
                      <w:szCs w:val="20"/>
                      <w:u w:val="single"/>
                    </w:rPr>
                    <w:t>0.35</w:t>
                  </w:r>
                </w:p>
              </w:tc>
              <w:tc>
                <w:tcPr>
                  <w:tcW w:w="738" w:type="dxa"/>
                  <w:vAlign w:val="center"/>
                </w:tcPr>
                <w:p>
                  <w:pPr>
                    <w:jc w:val="center"/>
                    <w:rPr>
                      <w:rFonts w:ascii="宋体" w:hAnsi="宋体"/>
                      <w:bCs/>
                      <w:sz w:val="20"/>
                      <w:szCs w:val="20"/>
                      <w:u w:val="single"/>
                    </w:rPr>
                  </w:pPr>
                  <w:r>
                    <w:rPr>
                      <w:rFonts w:ascii="宋体" w:hAnsi="宋体"/>
                      <w:bCs/>
                      <w:sz w:val="20"/>
                      <w:szCs w:val="20"/>
                      <w:u w:val="single"/>
                    </w:rPr>
                    <w:t>≤</w:t>
                  </w:r>
                  <w:r>
                    <w:rPr>
                      <w:rFonts w:ascii="宋体" w:hAnsi="宋体"/>
                      <w:sz w:val="20"/>
                      <w:szCs w:val="20"/>
                      <w:u w:val="single"/>
                    </w:rPr>
                    <w:t>0.30</w:t>
                  </w:r>
                </w:p>
              </w:tc>
              <w:tc>
                <w:tcPr>
                  <w:tcW w:w="738" w:type="dxa"/>
                  <w:vAlign w:val="center"/>
                </w:tcPr>
                <w:p>
                  <w:pPr>
                    <w:jc w:val="center"/>
                    <w:rPr>
                      <w:rFonts w:ascii="宋体" w:hAnsi="宋体"/>
                      <w:bCs/>
                      <w:sz w:val="20"/>
                      <w:szCs w:val="20"/>
                      <w:u w:val="single"/>
                    </w:rPr>
                  </w:pPr>
                  <w:r>
                    <w:rPr>
                      <w:rFonts w:ascii="宋体" w:hAnsi="宋体"/>
                      <w:bCs/>
                      <w:sz w:val="20"/>
                      <w:szCs w:val="20"/>
                      <w:u w:val="single"/>
                    </w:rPr>
                    <w:t>≤</w:t>
                  </w:r>
                  <w:r>
                    <w:rPr>
                      <w:rFonts w:ascii="宋体" w:hAnsi="宋体"/>
                      <w:sz w:val="20"/>
                      <w:szCs w:val="20"/>
                      <w:u w:val="single"/>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52" w:type="dxa"/>
                  <w:vAlign w:val="center"/>
                </w:tcPr>
                <w:p>
                  <w:pPr>
                    <w:jc w:val="center"/>
                    <w:rPr>
                      <w:rFonts w:ascii="宋体" w:hAnsi="宋体"/>
                      <w:sz w:val="20"/>
                      <w:szCs w:val="20"/>
                    </w:rPr>
                  </w:pPr>
                  <w:r>
                    <w:rPr>
                      <w:rFonts w:ascii="宋体" w:hAnsi="宋体"/>
                      <w:sz w:val="20"/>
                      <w:szCs w:val="20"/>
                    </w:rPr>
                    <w:t>南</w:t>
                  </w:r>
                </w:p>
              </w:tc>
              <w:tc>
                <w:tcPr>
                  <w:tcW w:w="738" w:type="dxa"/>
                  <w:vAlign w:val="center"/>
                </w:tcPr>
                <w:p>
                  <w:pPr>
                    <w:jc w:val="center"/>
                    <w:rPr>
                      <w:rFonts w:ascii="宋体" w:hAnsi="宋体"/>
                      <w:sz w:val="20"/>
                      <w:szCs w:val="20"/>
                      <w:u w:val="single"/>
                    </w:rPr>
                  </w:pPr>
                  <w:r>
                    <w:rPr>
                      <w:rFonts w:ascii="宋体" w:hAnsi="宋体"/>
                      <w:bCs/>
                      <w:sz w:val="20"/>
                      <w:szCs w:val="20"/>
                    </w:rPr>
                    <w:t>≤</w:t>
                  </w:r>
                  <w:r>
                    <w:rPr>
                      <w:rFonts w:ascii="宋体" w:hAnsi="宋体"/>
                      <w:sz w:val="20"/>
                      <w:szCs w:val="20"/>
                    </w:rPr>
                    <w:t>0.40</w:t>
                  </w:r>
                </w:p>
              </w:tc>
              <w:tc>
                <w:tcPr>
                  <w:tcW w:w="738" w:type="dxa"/>
                  <w:vAlign w:val="center"/>
                </w:tcPr>
                <w:p>
                  <w:pPr>
                    <w:jc w:val="center"/>
                    <w:rPr>
                      <w:rFonts w:ascii="宋体" w:hAnsi="宋体"/>
                      <w:sz w:val="20"/>
                      <w:szCs w:val="20"/>
                      <w:u w:val="single"/>
                    </w:rPr>
                  </w:pPr>
                  <w:r>
                    <w:rPr>
                      <w:rFonts w:ascii="宋体" w:hAnsi="宋体"/>
                      <w:bCs/>
                      <w:sz w:val="20"/>
                      <w:szCs w:val="20"/>
                    </w:rPr>
                    <w:t>≤</w:t>
                  </w:r>
                  <w:r>
                    <w:rPr>
                      <w:rFonts w:ascii="宋体" w:hAnsi="宋体"/>
                      <w:sz w:val="20"/>
                      <w:szCs w:val="20"/>
                    </w:rPr>
                    <w:t>0.45</w:t>
                  </w:r>
                </w:p>
              </w:tc>
              <w:tc>
                <w:tcPr>
                  <w:tcW w:w="738" w:type="dxa"/>
                  <w:vAlign w:val="center"/>
                </w:tcPr>
                <w:p>
                  <w:pPr>
                    <w:jc w:val="center"/>
                    <w:rPr>
                      <w:rFonts w:ascii="宋体" w:hAnsi="宋体"/>
                      <w:bCs/>
                      <w:sz w:val="20"/>
                      <w:szCs w:val="20"/>
                      <w:u w:val="single"/>
                    </w:rPr>
                  </w:pPr>
                  <w:r>
                    <w:rPr>
                      <w:rFonts w:ascii="宋体" w:hAnsi="宋体"/>
                      <w:bCs/>
                      <w:sz w:val="20"/>
                      <w:szCs w:val="20"/>
                      <w:u w:val="single"/>
                    </w:rPr>
                    <w:t>≤</w:t>
                  </w:r>
                  <w:r>
                    <w:rPr>
                      <w:rFonts w:ascii="宋体" w:hAnsi="宋体"/>
                      <w:sz w:val="20"/>
                      <w:szCs w:val="20"/>
                      <w:u w:val="single"/>
                    </w:rPr>
                    <w:t>0.45</w:t>
                  </w:r>
                </w:p>
              </w:tc>
              <w:tc>
                <w:tcPr>
                  <w:tcW w:w="738" w:type="dxa"/>
                  <w:vAlign w:val="center"/>
                </w:tcPr>
                <w:p>
                  <w:pPr>
                    <w:jc w:val="center"/>
                    <w:rPr>
                      <w:rFonts w:ascii="宋体" w:hAnsi="宋体"/>
                      <w:bCs/>
                      <w:sz w:val="20"/>
                      <w:szCs w:val="20"/>
                      <w:u w:val="single"/>
                    </w:rPr>
                  </w:pPr>
                  <w:r>
                    <w:rPr>
                      <w:rFonts w:ascii="宋体" w:hAnsi="宋体"/>
                      <w:bCs/>
                      <w:sz w:val="20"/>
                      <w:szCs w:val="20"/>
                      <w:u w:val="single"/>
                    </w:rPr>
                    <w:t>≤</w:t>
                  </w:r>
                  <w:r>
                    <w:rPr>
                      <w:rFonts w:ascii="宋体" w:hAnsi="宋体"/>
                      <w:sz w:val="20"/>
                      <w:szCs w:val="20"/>
                      <w:u w:val="single"/>
                    </w:rPr>
                    <w:t>0.40</w:t>
                  </w:r>
                </w:p>
              </w:tc>
              <w:tc>
                <w:tcPr>
                  <w:tcW w:w="738" w:type="dxa"/>
                  <w:vAlign w:val="center"/>
                </w:tcPr>
                <w:p>
                  <w:pPr>
                    <w:jc w:val="center"/>
                    <w:rPr>
                      <w:rFonts w:ascii="宋体" w:hAnsi="宋体"/>
                      <w:bCs/>
                      <w:sz w:val="20"/>
                      <w:szCs w:val="20"/>
                      <w:u w:val="single"/>
                    </w:rPr>
                  </w:pPr>
                  <w:r>
                    <w:rPr>
                      <w:rFonts w:ascii="宋体" w:hAnsi="宋体"/>
                      <w:bCs/>
                      <w:sz w:val="20"/>
                      <w:szCs w:val="20"/>
                      <w:u w:val="single"/>
                    </w:rPr>
                    <w:t>≤</w:t>
                  </w:r>
                  <w:r>
                    <w:rPr>
                      <w:rFonts w:ascii="宋体" w:hAnsi="宋体"/>
                      <w:sz w:val="20"/>
                      <w:szCs w:val="20"/>
                      <w:u w:val="single"/>
                    </w:rPr>
                    <w:t>0.50</w:t>
                  </w:r>
                </w:p>
              </w:tc>
            </w:tr>
          </w:tbl>
          <w:p>
            <w:pPr>
              <w:spacing w:line="360" w:lineRule="auto"/>
              <w:rPr>
                <w:rFonts w:ascii="宋体" w:hAnsi="宋体"/>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4.3.9</w:t>
            </w:r>
            <w:r>
              <w:rPr>
                <w:rFonts w:ascii="宋体" w:hAnsi="宋体"/>
                <w:sz w:val="24"/>
              </w:rPr>
              <w:t xml:space="preserve">  农村居住建筑外窗的可开启面积应有利于室内通风换气。严寒和寒冷地区农村居住建筑外窗的可开启面积不应小于外窗面积的25%；夏热冬冷和夏热冬暖地区</w:t>
            </w:r>
            <w:r>
              <w:rPr>
                <w:rFonts w:hint="eastAsia" w:ascii="宋体" w:hAnsi="宋体"/>
                <w:sz w:val="24"/>
              </w:rPr>
              <w:t>、温和B区</w:t>
            </w:r>
            <w:r>
              <w:rPr>
                <w:rFonts w:ascii="宋体" w:hAnsi="宋体"/>
                <w:sz w:val="24"/>
              </w:rPr>
              <w:t>农村居住建筑外窗的可开启面积不应小于外窗面积的30%。</w:t>
            </w:r>
          </w:p>
          <w:p>
            <w:pPr>
              <w:spacing w:line="360" w:lineRule="auto"/>
              <w:rPr>
                <w:rFonts w:ascii="宋体" w:hAnsi="宋体"/>
                <w:b/>
                <w:sz w:val="24"/>
              </w:rPr>
            </w:pPr>
          </w:p>
        </w:tc>
        <w:tc>
          <w:tcPr>
            <w:tcW w:w="4753" w:type="dxa"/>
          </w:tcPr>
          <w:p>
            <w:pPr>
              <w:spacing w:line="360" w:lineRule="auto"/>
              <w:rPr>
                <w:rFonts w:ascii="宋体" w:hAnsi="宋体"/>
                <w:sz w:val="24"/>
              </w:rPr>
            </w:pPr>
            <w:r>
              <w:rPr>
                <w:rFonts w:ascii="宋体" w:hAnsi="宋体"/>
                <w:b/>
                <w:sz w:val="24"/>
              </w:rPr>
              <w:t>4.3.9</w:t>
            </w:r>
            <w:r>
              <w:rPr>
                <w:rFonts w:ascii="宋体" w:hAnsi="宋体"/>
                <w:sz w:val="24"/>
              </w:rPr>
              <w:t xml:space="preserve">  </w:t>
            </w:r>
            <w:r>
              <w:rPr>
                <w:sz w:val="24"/>
              </w:rPr>
              <w:t>农村居住建筑外窗的可开启面积应有利于室内通风换气。严寒和寒冷地区农村居住建筑外窗的可开启面积不应小于外窗面积的25%；夏热冬冷</w:t>
            </w:r>
            <w:r>
              <w:rPr>
                <w:rFonts w:hint="eastAsia" w:ascii="宋体" w:hAnsi="宋体" w:cs="宋体"/>
                <w:sz w:val="24"/>
                <w:u w:val="single"/>
              </w:rPr>
              <w:t>地区、温和A区农村居住建筑外窗的可开启面积不应小于房间地面面积的</w:t>
            </w:r>
            <w:r>
              <w:rPr>
                <w:rFonts w:hint="eastAsia"/>
                <w:sz w:val="24"/>
                <w:u w:val="single"/>
              </w:rPr>
              <w:t>5％</w:t>
            </w:r>
            <w:r>
              <w:rPr>
                <w:rFonts w:hint="eastAsia" w:ascii="宋体" w:hAnsi="宋体" w:cs="宋体"/>
                <w:sz w:val="24"/>
                <w:u w:val="single"/>
              </w:rPr>
              <w:t>或外窗面积的</w:t>
            </w:r>
            <w:r>
              <w:rPr>
                <w:rFonts w:hint="eastAsia"/>
                <w:sz w:val="24"/>
                <w:u w:val="single"/>
              </w:rPr>
              <w:t>30%，</w:t>
            </w:r>
            <w:r>
              <w:rPr>
                <w:sz w:val="24"/>
                <w:bdr w:val="single" w:color="auto" w:sz="4" w:space="0"/>
              </w:rPr>
              <w:t>和</w:t>
            </w:r>
            <w:r>
              <w:rPr>
                <w:sz w:val="24"/>
              </w:rPr>
              <w:t>夏热冬暖地区</w:t>
            </w:r>
            <w:r>
              <w:rPr>
                <w:rFonts w:hint="eastAsia"/>
                <w:sz w:val="24"/>
              </w:rPr>
              <w:t>、温和B区</w:t>
            </w:r>
            <w:r>
              <w:rPr>
                <w:sz w:val="24"/>
              </w:rPr>
              <w:t>农村居住建筑外窗的可开启面积不应小于</w:t>
            </w:r>
            <w:r>
              <w:rPr>
                <w:rFonts w:hint="eastAsia"/>
                <w:sz w:val="24"/>
                <w:u w:val="single"/>
              </w:rPr>
              <w:t>房间地面面积的10％或外窗面积的45％</w:t>
            </w:r>
            <w:r>
              <w:rPr>
                <w:sz w:val="24"/>
                <w:bdr w:val="single" w:color="auto" w:sz="4" w:space="0"/>
              </w:rPr>
              <w:t>外窗面积的30%</w:t>
            </w:r>
            <w:r>
              <w:rPr>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bCs/>
                <w:sz w:val="24"/>
              </w:rPr>
            </w:pPr>
            <w:r>
              <w:rPr>
                <w:rFonts w:hint="eastAsia" w:ascii="宋体" w:hAnsi="宋体"/>
                <w:b/>
                <w:sz w:val="24"/>
              </w:rPr>
              <w:t xml:space="preserve">4.4.9  </w:t>
            </w:r>
            <w:r>
              <w:rPr>
                <w:rFonts w:hint="eastAsia" w:ascii="宋体" w:hAnsi="宋体"/>
                <w:bCs/>
                <w:sz w:val="24"/>
              </w:rPr>
              <w:t>被动式太阳房应根据房间的使用性质选择适宜的集热方式。以白天使用为主的房间，宜采用直接受益式或附加阳光间式[图4.4.9（a）和图4.4.9（b）]；以夜间使用为主的房间，宜采用具有较大蓄热能力的集热蓄热墙式[图4.4.9（c）]。</w:t>
            </w:r>
          </w:p>
          <w:p>
            <w:pPr>
              <w:spacing w:line="360" w:lineRule="auto"/>
              <w:rPr>
                <w:rFonts w:ascii="宋体" w:hAnsi="宋体"/>
                <w:color w:val="000000"/>
                <w:szCs w:val="21"/>
              </w:rPr>
            </w:pPr>
            <w:r>
              <w:rPr>
                <w:rFonts w:hint="eastAsia" w:ascii="宋体" w:hAnsi="宋体"/>
                <w:color w:val="000000"/>
                <w:szCs w:val="21"/>
              </w:rPr>
              <w:drawing>
                <wp:inline distT="0" distB="0" distL="0" distR="0">
                  <wp:extent cx="2463800" cy="6908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63800" cy="690880"/>
                          </a:xfrm>
                          <a:prstGeom prst="rect">
                            <a:avLst/>
                          </a:prstGeom>
                          <a:noFill/>
                          <a:ln>
                            <a:noFill/>
                          </a:ln>
                        </pic:spPr>
                      </pic:pic>
                    </a:graphicData>
                  </a:graphic>
                </wp:inline>
              </w:drawing>
            </w:r>
            <w:r>
              <w:rPr>
                <w:rFonts w:hint="eastAsia" w:ascii="宋体" w:hAnsi="宋体"/>
                <w:color w:val="000000"/>
                <w:szCs w:val="21"/>
              </w:rPr>
              <w:t>(a) 直接受益式  b） 附加阳光间式        （c） 集热蓄热墙式</w:t>
            </w:r>
          </w:p>
          <w:p>
            <w:pPr>
              <w:spacing w:line="360" w:lineRule="auto"/>
              <w:jc w:val="center"/>
              <w:rPr>
                <w:rFonts w:ascii="宋体" w:hAnsi="宋体"/>
                <w:color w:val="000000"/>
                <w:szCs w:val="21"/>
              </w:rPr>
            </w:pPr>
            <w:r>
              <w:rPr>
                <w:rFonts w:ascii="宋体" w:hAnsi="宋体"/>
                <w:color w:val="000000"/>
                <w:szCs w:val="21"/>
              </w:rPr>
              <w:t>图</w:t>
            </w:r>
            <w:r>
              <w:rPr>
                <w:rFonts w:hint="eastAsia" w:ascii="宋体" w:hAnsi="宋体"/>
                <w:color w:val="000000"/>
                <w:szCs w:val="21"/>
              </w:rPr>
              <w:t>4</w:t>
            </w:r>
            <w:r>
              <w:rPr>
                <w:rFonts w:ascii="宋体" w:hAnsi="宋体"/>
                <w:color w:val="000000"/>
                <w:szCs w:val="21"/>
              </w:rPr>
              <w:t>.</w:t>
            </w:r>
            <w:r>
              <w:rPr>
                <w:rFonts w:hint="eastAsia" w:ascii="宋体" w:hAnsi="宋体"/>
                <w:color w:val="000000"/>
                <w:szCs w:val="21"/>
              </w:rPr>
              <w:t>4</w:t>
            </w:r>
            <w:r>
              <w:rPr>
                <w:rFonts w:ascii="宋体" w:hAnsi="宋体"/>
                <w:color w:val="000000"/>
                <w:szCs w:val="21"/>
              </w:rPr>
              <w:t>.</w:t>
            </w:r>
            <w:r>
              <w:rPr>
                <w:rFonts w:hint="eastAsia" w:ascii="宋体" w:hAnsi="宋体"/>
                <w:color w:val="000000"/>
                <w:szCs w:val="21"/>
              </w:rPr>
              <w:t>9</w:t>
            </w:r>
            <w:r>
              <w:rPr>
                <w:rFonts w:ascii="宋体" w:hAnsi="宋体"/>
                <w:color w:val="000000"/>
                <w:szCs w:val="21"/>
              </w:rPr>
              <w:t xml:space="preserve"> </w:t>
            </w:r>
            <w:r>
              <w:rPr>
                <w:rFonts w:hint="eastAsia" w:ascii="宋体" w:hAnsi="宋体"/>
                <w:color w:val="000000"/>
                <w:szCs w:val="21"/>
              </w:rPr>
              <w:t>被动</w:t>
            </w:r>
            <w:r>
              <w:rPr>
                <w:rFonts w:ascii="宋体" w:hAnsi="宋体"/>
                <w:color w:val="000000"/>
                <w:szCs w:val="21"/>
              </w:rPr>
              <w:t>式太阳房示意</w:t>
            </w:r>
          </w:p>
          <w:p>
            <w:pPr>
              <w:spacing w:line="360" w:lineRule="auto"/>
              <w:rPr>
                <w:rFonts w:ascii="宋体" w:hAnsi="宋体"/>
                <w:b/>
                <w:sz w:val="24"/>
              </w:rPr>
            </w:pPr>
          </w:p>
        </w:tc>
        <w:tc>
          <w:tcPr>
            <w:tcW w:w="4753" w:type="dxa"/>
          </w:tcPr>
          <w:p>
            <w:pPr>
              <w:spacing w:line="360" w:lineRule="auto"/>
              <w:rPr>
                <w:rFonts w:ascii="宋体" w:hAnsi="宋体"/>
                <w:bCs/>
                <w:sz w:val="24"/>
              </w:rPr>
            </w:pPr>
            <w:r>
              <w:rPr>
                <w:rFonts w:hint="eastAsia" w:ascii="宋体" w:hAnsi="宋体"/>
                <w:b/>
                <w:sz w:val="24"/>
              </w:rPr>
              <w:t xml:space="preserve">4.4.9  </w:t>
            </w:r>
            <w:r>
              <w:rPr>
                <w:rFonts w:hint="eastAsia" w:ascii="宋体" w:hAnsi="宋体"/>
                <w:bCs/>
                <w:sz w:val="24"/>
              </w:rPr>
              <w:t>被动式太阳房应根据房间的使用性质选择适宜的集热方式。以白天使用为主的房间，宜采用直接受益式或附加阳光间式[图4.4.9（a）和图4.4.9（b）]；以夜间使用为主的房间，宜采用具有较大蓄热能力的集热蓄热</w:t>
            </w:r>
            <w:r>
              <w:rPr>
                <w:sz w:val="24"/>
                <w:szCs w:val="21"/>
                <w:bdr w:val="single" w:color="auto" w:sz="4" w:space="0"/>
              </w:rPr>
              <w:t>墙</w:t>
            </w:r>
            <w:r>
              <w:rPr>
                <w:rFonts w:hint="eastAsia" w:ascii="宋体" w:hAnsi="宋体"/>
                <w:bCs/>
                <w:sz w:val="24"/>
              </w:rPr>
              <w:t>式[图4.4.9（c）]。</w:t>
            </w:r>
          </w:p>
          <w:p>
            <w:pPr>
              <w:spacing w:line="360" w:lineRule="auto"/>
              <w:rPr>
                <w:rFonts w:ascii="宋体" w:hAnsi="宋体"/>
                <w:b/>
                <w:sz w:val="24"/>
              </w:rPr>
            </w:pPr>
            <w:r>
              <w:rPr>
                <w:rFonts w:ascii="宋体" w:hAnsi="宋体" w:cs="宋体"/>
                <w:sz w:val="24"/>
              </w:rPr>
              <w:drawing>
                <wp:inline distT="0" distB="0" distL="0" distR="0">
                  <wp:extent cx="2472690" cy="626110"/>
                  <wp:effectExtent l="0" t="0" r="381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72690" cy="626110"/>
                          </a:xfrm>
                          <a:prstGeom prst="rect">
                            <a:avLst/>
                          </a:prstGeom>
                          <a:noFill/>
                          <a:ln>
                            <a:noFill/>
                          </a:ln>
                        </pic:spPr>
                      </pic:pic>
                    </a:graphicData>
                  </a:graphic>
                </wp:inline>
              </w:drawing>
            </w:r>
          </w:p>
          <w:p>
            <w:pPr>
              <w:spacing w:line="360" w:lineRule="auto"/>
              <w:jc w:val="center"/>
              <w:rPr>
                <w:rFonts w:ascii="宋体" w:hAnsi="宋体"/>
                <w:b/>
                <w:sz w:val="24"/>
              </w:rPr>
            </w:pPr>
            <w:r>
              <w:rPr>
                <w:szCs w:val="21"/>
              </w:rPr>
              <w:t>图4.4.9 被动式太阳房示意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bookmarkStart w:id="24" w:name="_Toc157398244"/>
            <w:bookmarkStart w:id="25" w:name="_Toc157504429"/>
            <w:bookmarkStart w:id="26" w:name="_Toc157504499"/>
            <w:r>
              <w:rPr>
                <w:rFonts w:ascii="宋体" w:hAnsi="宋体"/>
                <w:b/>
                <w:sz w:val="24"/>
              </w:rPr>
              <w:t>4.4.12</w:t>
            </w:r>
            <w:r>
              <w:rPr>
                <w:rFonts w:ascii="宋体" w:hAnsi="宋体"/>
                <w:sz w:val="24"/>
              </w:rPr>
              <w:t xml:space="preserve">  </w:t>
            </w:r>
            <w:bookmarkEnd w:id="24"/>
            <w:bookmarkEnd w:id="25"/>
            <w:bookmarkEnd w:id="26"/>
            <w:r>
              <w:rPr>
                <w:rFonts w:ascii="宋体" w:hAnsi="宋体"/>
                <w:sz w:val="24"/>
              </w:rPr>
              <w:t>太阳房的设计应符合下列规定：</w:t>
            </w:r>
          </w:p>
          <w:p>
            <w:pPr>
              <w:spacing w:line="360" w:lineRule="auto"/>
              <w:ind w:firstLine="482" w:firstLineChars="200"/>
              <w:rPr>
                <w:rFonts w:ascii="宋体" w:hAnsi="宋体"/>
                <w:sz w:val="24"/>
              </w:rPr>
            </w:pPr>
            <w:bookmarkStart w:id="27" w:name="_Toc157398239"/>
            <w:bookmarkStart w:id="28" w:name="_Toc157504424"/>
            <w:bookmarkStart w:id="29" w:name="_Toc157504494"/>
            <w:r>
              <w:rPr>
                <w:rFonts w:ascii="宋体" w:hAnsi="宋体"/>
                <w:b/>
                <w:sz w:val="24"/>
              </w:rPr>
              <w:t xml:space="preserve">1 </w:t>
            </w:r>
            <w:r>
              <w:rPr>
                <w:rFonts w:ascii="宋体" w:hAnsi="宋体"/>
                <w:sz w:val="24"/>
              </w:rPr>
              <w:t xml:space="preserve"> 集热蓄热墙应采用吸收率高、耐久性强的吸热外饰材料。透光罩的透光材料与保温装置、边框构造应便于清洗和维修；</w:t>
            </w:r>
            <w:bookmarkEnd w:id="27"/>
            <w:bookmarkEnd w:id="28"/>
            <w:bookmarkEnd w:id="29"/>
          </w:p>
          <w:p>
            <w:pPr>
              <w:spacing w:line="360" w:lineRule="auto"/>
              <w:ind w:firstLine="482" w:firstLineChars="200"/>
              <w:rPr>
                <w:rFonts w:ascii="宋体" w:hAnsi="宋体"/>
                <w:sz w:val="24"/>
              </w:rPr>
            </w:pPr>
            <w:bookmarkStart w:id="30" w:name="_Toc157398240"/>
            <w:bookmarkStart w:id="31" w:name="_Toc157504495"/>
            <w:bookmarkStart w:id="32" w:name="_Toc157504425"/>
            <w:r>
              <w:rPr>
                <w:rFonts w:ascii="宋体" w:hAnsi="宋体"/>
                <w:b/>
                <w:sz w:val="24"/>
              </w:rPr>
              <w:t>2</w:t>
            </w:r>
            <w:r>
              <w:rPr>
                <w:rFonts w:ascii="宋体" w:hAnsi="宋体"/>
                <w:sz w:val="24"/>
              </w:rPr>
              <w:t xml:space="preserve">  集热蓄热墙宜设置通风口。通风口的位置应保证气流通畅，并应便于日常维修与管理；通风口处宜设置止回风阀</w:t>
            </w:r>
            <w:bookmarkEnd w:id="30"/>
            <w:bookmarkEnd w:id="31"/>
            <w:bookmarkEnd w:id="32"/>
            <w:bookmarkStart w:id="33" w:name="_Toc157398241"/>
            <w:r>
              <w:rPr>
                <w:rFonts w:ascii="宋体" w:hAnsi="宋体"/>
                <w:sz w:val="24"/>
              </w:rPr>
              <w:t>并采取保温措施；</w:t>
            </w:r>
          </w:p>
          <w:bookmarkEnd w:id="33"/>
          <w:p>
            <w:pPr>
              <w:spacing w:line="360" w:lineRule="auto"/>
              <w:ind w:firstLine="482" w:firstLineChars="200"/>
              <w:rPr>
                <w:rFonts w:ascii="宋体" w:hAnsi="宋体"/>
                <w:sz w:val="24"/>
              </w:rPr>
            </w:pPr>
            <w:bookmarkStart w:id="34" w:name="_Toc157504427"/>
            <w:bookmarkStart w:id="35" w:name="_Toc157504497"/>
            <w:bookmarkStart w:id="36" w:name="_Toc157398242"/>
            <w:r>
              <w:rPr>
                <w:rFonts w:ascii="宋体" w:hAnsi="宋体"/>
                <w:b/>
                <w:sz w:val="24"/>
              </w:rPr>
              <w:t>3</w:t>
            </w:r>
            <w:r>
              <w:rPr>
                <w:rFonts w:ascii="宋体" w:hAnsi="宋体"/>
                <w:sz w:val="24"/>
              </w:rPr>
              <w:t xml:space="preserve">  集热蓄热墙体应有较大的热容量和导热系数</w:t>
            </w:r>
            <w:bookmarkEnd w:id="34"/>
            <w:bookmarkEnd w:id="35"/>
            <w:bookmarkEnd w:id="36"/>
            <w:r>
              <w:rPr>
                <w:rFonts w:ascii="宋体" w:hAnsi="宋体"/>
                <w:sz w:val="24"/>
              </w:rPr>
              <w:t>；</w:t>
            </w:r>
          </w:p>
          <w:p>
            <w:pPr>
              <w:spacing w:line="360" w:lineRule="auto"/>
              <w:ind w:firstLine="472" w:firstLineChars="196"/>
              <w:rPr>
                <w:rFonts w:ascii="宋体" w:hAnsi="宋体"/>
                <w:sz w:val="24"/>
              </w:rPr>
            </w:pPr>
            <w:bookmarkStart w:id="37" w:name="_Toc157504498"/>
            <w:bookmarkStart w:id="38" w:name="_Toc157504428"/>
            <w:bookmarkStart w:id="39" w:name="_Toc157398243"/>
            <w:r>
              <w:rPr>
                <w:rFonts w:ascii="宋体" w:hAnsi="宋体"/>
                <w:b/>
                <w:sz w:val="24"/>
              </w:rPr>
              <w:t>4</w:t>
            </w:r>
            <w:r>
              <w:rPr>
                <w:rFonts w:ascii="宋体" w:hAnsi="宋体"/>
                <w:sz w:val="24"/>
              </w:rPr>
              <w:t xml:space="preserve">  </w:t>
            </w:r>
            <w:bookmarkEnd w:id="37"/>
            <w:bookmarkEnd w:id="38"/>
            <w:bookmarkEnd w:id="39"/>
            <w:r>
              <w:rPr>
                <w:rFonts w:ascii="宋体" w:hAnsi="宋体"/>
                <w:sz w:val="24"/>
              </w:rPr>
              <w:t>严寒地区宜选用双层玻璃，寒冷地区可选用单层玻璃。</w:t>
            </w:r>
          </w:p>
        </w:tc>
        <w:tc>
          <w:tcPr>
            <w:tcW w:w="4753" w:type="dxa"/>
          </w:tcPr>
          <w:p>
            <w:pPr>
              <w:spacing w:line="360" w:lineRule="auto"/>
              <w:rPr>
                <w:sz w:val="24"/>
              </w:rPr>
            </w:pPr>
            <w:r>
              <w:rPr>
                <w:b/>
                <w:sz w:val="24"/>
              </w:rPr>
              <w:t>4.4.12</w:t>
            </w:r>
            <w:r>
              <w:rPr>
                <w:sz w:val="24"/>
              </w:rPr>
              <w:t xml:space="preserve">  </w:t>
            </w:r>
            <w:r>
              <w:rPr>
                <w:rFonts w:hint="eastAsia"/>
                <w:sz w:val="24"/>
                <w:u w:val="single"/>
              </w:rPr>
              <w:t>集热蓄热式</w:t>
            </w:r>
            <w:r>
              <w:rPr>
                <w:sz w:val="24"/>
              </w:rPr>
              <w:t>太阳房的设计应符合下列规定：</w:t>
            </w:r>
          </w:p>
          <w:p>
            <w:pPr>
              <w:spacing w:line="360" w:lineRule="auto"/>
              <w:ind w:firstLine="482" w:firstLineChars="200"/>
              <w:rPr>
                <w:sz w:val="24"/>
              </w:rPr>
            </w:pPr>
            <w:r>
              <w:rPr>
                <w:b/>
                <w:sz w:val="24"/>
              </w:rPr>
              <w:t xml:space="preserve">1 </w:t>
            </w:r>
            <w:r>
              <w:rPr>
                <w:sz w:val="24"/>
              </w:rPr>
              <w:t xml:space="preserve"> 集热蓄热</w:t>
            </w:r>
            <w:r>
              <w:rPr>
                <w:sz w:val="24"/>
                <w:bdr w:val="single" w:color="auto" w:sz="4" w:space="0"/>
              </w:rPr>
              <w:t>墙</w:t>
            </w:r>
            <w:r>
              <w:rPr>
                <w:rFonts w:hint="eastAsia"/>
                <w:sz w:val="24"/>
                <w:u w:val="single"/>
              </w:rPr>
              <w:t>体应采用有较大热容量和导热系数的材料，</w:t>
            </w:r>
            <w:r>
              <w:rPr>
                <w:sz w:val="24"/>
              </w:rPr>
              <w:t>应采用吸收率高、耐久性强的吸热外饰材料。透光罩的透光材料与保温装置、边框构造应便于清洗和维修；</w:t>
            </w:r>
          </w:p>
          <w:p>
            <w:pPr>
              <w:spacing w:line="360" w:lineRule="auto"/>
              <w:ind w:firstLine="482" w:firstLineChars="200"/>
              <w:rPr>
                <w:sz w:val="24"/>
              </w:rPr>
            </w:pPr>
            <w:r>
              <w:rPr>
                <w:b/>
                <w:sz w:val="24"/>
              </w:rPr>
              <w:t>2</w:t>
            </w:r>
            <w:r>
              <w:rPr>
                <w:sz w:val="24"/>
              </w:rPr>
              <w:t xml:space="preserve">  </w:t>
            </w:r>
            <w:r>
              <w:rPr>
                <w:sz w:val="24"/>
                <w:bdr w:val="single" w:color="auto" w:sz="4" w:space="0"/>
              </w:rPr>
              <w:t>集热蓄热墙</w:t>
            </w:r>
            <w:r>
              <w:rPr>
                <w:rFonts w:hint="eastAsia"/>
                <w:sz w:val="24"/>
                <w:u w:val="single"/>
              </w:rPr>
              <w:t>集热蓄热式太阳房</w:t>
            </w:r>
            <w:r>
              <w:rPr>
                <w:sz w:val="24"/>
              </w:rPr>
              <w:t>宜设置通风口。通风口的位置应保证气流通畅，并应便于日常维修与管理；通风口处宜设置止回风阀并采取保温措施；</w:t>
            </w:r>
          </w:p>
          <w:p>
            <w:pPr>
              <w:spacing w:line="360" w:lineRule="auto"/>
              <w:ind w:firstLine="482" w:firstLineChars="200"/>
              <w:rPr>
                <w:sz w:val="24"/>
                <w:bdr w:val="single" w:color="auto" w:sz="4" w:space="0"/>
              </w:rPr>
            </w:pPr>
            <w:r>
              <w:rPr>
                <w:b/>
                <w:sz w:val="24"/>
                <w:bdr w:val="single" w:color="auto" w:sz="4" w:space="0"/>
              </w:rPr>
              <w:t>3</w:t>
            </w:r>
            <w:r>
              <w:rPr>
                <w:sz w:val="24"/>
                <w:bdr w:val="single" w:color="auto" w:sz="4" w:space="0"/>
              </w:rPr>
              <w:t xml:space="preserve">  集热蓄热墙体应有较大的热容量和导热系数；</w:t>
            </w:r>
          </w:p>
          <w:p>
            <w:pPr>
              <w:spacing w:line="360" w:lineRule="auto"/>
              <w:ind w:firstLine="472" w:firstLineChars="196"/>
              <w:rPr>
                <w:rFonts w:ascii="宋体" w:hAnsi="宋体"/>
                <w:sz w:val="24"/>
              </w:rPr>
            </w:pPr>
            <w:r>
              <w:rPr>
                <w:b/>
                <w:sz w:val="24"/>
                <w:bdr w:val="single" w:color="auto" w:sz="4" w:space="0"/>
              </w:rPr>
              <w:t>4</w:t>
            </w:r>
            <w:r>
              <w:rPr>
                <w:b/>
                <w:bCs/>
                <w:sz w:val="24"/>
                <w:u w:val="single"/>
              </w:rPr>
              <w:t>3</w:t>
            </w:r>
            <w:r>
              <w:rPr>
                <w:sz w:val="24"/>
              </w:rPr>
              <w:t xml:space="preserve">  严寒地区宜选用双层玻璃，寒冷地区可选用单层玻璃。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 xml:space="preserve">4.4.13  </w:t>
            </w:r>
            <w:r>
              <w:rPr>
                <w:rFonts w:ascii="宋体" w:hAnsi="宋体"/>
                <w:sz w:val="24"/>
              </w:rPr>
              <w:t>被动式太阳房蓄热体面积应为集热面积的3倍以上，蓄热体的设计应符合下列规定：</w:t>
            </w:r>
          </w:p>
          <w:p>
            <w:pPr>
              <w:spacing w:line="360" w:lineRule="auto"/>
              <w:ind w:firstLine="482" w:firstLineChars="200"/>
              <w:rPr>
                <w:rFonts w:ascii="宋体" w:hAnsi="宋体"/>
                <w:sz w:val="24"/>
              </w:rPr>
            </w:pPr>
            <w:bookmarkStart w:id="40" w:name="_Toc157504504"/>
            <w:bookmarkStart w:id="41" w:name="_Toc157398249"/>
            <w:bookmarkStart w:id="42" w:name="_Toc157504434"/>
            <w:r>
              <w:rPr>
                <w:rFonts w:ascii="宋体" w:hAnsi="宋体"/>
                <w:b/>
                <w:sz w:val="24"/>
              </w:rPr>
              <w:t>1</w:t>
            </w:r>
            <w:r>
              <w:rPr>
                <w:rFonts w:ascii="宋体" w:hAnsi="宋体"/>
                <w:sz w:val="24"/>
              </w:rPr>
              <w:t xml:space="preserve">  宜利用建筑结构构件设置蓄热体。蓄热体宜直接接收阳光照射；</w:t>
            </w:r>
          </w:p>
          <w:p>
            <w:pPr>
              <w:spacing w:line="360" w:lineRule="auto"/>
              <w:ind w:firstLine="482" w:firstLineChars="200"/>
              <w:rPr>
                <w:rFonts w:ascii="宋体" w:hAnsi="宋体"/>
                <w:sz w:val="24"/>
              </w:rPr>
            </w:pPr>
            <w:r>
              <w:rPr>
                <w:rFonts w:ascii="宋体" w:hAnsi="宋体"/>
                <w:b/>
                <w:sz w:val="24"/>
              </w:rPr>
              <w:t>2</w:t>
            </w:r>
            <w:r>
              <w:rPr>
                <w:rFonts w:ascii="宋体" w:hAnsi="宋体"/>
                <w:sz w:val="24"/>
              </w:rPr>
              <w:t xml:space="preserve">  应采用成本低、比热容大，性能稳定、无毒、无害，吸热放热快的蓄热材料</w:t>
            </w:r>
            <w:bookmarkEnd w:id="40"/>
            <w:bookmarkEnd w:id="41"/>
            <w:bookmarkEnd w:id="42"/>
            <w:r>
              <w:rPr>
                <w:rFonts w:ascii="宋体" w:hAnsi="宋体"/>
                <w:sz w:val="24"/>
              </w:rPr>
              <w:t>；</w:t>
            </w:r>
          </w:p>
          <w:p>
            <w:pPr>
              <w:spacing w:line="360" w:lineRule="auto"/>
              <w:ind w:firstLine="482" w:firstLineChars="200"/>
              <w:rPr>
                <w:rFonts w:ascii="宋体" w:hAnsi="宋体"/>
                <w:sz w:val="24"/>
              </w:rPr>
            </w:pPr>
            <w:bookmarkStart w:id="43" w:name="_Toc157398250"/>
            <w:bookmarkStart w:id="44" w:name="_Toc157504435"/>
            <w:bookmarkStart w:id="45" w:name="_Toc157504505"/>
            <w:r>
              <w:rPr>
                <w:rFonts w:ascii="宋体" w:hAnsi="宋体"/>
                <w:b/>
                <w:sz w:val="24"/>
              </w:rPr>
              <w:t>3</w:t>
            </w:r>
            <w:r>
              <w:rPr>
                <w:rFonts w:ascii="宋体" w:hAnsi="宋体"/>
                <w:sz w:val="24"/>
              </w:rPr>
              <w:t xml:space="preserve">  蓄热地面、墙面不宜铺设地毯、挂毯等隔热材料；</w:t>
            </w:r>
            <w:bookmarkEnd w:id="43"/>
            <w:bookmarkEnd w:id="44"/>
            <w:bookmarkEnd w:id="45"/>
          </w:p>
          <w:p>
            <w:pPr>
              <w:spacing w:line="360" w:lineRule="auto"/>
              <w:ind w:firstLine="482" w:firstLineChars="200"/>
              <w:rPr>
                <w:rFonts w:ascii="宋体" w:hAnsi="宋体"/>
                <w:sz w:val="24"/>
              </w:rPr>
            </w:pPr>
            <w:bookmarkStart w:id="46" w:name="_Toc157504436"/>
            <w:bookmarkStart w:id="47" w:name="_Toc157398251"/>
            <w:bookmarkStart w:id="48" w:name="_Toc157504506"/>
            <w:r>
              <w:rPr>
                <w:rFonts w:ascii="宋体" w:hAnsi="宋体"/>
                <w:b/>
                <w:sz w:val="24"/>
              </w:rPr>
              <w:t>4</w:t>
            </w:r>
            <w:r>
              <w:rPr>
                <w:rFonts w:ascii="宋体" w:hAnsi="宋体"/>
                <w:sz w:val="24"/>
              </w:rPr>
              <w:t xml:space="preserve">  有条件时宜设置专用的水墙或相变材料蓄热。</w:t>
            </w:r>
            <w:bookmarkEnd w:id="46"/>
            <w:bookmarkEnd w:id="47"/>
            <w:bookmarkEnd w:id="48"/>
          </w:p>
        </w:tc>
        <w:tc>
          <w:tcPr>
            <w:tcW w:w="4753" w:type="dxa"/>
          </w:tcPr>
          <w:p>
            <w:pPr>
              <w:spacing w:line="360" w:lineRule="auto"/>
              <w:rPr>
                <w:rFonts w:ascii="宋体" w:hAnsi="宋体"/>
                <w:sz w:val="24"/>
              </w:rPr>
            </w:pPr>
            <w:r>
              <w:rPr>
                <w:rFonts w:ascii="宋体" w:hAnsi="宋体"/>
                <w:b/>
                <w:sz w:val="24"/>
              </w:rPr>
              <w:t xml:space="preserve">4.4.13  </w:t>
            </w:r>
            <w:r>
              <w:rPr>
                <w:rFonts w:ascii="宋体" w:hAnsi="宋体"/>
                <w:sz w:val="24"/>
              </w:rPr>
              <w:t>被动式太阳房</w:t>
            </w:r>
            <w:r>
              <w:rPr>
                <w:rFonts w:hint="eastAsia" w:ascii="宋体" w:hAnsi="宋体"/>
                <w:sz w:val="24"/>
                <w:u w:val="single"/>
              </w:rPr>
              <w:t>应设置蓄热体，</w:t>
            </w:r>
            <w:r>
              <w:rPr>
                <w:rFonts w:ascii="宋体" w:hAnsi="宋体"/>
                <w:sz w:val="24"/>
              </w:rPr>
              <w:t>蓄热体面积应为集热面积的3倍以上，蓄热体的设计应符合下列规定：</w:t>
            </w:r>
          </w:p>
          <w:p>
            <w:pPr>
              <w:spacing w:line="360" w:lineRule="auto"/>
              <w:ind w:firstLine="482" w:firstLineChars="200"/>
              <w:rPr>
                <w:rFonts w:ascii="宋体" w:hAnsi="宋体"/>
                <w:sz w:val="24"/>
              </w:rPr>
            </w:pPr>
            <w:r>
              <w:rPr>
                <w:rFonts w:ascii="宋体" w:hAnsi="宋体"/>
                <w:b/>
                <w:sz w:val="24"/>
              </w:rPr>
              <w:t>1</w:t>
            </w:r>
            <w:r>
              <w:rPr>
                <w:rFonts w:ascii="宋体" w:hAnsi="宋体"/>
                <w:sz w:val="24"/>
              </w:rPr>
              <w:t xml:space="preserve">  宜利用建筑结构构件设置蓄热体。蓄热体宜直接接收阳光照射；</w:t>
            </w:r>
          </w:p>
          <w:p>
            <w:pPr>
              <w:spacing w:line="360" w:lineRule="auto"/>
              <w:ind w:firstLine="482" w:firstLineChars="200"/>
              <w:rPr>
                <w:rFonts w:ascii="宋体" w:hAnsi="宋体"/>
                <w:sz w:val="24"/>
              </w:rPr>
            </w:pPr>
            <w:r>
              <w:rPr>
                <w:rFonts w:ascii="宋体" w:hAnsi="宋体"/>
                <w:b/>
                <w:sz w:val="24"/>
              </w:rPr>
              <w:t>2</w:t>
            </w:r>
            <w:r>
              <w:rPr>
                <w:rFonts w:ascii="宋体" w:hAnsi="宋体"/>
                <w:sz w:val="24"/>
              </w:rPr>
              <w:t xml:space="preserve">  应采用成本低、比热容大，性能稳定、无毒、无害，吸热放热快的蓄热材料；</w:t>
            </w:r>
          </w:p>
          <w:p>
            <w:pPr>
              <w:spacing w:line="360" w:lineRule="auto"/>
              <w:ind w:firstLine="482" w:firstLineChars="200"/>
              <w:rPr>
                <w:rFonts w:ascii="宋体" w:hAnsi="宋体"/>
                <w:sz w:val="24"/>
              </w:rPr>
            </w:pPr>
            <w:r>
              <w:rPr>
                <w:rFonts w:ascii="宋体" w:hAnsi="宋体"/>
                <w:b/>
                <w:sz w:val="24"/>
              </w:rPr>
              <w:t>3</w:t>
            </w:r>
            <w:r>
              <w:rPr>
                <w:rFonts w:ascii="宋体" w:hAnsi="宋体"/>
                <w:sz w:val="24"/>
              </w:rPr>
              <w:t xml:space="preserve">  蓄热地面、墙面不宜铺设地毯、挂毯等隔热材料；</w:t>
            </w:r>
          </w:p>
          <w:p>
            <w:pPr>
              <w:spacing w:line="360" w:lineRule="auto"/>
              <w:ind w:firstLine="482" w:firstLineChars="200"/>
              <w:rPr>
                <w:rFonts w:ascii="宋体" w:hAnsi="宋体"/>
                <w:sz w:val="24"/>
              </w:rPr>
            </w:pPr>
            <w:r>
              <w:rPr>
                <w:rFonts w:ascii="宋体" w:hAnsi="宋体"/>
                <w:b/>
                <w:sz w:val="24"/>
              </w:rPr>
              <w:t>4</w:t>
            </w:r>
            <w:r>
              <w:rPr>
                <w:rFonts w:ascii="宋体" w:hAnsi="宋体"/>
                <w:sz w:val="24"/>
              </w:rPr>
              <w:t xml:space="preserve">  有条件时宜设置专用的水墙或相变材料蓄热。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 xml:space="preserve">4.4.14 </w:t>
            </w:r>
            <w:r>
              <w:rPr>
                <w:rFonts w:ascii="宋体" w:hAnsi="宋体"/>
                <w:sz w:val="24"/>
              </w:rPr>
              <w:t xml:space="preserve"> 被动式太阳房南向玻璃窗的开窗面积，应保证在冬季通过窗户的太阳得热量大于通过窗户向外散发的热损失。南向窗墙面积比及对应的外窗传热系数限值宜根据不同集热方式，按表4.4.14选取。当不符合表4.4.14中限值规定时，宜进行节能性能计算确定。 </w:t>
            </w:r>
          </w:p>
          <w:p>
            <w:pPr>
              <w:spacing w:line="360" w:lineRule="auto"/>
              <w:jc w:val="center"/>
              <w:rPr>
                <w:rFonts w:ascii="宋体" w:hAnsi="宋体"/>
                <w:b/>
                <w:bCs/>
                <w:sz w:val="24"/>
              </w:rPr>
            </w:pPr>
            <w:r>
              <w:rPr>
                <w:rFonts w:ascii="宋体" w:hAnsi="宋体"/>
                <w:b/>
                <w:bCs/>
                <w:sz w:val="24"/>
              </w:rPr>
              <w:t xml:space="preserve">表4.4.14  </w:t>
            </w:r>
            <w:r>
              <w:rPr>
                <w:rFonts w:ascii="宋体" w:hAnsi="宋体"/>
                <w:b/>
                <w:sz w:val="24"/>
              </w:rPr>
              <w:t>被动太阳房南向开窗面积大小及外窗的传热系数限值</w:t>
            </w:r>
          </w:p>
          <w:tbl>
            <w:tblPr>
              <w:tblStyle w:val="17"/>
              <w:tblW w:w="39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2"/>
              <w:gridCol w:w="949"/>
              <w:gridCol w:w="1120"/>
              <w:gridCol w:w="1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812" w:type="dxa"/>
                  <w:tcBorders>
                    <w:top w:val="single" w:color="auto" w:sz="12" w:space="0"/>
                    <w:left w:val="single" w:color="auto" w:sz="12" w:space="0"/>
                    <w:bottom w:val="single" w:color="auto" w:sz="4" w:space="0"/>
                    <w:right w:val="single" w:color="auto" w:sz="4" w:space="0"/>
                  </w:tcBorders>
                  <w:vAlign w:val="center"/>
                </w:tcPr>
                <w:p>
                  <w:pPr>
                    <w:jc w:val="center"/>
                    <w:rPr>
                      <w:rFonts w:ascii="宋体" w:hAnsi="宋体"/>
                      <w:szCs w:val="21"/>
                    </w:rPr>
                  </w:pPr>
                  <w:r>
                    <w:rPr>
                      <w:rFonts w:ascii="宋体" w:hAnsi="宋体"/>
                      <w:szCs w:val="21"/>
                    </w:rPr>
                    <w:t>集热方式</w:t>
                  </w:r>
                </w:p>
              </w:tc>
              <w:tc>
                <w:tcPr>
                  <w:tcW w:w="949" w:type="dxa"/>
                  <w:tcBorders>
                    <w:top w:val="single" w:color="auto" w:sz="12"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冬季日照率ρs</w:t>
                  </w:r>
                </w:p>
              </w:tc>
              <w:tc>
                <w:tcPr>
                  <w:tcW w:w="1120" w:type="dxa"/>
                  <w:tcBorders>
                    <w:top w:val="single" w:color="auto" w:sz="12"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南向窗墙面积比限值</w:t>
                  </w:r>
                </w:p>
              </w:tc>
              <w:tc>
                <w:tcPr>
                  <w:tcW w:w="1103" w:type="dxa"/>
                  <w:tcBorders>
                    <w:top w:val="single" w:color="auto" w:sz="12" w:space="0"/>
                    <w:left w:val="single" w:color="auto" w:sz="4" w:space="0"/>
                    <w:bottom w:val="single" w:color="auto" w:sz="4" w:space="0"/>
                    <w:right w:val="single" w:color="auto" w:sz="12" w:space="0"/>
                  </w:tcBorders>
                  <w:vAlign w:val="center"/>
                </w:tcPr>
                <w:p>
                  <w:pPr>
                    <w:jc w:val="center"/>
                    <w:rPr>
                      <w:rFonts w:ascii="宋体" w:hAnsi="宋体"/>
                      <w:szCs w:val="21"/>
                    </w:rPr>
                  </w:pPr>
                  <w:r>
                    <w:rPr>
                      <w:rFonts w:ascii="宋体" w:hAnsi="宋体"/>
                      <w:szCs w:val="21"/>
                    </w:rPr>
                    <w:t>外窗传热系数限值</w:t>
                  </w:r>
                </w:p>
                <w:p>
                  <w:pPr>
                    <w:jc w:val="center"/>
                    <w:rPr>
                      <w:rFonts w:ascii="宋体" w:hAnsi="宋体"/>
                      <w:szCs w:val="21"/>
                    </w:rPr>
                  </w:pPr>
                  <w:r>
                    <w:rPr>
                      <w:rFonts w:ascii="宋体" w:hAnsi="宋体"/>
                      <w:szCs w:val="21"/>
                    </w:rPr>
                    <w:t>W/（m</w:t>
                  </w:r>
                  <w:r>
                    <w:rPr>
                      <w:rFonts w:ascii="宋体" w:hAnsi="宋体"/>
                      <w:szCs w:val="21"/>
                      <w:vertAlign w:val="superscript"/>
                    </w:rPr>
                    <w:t>2</w:t>
                  </w:r>
                  <w:r>
                    <w:rPr>
                      <w:rFonts w:ascii="宋体" w:hAnsi="宋体"/>
                      <w:szCs w:val="21"/>
                    </w:rPr>
                    <w:t>·K）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812" w:type="dxa"/>
                  <w:vMerge w:val="restart"/>
                  <w:tcBorders>
                    <w:top w:val="single" w:color="auto" w:sz="4" w:space="0"/>
                    <w:left w:val="single" w:color="auto" w:sz="12" w:space="0"/>
                    <w:right w:val="single" w:color="auto" w:sz="4" w:space="0"/>
                  </w:tcBorders>
                  <w:vAlign w:val="center"/>
                </w:tcPr>
                <w:p>
                  <w:pPr>
                    <w:jc w:val="center"/>
                    <w:rPr>
                      <w:rFonts w:ascii="宋体" w:hAnsi="宋体"/>
                      <w:szCs w:val="21"/>
                    </w:rPr>
                  </w:pPr>
                  <w:r>
                    <w:rPr>
                      <w:rFonts w:ascii="宋体" w:hAnsi="宋体"/>
                      <w:szCs w:val="21"/>
                    </w:rPr>
                    <w:t>直接受益式</w:t>
                  </w:r>
                </w:p>
              </w:tc>
              <w:tc>
                <w:tcPr>
                  <w:tcW w:w="949"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ρs≥0.7</w:t>
                  </w:r>
                </w:p>
              </w:tc>
              <w:tc>
                <w:tcPr>
                  <w:tcW w:w="1120"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≥0.5</w:t>
                  </w:r>
                </w:p>
              </w:tc>
              <w:tc>
                <w:tcPr>
                  <w:tcW w:w="1103" w:type="dxa"/>
                  <w:tcBorders>
                    <w:top w:val="single" w:color="auto" w:sz="4" w:space="0"/>
                    <w:left w:val="single" w:color="auto" w:sz="4" w:space="0"/>
                    <w:right w:val="single" w:color="auto" w:sz="12" w:space="0"/>
                  </w:tcBorders>
                  <w:vAlign w:val="center"/>
                </w:tcPr>
                <w:p>
                  <w:pPr>
                    <w:jc w:val="center"/>
                    <w:rPr>
                      <w:rFonts w:ascii="宋体" w:hAnsi="宋体"/>
                      <w:szCs w:val="21"/>
                    </w:rPr>
                  </w:pPr>
                  <w:r>
                    <w:rPr>
                      <w:rFonts w:ascii="宋体" w:hAnsi="宋体"/>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812" w:type="dxa"/>
                  <w:vMerge w:val="continue"/>
                  <w:tcBorders>
                    <w:left w:val="single" w:color="auto" w:sz="12" w:space="0"/>
                    <w:right w:val="single" w:color="auto" w:sz="4" w:space="0"/>
                  </w:tcBorders>
                  <w:vAlign w:val="center"/>
                </w:tcPr>
                <w:p>
                  <w:pPr>
                    <w:jc w:val="center"/>
                    <w:rPr>
                      <w:rFonts w:ascii="宋体" w:hAnsi="宋体"/>
                      <w:szCs w:val="21"/>
                    </w:rPr>
                  </w:pPr>
                </w:p>
              </w:tc>
              <w:tc>
                <w:tcPr>
                  <w:tcW w:w="949"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0.7＞ρs≥0.55</w:t>
                  </w:r>
                </w:p>
              </w:tc>
              <w:tc>
                <w:tcPr>
                  <w:tcW w:w="1120"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≥0.55</w:t>
                  </w:r>
                </w:p>
              </w:tc>
              <w:tc>
                <w:tcPr>
                  <w:tcW w:w="1103" w:type="dxa"/>
                  <w:tcBorders>
                    <w:top w:val="single" w:color="auto" w:sz="4" w:space="0"/>
                    <w:left w:val="single" w:color="auto" w:sz="4" w:space="0"/>
                    <w:right w:val="single" w:color="auto" w:sz="12" w:space="0"/>
                  </w:tcBorders>
                  <w:vAlign w:val="center"/>
                </w:tcPr>
                <w:p>
                  <w:pPr>
                    <w:jc w:val="center"/>
                    <w:rPr>
                      <w:rFonts w:ascii="宋体" w:hAnsi="宋体"/>
                      <w:szCs w:val="21"/>
                    </w:rPr>
                  </w:pPr>
                  <w:r>
                    <w:rPr>
                      <w:rFonts w:ascii="宋体" w:hAnsi="宋体"/>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812"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宋体" w:hAnsi="宋体"/>
                      <w:szCs w:val="21"/>
                    </w:rPr>
                  </w:pPr>
                  <w:r>
                    <w:rPr>
                      <w:rFonts w:ascii="宋体" w:hAnsi="宋体"/>
                      <w:szCs w:val="21"/>
                    </w:rPr>
                    <w:t>集热蓄热墙式</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ρs≥0.7</w:t>
                  </w:r>
                </w:p>
              </w:tc>
              <w:tc>
                <w:tcPr>
                  <w:tcW w:w="1120" w:type="dxa"/>
                  <w:vMerge w:val="restart"/>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w:t>
                  </w:r>
                </w:p>
              </w:tc>
              <w:tc>
                <w:tcPr>
                  <w:tcW w:w="1103" w:type="dxa"/>
                  <w:vMerge w:val="restart"/>
                  <w:tcBorders>
                    <w:top w:val="single" w:color="auto" w:sz="4" w:space="0"/>
                    <w:left w:val="single" w:color="auto" w:sz="4" w:space="0"/>
                    <w:right w:val="single" w:color="auto" w:sz="12" w:space="0"/>
                  </w:tcBorders>
                  <w:vAlign w:val="center"/>
                </w:tcPr>
                <w:p>
                  <w:pPr>
                    <w:jc w:val="center"/>
                    <w:rPr>
                      <w:rFonts w:ascii="宋体" w:hAnsi="宋体"/>
                      <w:szCs w:val="21"/>
                    </w:rPr>
                  </w:pPr>
                  <w:r>
                    <w:rPr>
                      <w:rFonts w:ascii="宋体" w:hAnsi="宋体"/>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812"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宋体" w:hAnsi="宋体"/>
                      <w:szCs w:val="21"/>
                    </w:rPr>
                  </w:pP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0.7＞ρs≥0.55</w:t>
                  </w:r>
                </w:p>
              </w:tc>
              <w:tc>
                <w:tcPr>
                  <w:tcW w:w="1120" w:type="dxa"/>
                  <w:vMerge w:val="continue"/>
                  <w:tcBorders>
                    <w:left w:val="single" w:color="auto" w:sz="4" w:space="0"/>
                    <w:bottom w:val="single" w:color="auto" w:sz="4" w:space="0"/>
                    <w:right w:val="single" w:color="auto" w:sz="4" w:space="0"/>
                  </w:tcBorders>
                  <w:vAlign w:val="center"/>
                </w:tcPr>
                <w:p>
                  <w:pPr>
                    <w:jc w:val="center"/>
                    <w:rPr>
                      <w:rFonts w:ascii="宋体" w:hAnsi="宋体"/>
                      <w:szCs w:val="21"/>
                    </w:rPr>
                  </w:pPr>
                </w:p>
              </w:tc>
              <w:tc>
                <w:tcPr>
                  <w:tcW w:w="1103" w:type="dxa"/>
                  <w:vMerge w:val="continue"/>
                  <w:tcBorders>
                    <w:left w:val="single" w:color="auto" w:sz="4" w:space="0"/>
                    <w:bottom w:val="single" w:color="auto" w:sz="4" w:space="0"/>
                    <w:right w:val="single" w:color="auto" w:sz="12" w:space="0"/>
                  </w:tcBorders>
                  <w:vAlign w:val="center"/>
                </w:tcPr>
                <w:p>
                  <w:pPr>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12" w:type="dxa"/>
                  <w:vMerge w:val="restart"/>
                  <w:tcBorders>
                    <w:top w:val="single" w:color="auto" w:sz="4" w:space="0"/>
                    <w:left w:val="single" w:color="auto" w:sz="12" w:space="0"/>
                    <w:right w:val="single" w:color="auto" w:sz="4" w:space="0"/>
                  </w:tcBorders>
                  <w:vAlign w:val="center"/>
                </w:tcPr>
                <w:p>
                  <w:pPr>
                    <w:jc w:val="center"/>
                    <w:rPr>
                      <w:rFonts w:ascii="宋体" w:hAnsi="宋体"/>
                      <w:szCs w:val="21"/>
                    </w:rPr>
                  </w:pPr>
                  <w:r>
                    <w:rPr>
                      <w:rFonts w:ascii="宋体" w:hAnsi="宋体"/>
                      <w:szCs w:val="21"/>
                    </w:rPr>
                    <w:t>附加阳光间式</w:t>
                  </w:r>
                </w:p>
              </w:tc>
              <w:tc>
                <w:tcPr>
                  <w:tcW w:w="949"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ρs≥0.7</w:t>
                  </w:r>
                </w:p>
              </w:tc>
              <w:tc>
                <w:tcPr>
                  <w:tcW w:w="1120"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≥0.6</w:t>
                  </w:r>
                </w:p>
              </w:tc>
              <w:tc>
                <w:tcPr>
                  <w:tcW w:w="1103" w:type="dxa"/>
                  <w:tcBorders>
                    <w:top w:val="single" w:color="auto" w:sz="4" w:space="0"/>
                    <w:left w:val="single" w:color="auto" w:sz="4" w:space="0"/>
                    <w:right w:val="single" w:color="auto" w:sz="12" w:space="0"/>
                  </w:tcBorders>
                  <w:vAlign w:val="center"/>
                </w:tcPr>
                <w:p>
                  <w:pPr>
                    <w:jc w:val="center"/>
                    <w:rPr>
                      <w:rFonts w:ascii="宋体" w:hAnsi="宋体"/>
                      <w:szCs w:val="21"/>
                    </w:rPr>
                  </w:pPr>
                  <w:r>
                    <w:rPr>
                      <w:rFonts w:ascii="宋体" w:hAnsi="宋体"/>
                      <w:szCs w:val="21"/>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jc w:val="center"/>
              </w:trPr>
              <w:tc>
                <w:tcPr>
                  <w:tcW w:w="812" w:type="dxa"/>
                  <w:vMerge w:val="continue"/>
                  <w:tcBorders>
                    <w:left w:val="single" w:color="auto" w:sz="12" w:space="0"/>
                    <w:right w:val="single" w:color="auto" w:sz="4" w:space="0"/>
                  </w:tcBorders>
                  <w:vAlign w:val="center"/>
                </w:tcPr>
                <w:p>
                  <w:pPr>
                    <w:jc w:val="center"/>
                    <w:rPr>
                      <w:rFonts w:ascii="宋体" w:hAnsi="宋体"/>
                      <w:szCs w:val="21"/>
                    </w:rPr>
                  </w:pP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0.7＞ρs≥0.55</w:t>
                  </w:r>
                </w:p>
              </w:tc>
              <w:tc>
                <w:tcPr>
                  <w:tcW w:w="11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≥0.7</w:t>
                  </w:r>
                </w:p>
              </w:tc>
              <w:tc>
                <w:tcPr>
                  <w:tcW w:w="1103"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szCs w:val="21"/>
                    </w:rPr>
                  </w:pPr>
                  <w:r>
                    <w:rPr>
                      <w:rFonts w:ascii="宋体" w:hAnsi="宋体"/>
                      <w:szCs w:val="21"/>
                    </w:rPr>
                    <w:t>≤4.7</w:t>
                  </w:r>
                </w:p>
              </w:tc>
            </w:tr>
          </w:tbl>
          <w:p>
            <w:pPr>
              <w:spacing w:line="360" w:lineRule="auto"/>
              <w:rPr>
                <w:rFonts w:ascii="宋体" w:hAnsi="宋体"/>
                <w:b/>
                <w:sz w:val="24"/>
              </w:rPr>
            </w:pPr>
          </w:p>
        </w:tc>
        <w:tc>
          <w:tcPr>
            <w:tcW w:w="4753" w:type="dxa"/>
          </w:tcPr>
          <w:p>
            <w:pPr>
              <w:spacing w:line="360" w:lineRule="auto"/>
              <w:rPr>
                <w:rFonts w:ascii="宋体" w:hAnsi="宋体"/>
                <w:sz w:val="24"/>
              </w:rPr>
            </w:pPr>
            <w:r>
              <w:rPr>
                <w:rFonts w:ascii="宋体" w:hAnsi="宋体"/>
                <w:b/>
                <w:sz w:val="24"/>
              </w:rPr>
              <w:t xml:space="preserve">4.4.14 </w:t>
            </w:r>
            <w:r>
              <w:rPr>
                <w:rFonts w:ascii="宋体" w:hAnsi="宋体"/>
                <w:sz w:val="24"/>
              </w:rPr>
              <w:t xml:space="preserve"> 被动式太阳房南向玻璃窗的开窗面积，应保证在冬季通过窗户的太阳得热量大于通过窗户向外散发的热损失。南向窗墙面积比及对应的外窗传热系数限值宜根据不同集热方式，按表4.4.14选取。当不符合表4.4.14中限值规定时，宜进行节能性能计算确定。 </w:t>
            </w:r>
          </w:p>
          <w:p>
            <w:pPr>
              <w:spacing w:line="360" w:lineRule="auto"/>
              <w:jc w:val="center"/>
              <w:rPr>
                <w:rFonts w:ascii="宋体" w:hAnsi="宋体"/>
                <w:b/>
                <w:bCs/>
                <w:sz w:val="24"/>
              </w:rPr>
            </w:pPr>
            <w:r>
              <w:rPr>
                <w:rFonts w:ascii="宋体" w:hAnsi="宋体"/>
                <w:b/>
                <w:bCs/>
                <w:sz w:val="24"/>
              </w:rPr>
              <w:t xml:space="preserve">表4.4.14  </w:t>
            </w:r>
            <w:r>
              <w:rPr>
                <w:rFonts w:ascii="宋体" w:hAnsi="宋体"/>
                <w:b/>
                <w:sz w:val="24"/>
              </w:rPr>
              <w:t>被动太阳房南向开窗面积大小及外窗的传热系数限值</w:t>
            </w:r>
          </w:p>
          <w:tbl>
            <w:tblPr>
              <w:tblStyle w:val="17"/>
              <w:tblW w:w="39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2"/>
              <w:gridCol w:w="949"/>
              <w:gridCol w:w="1120"/>
              <w:gridCol w:w="1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812" w:type="dxa"/>
                  <w:tcBorders>
                    <w:top w:val="single" w:color="auto" w:sz="12" w:space="0"/>
                    <w:left w:val="single" w:color="auto" w:sz="12" w:space="0"/>
                    <w:bottom w:val="single" w:color="auto" w:sz="4" w:space="0"/>
                    <w:right w:val="single" w:color="auto" w:sz="4" w:space="0"/>
                  </w:tcBorders>
                  <w:vAlign w:val="center"/>
                </w:tcPr>
                <w:p>
                  <w:pPr>
                    <w:jc w:val="center"/>
                    <w:rPr>
                      <w:rFonts w:ascii="宋体" w:hAnsi="宋体"/>
                      <w:szCs w:val="21"/>
                    </w:rPr>
                  </w:pPr>
                  <w:r>
                    <w:rPr>
                      <w:rFonts w:ascii="宋体" w:hAnsi="宋体"/>
                      <w:szCs w:val="21"/>
                    </w:rPr>
                    <w:t>集热方式</w:t>
                  </w:r>
                </w:p>
              </w:tc>
              <w:tc>
                <w:tcPr>
                  <w:tcW w:w="949" w:type="dxa"/>
                  <w:tcBorders>
                    <w:top w:val="single" w:color="auto" w:sz="12"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冬季日照率ρs</w:t>
                  </w:r>
                </w:p>
              </w:tc>
              <w:tc>
                <w:tcPr>
                  <w:tcW w:w="1120" w:type="dxa"/>
                  <w:tcBorders>
                    <w:top w:val="single" w:color="auto" w:sz="12"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南向窗墙面积比限值</w:t>
                  </w:r>
                </w:p>
              </w:tc>
              <w:tc>
                <w:tcPr>
                  <w:tcW w:w="1103" w:type="dxa"/>
                  <w:tcBorders>
                    <w:top w:val="single" w:color="auto" w:sz="12" w:space="0"/>
                    <w:left w:val="single" w:color="auto" w:sz="4" w:space="0"/>
                    <w:bottom w:val="single" w:color="auto" w:sz="4" w:space="0"/>
                    <w:right w:val="single" w:color="auto" w:sz="12" w:space="0"/>
                  </w:tcBorders>
                  <w:vAlign w:val="center"/>
                </w:tcPr>
                <w:p>
                  <w:pPr>
                    <w:jc w:val="center"/>
                    <w:rPr>
                      <w:rFonts w:ascii="宋体" w:hAnsi="宋体"/>
                      <w:szCs w:val="21"/>
                    </w:rPr>
                  </w:pPr>
                  <w:r>
                    <w:rPr>
                      <w:rFonts w:ascii="宋体" w:hAnsi="宋体"/>
                      <w:szCs w:val="21"/>
                    </w:rPr>
                    <w:t>外窗传热系数限值</w:t>
                  </w:r>
                </w:p>
                <w:p>
                  <w:pPr>
                    <w:jc w:val="center"/>
                    <w:rPr>
                      <w:rFonts w:ascii="宋体" w:hAnsi="宋体"/>
                      <w:szCs w:val="21"/>
                    </w:rPr>
                  </w:pPr>
                  <w:r>
                    <w:rPr>
                      <w:rFonts w:ascii="宋体" w:hAnsi="宋体"/>
                      <w:szCs w:val="21"/>
                    </w:rPr>
                    <w:t>W/（m</w:t>
                  </w:r>
                  <w:r>
                    <w:rPr>
                      <w:rFonts w:ascii="宋体" w:hAnsi="宋体"/>
                      <w:szCs w:val="21"/>
                      <w:vertAlign w:val="superscript"/>
                    </w:rPr>
                    <w:t>2</w:t>
                  </w:r>
                  <w:r>
                    <w:rPr>
                      <w:rFonts w:ascii="宋体" w:hAnsi="宋体"/>
                      <w:szCs w:val="21"/>
                    </w:rPr>
                    <w:t>·K）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812" w:type="dxa"/>
                  <w:vMerge w:val="restart"/>
                  <w:tcBorders>
                    <w:top w:val="single" w:color="auto" w:sz="4" w:space="0"/>
                    <w:left w:val="single" w:color="auto" w:sz="12" w:space="0"/>
                    <w:right w:val="single" w:color="auto" w:sz="4" w:space="0"/>
                  </w:tcBorders>
                  <w:vAlign w:val="center"/>
                </w:tcPr>
                <w:p>
                  <w:pPr>
                    <w:jc w:val="center"/>
                    <w:rPr>
                      <w:rFonts w:ascii="宋体" w:hAnsi="宋体"/>
                      <w:szCs w:val="21"/>
                    </w:rPr>
                  </w:pPr>
                  <w:r>
                    <w:rPr>
                      <w:rFonts w:ascii="宋体" w:hAnsi="宋体"/>
                      <w:szCs w:val="21"/>
                    </w:rPr>
                    <w:t>直接受益式</w:t>
                  </w:r>
                </w:p>
              </w:tc>
              <w:tc>
                <w:tcPr>
                  <w:tcW w:w="949"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ρs≥0.7</w:t>
                  </w:r>
                </w:p>
              </w:tc>
              <w:tc>
                <w:tcPr>
                  <w:tcW w:w="1120"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≥0.5</w:t>
                  </w:r>
                </w:p>
              </w:tc>
              <w:tc>
                <w:tcPr>
                  <w:tcW w:w="1103" w:type="dxa"/>
                  <w:tcBorders>
                    <w:top w:val="single" w:color="auto" w:sz="4" w:space="0"/>
                    <w:left w:val="single" w:color="auto" w:sz="4" w:space="0"/>
                    <w:right w:val="single" w:color="auto" w:sz="12" w:space="0"/>
                  </w:tcBorders>
                  <w:vAlign w:val="center"/>
                </w:tcPr>
                <w:p>
                  <w:pPr>
                    <w:jc w:val="center"/>
                    <w:rPr>
                      <w:rFonts w:ascii="宋体" w:hAnsi="宋体"/>
                      <w:szCs w:val="21"/>
                    </w:rPr>
                  </w:pPr>
                  <w:r>
                    <w:rPr>
                      <w:rFonts w:ascii="宋体" w:hAnsi="宋体"/>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812" w:type="dxa"/>
                  <w:vMerge w:val="continue"/>
                  <w:tcBorders>
                    <w:left w:val="single" w:color="auto" w:sz="12" w:space="0"/>
                    <w:right w:val="single" w:color="auto" w:sz="4" w:space="0"/>
                  </w:tcBorders>
                  <w:vAlign w:val="center"/>
                </w:tcPr>
                <w:p>
                  <w:pPr>
                    <w:jc w:val="center"/>
                    <w:rPr>
                      <w:rFonts w:ascii="宋体" w:hAnsi="宋体"/>
                      <w:szCs w:val="21"/>
                    </w:rPr>
                  </w:pPr>
                </w:p>
              </w:tc>
              <w:tc>
                <w:tcPr>
                  <w:tcW w:w="949"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0.7＞ρs≥0.55</w:t>
                  </w:r>
                </w:p>
              </w:tc>
              <w:tc>
                <w:tcPr>
                  <w:tcW w:w="1120"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≥0.55</w:t>
                  </w:r>
                </w:p>
              </w:tc>
              <w:tc>
                <w:tcPr>
                  <w:tcW w:w="1103" w:type="dxa"/>
                  <w:tcBorders>
                    <w:top w:val="single" w:color="auto" w:sz="4" w:space="0"/>
                    <w:left w:val="single" w:color="auto" w:sz="4" w:space="0"/>
                    <w:right w:val="single" w:color="auto" w:sz="12" w:space="0"/>
                  </w:tcBorders>
                  <w:vAlign w:val="center"/>
                </w:tcPr>
                <w:p>
                  <w:pPr>
                    <w:jc w:val="center"/>
                    <w:rPr>
                      <w:rFonts w:ascii="宋体" w:hAnsi="宋体"/>
                      <w:szCs w:val="21"/>
                    </w:rPr>
                  </w:pPr>
                  <w:r>
                    <w:rPr>
                      <w:rFonts w:ascii="宋体" w:hAnsi="宋体"/>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812"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宋体" w:hAnsi="宋体"/>
                      <w:szCs w:val="21"/>
                    </w:rPr>
                  </w:pPr>
                  <w:r>
                    <w:rPr>
                      <w:rFonts w:ascii="宋体" w:hAnsi="宋体"/>
                      <w:szCs w:val="21"/>
                    </w:rPr>
                    <w:t>集热蓄热</w:t>
                  </w:r>
                  <w:r>
                    <w:rPr>
                      <w:szCs w:val="21"/>
                      <w:bdr w:val="single" w:color="auto" w:sz="4" w:space="0"/>
                    </w:rPr>
                    <w:t>墙</w:t>
                  </w:r>
                  <w:r>
                    <w:rPr>
                      <w:rFonts w:ascii="宋体" w:hAnsi="宋体"/>
                      <w:szCs w:val="21"/>
                    </w:rPr>
                    <w:t>式</w:t>
                  </w: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ρs≥0.7</w:t>
                  </w:r>
                </w:p>
              </w:tc>
              <w:tc>
                <w:tcPr>
                  <w:tcW w:w="1120" w:type="dxa"/>
                  <w:vMerge w:val="restart"/>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w:t>
                  </w:r>
                </w:p>
              </w:tc>
              <w:tc>
                <w:tcPr>
                  <w:tcW w:w="1103" w:type="dxa"/>
                  <w:vMerge w:val="restart"/>
                  <w:tcBorders>
                    <w:top w:val="single" w:color="auto" w:sz="4" w:space="0"/>
                    <w:left w:val="single" w:color="auto" w:sz="4" w:space="0"/>
                    <w:right w:val="single" w:color="auto" w:sz="12" w:space="0"/>
                  </w:tcBorders>
                  <w:vAlign w:val="center"/>
                </w:tcPr>
                <w:p>
                  <w:pPr>
                    <w:jc w:val="center"/>
                    <w:rPr>
                      <w:rFonts w:ascii="宋体" w:hAnsi="宋体"/>
                      <w:szCs w:val="21"/>
                    </w:rPr>
                  </w:pPr>
                  <w:r>
                    <w:rPr>
                      <w:rFonts w:ascii="宋体" w:hAnsi="宋体"/>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812" w:type="dxa"/>
                  <w:vMerge w:val="continue"/>
                  <w:tcBorders>
                    <w:top w:val="single" w:color="auto" w:sz="4" w:space="0"/>
                    <w:left w:val="single" w:color="auto" w:sz="12" w:space="0"/>
                    <w:bottom w:val="single" w:color="auto" w:sz="4" w:space="0"/>
                    <w:right w:val="single" w:color="auto" w:sz="4" w:space="0"/>
                  </w:tcBorders>
                  <w:vAlign w:val="center"/>
                </w:tcPr>
                <w:p>
                  <w:pPr>
                    <w:jc w:val="center"/>
                    <w:rPr>
                      <w:rFonts w:ascii="宋体" w:hAnsi="宋体"/>
                      <w:szCs w:val="21"/>
                    </w:rPr>
                  </w:pP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0.7＞ρs≥0.55</w:t>
                  </w:r>
                </w:p>
              </w:tc>
              <w:tc>
                <w:tcPr>
                  <w:tcW w:w="1120" w:type="dxa"/>
                  <w:vMerge w:val="continue"/>
                  <w:tcBorders>
                    <w:left w:val="single" w:color="auto" w:sz="4" w:space="0"/>
                    <w:bottom w:val="single" w:color="auto" w:sz="4" w:space="0"/>
                    <w:right w:val="single" w:color="auto" w:sz="4" w:space="0"/>
                  </w:tcBorders>
                  <w:vAlign w:val="center"/>
                </w:tcPr>
                <w:p>
                  <w:pPr>
                    <w:jc w:val="center"/>
                    <w:rPr>
                      <w:rFonts w:ascii="宋体" w:hAnsi="宋体"/>
                      <w:szCs w:val="21"/>
                    </w:rPr>
                  </w:pPr>
                </w:p>
              </w:tc>
              <w:tc>
                <w:tcPr>
                  <w:tcW w:w="1103" w:type="dxa"/>
                  <w:vMerge w:val="continue"/>
                  <w:tcBorders>
                    <w:left w:val="single" w:color="auto" w:sz="4" w:space="0"/>
                    <w:bottom w:val="single" w:color="auto" w:sz="4" w:space="0"/>
                    <w:right w:val="single" w:color="auto" w:sz="12" w:space="0"/>
                  </w:tcBorders>
                  <w:vAlign w:val="center"/>
                </w:tcPr>
                <w:p>
                  <w:pPr>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12" w:type="dxa"/>
                  <w:vMerge w:val="restart"/>
                  <w:tcBorders>
                    <w:top w:val="single" w:color="auto" w:sz="4" w:space="0"/>
                    <w:left w:val="single" w:color="auto" w:sz="12" w:space="0"/>
                    <w:right w:val="single" w:color="auto" w:sz="4" w:space="0"/>
                  </w:tcBorders>
                  <w:vAlign w:val="center"/>
                </w:tcPr>
                <w:p>
                  <w:pPr>
                    <w:jc w:val="center"/>
                    <w:rPr>
                      <w:rFonts w:ascii="宋体" w:hAnsi="宋体"/>
                      <w:szCs w:val="21"/>
                    </w:rPr>
                  </w:pPr>
                  <w:r>
                    <w:rPr>
                      <w:rFonts w:ascii="宋体" w:hAnsi="宋体"/>
                      <w:szCs w:val="21"/>
                    </w:rPr>
                    <w:t>附加阳光间式</w:t>
                  </w:r>
                </w:p>
              </w:tc>
              <w:tc>
                <w:tcPr>
                  <w:tcW w:w="949"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ρs≥0.7</w:t>
                  </w:r>
                </w:p>
              </w:tc>
              <w:tc>
                <w:tcPr>
                  <w:tcW w:w="1120" w:type="dxa"/>
                  <w:tcBorders>
                    <w:top w:val="single" w:color="auto" w:sz="4" w:space="0"/>
                    <w:left w:val="single" w:color="auto" w:sz="4" w:space="0"/>
                    <w:right w:val="single" w:color="auto" w:sz="4" w:space="0"/>
                  </w:tcBorders>
                  <w:vAlign w:val="center"/>
                </w:tcPr>
                <w:p>
                  <w:pPr>
                    <w:jc w:val="center"/>
                    <w:rPr>
                      <w:rFonts w:ascii="宋体" w:hAnsi="宋体"/>
                      <w:szCs w:val="21"/>
                    </w:rPr>
                  </w:pPr>
                  <w:r>
                    <w:rPr>
                      <w:rFonts w:ascii="宋体" w:hAnsi="宋体"/>
                      <w:szCs w:val="21"/>
                    </w:rPr>
                    <w:t>≥0.6</w:t>
                  </w:r>
                </w:p>
              </w:tc>
              <w:tc>
                <w:tcPr>
                  <w:tcW w:w="1103" w:type="dxa"/>
                  <w:tcBorders>
                    <w:top w:val="single" w:color="auto" w:sz="4" w:space="0"/>
                    <w:left w:val="single" w:color="auto" w:sz="4" w:space="0"/>
                    <w:right w:val="single" w:color="auto" w:sz="12" w:space="0"/>
                  </w:tcBorders>
                  <w:vAlign w:val="center"/>
                </w:tcPr>
                <w:p>
                  <w:pPr>
                    <w:jc w:val="center"/>
                    <w:rPr>
                      <w:rFonts w:ascii="宋体" w:hAnsi="宋体"/>
                      <w:szCs w:val="21"/>
                    </w:rPr>
                  </w:pPr>
                  <w:r>
                    <w:rPr>
                      <w:rFonts w:ascii="宋体" w:hAnsi="宋体"/>
                      <w:szCs w:val="21"/>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jc w:val="center"/>
              </w:trPr>
              <w:tc>
                <w:tcPr>
                  <w:tcW w:w="812" w:type="dxa"/>
                  <w:vMerge w:val="continue"/>
                  <w:tcBorders>
                    <w:left w:val="single" w:color="auto" w:sz="12" w:space="0"/>
                    <w:right w:val="single" w:color="auto" w:sz="4" w:space="0"/>
                  </w:tcBorders>
                  <w:vAlign w:val="center"/>
                </w:tcPr>
                <w:p>
                  <w:pPr>
                    <w:jc w:val="center"/>
                    <w:rPr>
                      <w:rFonts w:ascii="宋体" w:hAnsi="宋体"/>
                      <w:szCs w:val="21"/>
                    </w:rPr>
                  </w:pPr>
                </w:p>
              </w:tc>
              <w:tc>
                <w:tcPr>
                  <w:tcW w:w="9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0.7＞ρs≥0.55</w:t>
                  </w:r>
                </w:p>
              </w:tc>
              <w:tc>
                <w:tcPr>
                  <w:tcW w:w="11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≥0.7</w:t>
                  </w:r>
                </w:p>
              </w:tc>
              <w:tc>
                <w:tcPr>
                  <w:tcW w:w="1103"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szCs w:val="21"/>
                    </w:rPr>
                  </w:pPr>
                  <w:r>
                    <w:rPr>
                      <w:rFonts w:ascii="宋体" w:hAnsi="宋体"/>
                      <w:szCs w:val="21"/>
                    </w:rPr>
                    <w:t>≤4.7</w:t>
                  </w:r>
                </w:p>
              </w:tc>
            </w:tr>
          </w:tbl>
          <w:p>
            <w:pPr>
              <w:spacing w:line="360" w:lineRule="auto"/>
              <w:rPr>
                <w:rFonts w:ascii="宋体" w:hAnsi="宋体"/>
                <w:b/>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49" w:name="_Toc308789944"/>
            <w:bookmarkStart w:id="50" w:name="_Toc119425250"/>
            <w:bookmarkStart w:id="51" w:name="_Toc311459958"/>
            <w:r>
              <w:rPr>
                <w:rFonts w:ascii="宋体" w:hAnsi="宋体"/>
                <w:b/>
                <w:bCs/>
                <w:sz w:val="24"/>
              </w:rPr>
              <w:t>5  围护结构保温隔热</w:t>
            </w:r>
            <w:bookmarkEnd w:id="49"/>
            <w:bookmarkEnd w:id="50"/>
            <w:bookmarkEnd w:id="51"/>
          </w:p>
        </w:tc>
        <w:tc>
          <w:tcPr>
            <w:tcW w:w="4753" w:type="dxa"/>
          </w:tcPr>
          <w:p>
            <w:pPr>
              <w:spacing w:line="360" w:lineRule="auto"/>
              <w:jc w:val="center"/>
              <w:rPr>
                <w:rFonts w:ascii="宋体" w:hAnsi="宋体"/>
                <w:b/>
                <w:bCs/>
                <w:sz w:val="24"/>
              </w:rPr>
            </w:pPr>
            <w:r>
              <w:rPr>
                <w:rFonts w:ascii="宋体" w:hAnsi="宋体"/>
                <w:b/>
                <w:bCs/>
                <w:sz w:val="24"/>
              </w:rPr>
              <w:t>5  围护结构保温隔热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52" w:name="_Toc311459959"/>
            <w:bookmarkStart w:id="53" w:name="_Toc119425251"/>
            <w:bookmarkStart w:id="54" w:name="_Toc308019514"/>
            <w:bookmarkStart w:id="55" w:name="_Toc300845632"/>
            <w:bookmarkStart w:id="56" w:name="_Toc307301161"/>
            <w:bookmarkStart w:id="57" w:name="_Toc308789945"/>
            <w:r>
              <w:rPr>
                <w:rFonts w:ascii="宋体" w:hAnsi="宋体"/>
                <w:b/>
                <w:bCs/>
                <w:sz w:val="24"/>
              </w:rPr>
              <w:t>5.1  一般规定</w:t>
            </w:r>
            <w:bookmarkEnd w:id="52"/>
            <w:bookmarkEnd w:id="53"/>
            <w:bookmarkEnd w:id="54"/>
            <w:bookmarkEnd w:id="55"/>
            <w:bookmarkEnd w:id="56"/>
            <w:bookmarkEnd w:id="57"/>
          </w:p>
        </w:tc>
        <w:tc>
          <w:tcPr>
            <w:tcW w:w="4753" w:type="dxa"/>
          </w:tcPr>
          <w:p>
            <w:pPr>
              <w:spacing w:line="360" w:lineRule="auto"/>
              <w:jc w:val="center"/>
              <w:rPr>
                <w:rFonts w:ascii="宋体" w:hAnsi="宋体"/>
                <w:b/>
                <w:bCs/>
                <w:sz w:val="24"/>
              </w:rPr>
            </w:pPr>
            <w:r>
              <w:rPr>
                <w:rFonts w:ascii="宋体" w:hAnsi="宋体"/>
                <w:b/>
                <w:bCs/>
                <w:sz w:val="24"/>
              </w:rPr>
              <w:t>5.1  一般规定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 xml:space="preserve">5.1.1  </w:t>
            </w:r>
            <w:r>
              <w:rPr>
                <w:rFonts w:ascii="宋体" w:hAnsi="宋体"/>
                <w:sz w:val="24"/>
              </w:rPr>
              <w:t>严寒和寒冷地区农村居住建筑宜采用保温性能好的围护结构构造形式；夏热冬冷和夏热冬暖地区农村居住建筑</w:t>
            </w:r>
            <w:r>
              <w:rPr>
                <w:rFonts w:hint="eastAsia" w:ascii="宋体" w:hAnsi="宋体"/>
                <w:sz w:val="24"/>
              </w:rPr>
              <w:t>宜</w:t>
            </w:r>
            <w:r>
              <w:rPr>
                <w:rFonts w:ascii="宋体" w:hAnsi="宋体"/>
                <w:sz w:val="24"/>
              </w:rPr>
              <w:t>采用隔热性能好的重质围护结构构造形式</w:t>
            </w:r>
            <w:r>
              <w:rPr>
                <w:rFonts w:hint="eastAsia" w:ascii="宋体" w:hAnsi="宋体"/>
                <w:sz w:val="24"/>
              </w:rPr>
              <w:t>。</w:t>
            </w:r>
          </w:p>
          <w:p>
            <w:pPr>
              <w:spacing w:line="360" w:lineRule="auto"/>
              <w:rPr>
                <w:rFonts w:ascii="宋体" w:hAnsi="宋体"/>
                <w:b/>
                <w:sz w:val="24"/>
              </w:rPr>
            </w:pPr>
          </w:p>
        </w:tc>
        <w:tc>
          <w:tcPr>
            <w:tcW w:w="4753" w:type="dxa"/>
          </w:tcPr>
          <w:p>
            <w:pPr>
              <w:spacing w:line="360" w:lineRule="auto"/>
              <w:rPr>
                <w:rFonts w:ascii="宋体" w:hAnsi="宋体"/>
                <w:sz w:val="24"/>
              </w:rPr>
            </w:pPr>
            <w:r>
              <w:rPr>
                <w:rFonts w:ascii="宋体" w:hAnsi="宋体"/>
                <w:b/>
                <w:sz w:val="24"/>
              </w:rPr>
              <w:t>5.1.1</w:t>
            </w:r>
            <w:r>
              <w:rPr>
                <w:sz w:val="24"/>
                <w:szCs w:val="21"/>
              </w:rPr>
              <w:t>严寒和寒冷地区农村居住建筑</w:t>
            </w:r>
            <w:r>
              <w:rPr>
                <w:sz w:val="24"/>
                <w:szCs w:val="21"/>
                <w:bdr w:val="single" w:color="auto" w:sz="4" w:space="0"/>
              </w:rPr>
              <w:t>宜</w:t>
            </w:r>
            <w:r>
              <w:rPr>
                <w:rFonts w:hint="eastAsia"/>
                <w:sz w:val="24"/>
                <w:szCs w:val="21"/>
                <w:u w:val="single"/>
              </w:rPr>
              <w:t>应</w:t>
            </w:r>
            <w:r>
              <w:rPr>
                <w:sz w:val="24"/>
                <w:szCs w:val="21"/>
              </w:rPr>
              <w:t>采用保温性能好的围护结构构造形式；夏热冬冷和夏热冬暖地区农村居住建筑</w:t>
            </w:r>
            <w:r>
              <w:rPr>
                <w:rFonts w:hint="eastAsia"/>
                <w:sz w:val="24"/>
                <w:szCs w:val="21"/>
                <w:bdr w:val="single" w:color="auto" w:sz="4" w:space="0"/>
              </w:rPr>
              <w:t>宜</w:t>
            </w:r>
            <w:r>
              <w:rPr>
                <w:rFonts w:hint="eastAsia"/>
                <w:sz w:val="24"/>
                <w:szCs w:val="21"/>
                <w:u w:val="single"/>
              </w:rPr>
              <w:t>应</w:t>
            </w:r>
            <w:r>
              <w:rPr>
                <w:sz w:val="24"/>
                <w:szCs w:val="21"/>
              </w:rPr>
              <w:t>采用隔热性能好的重质围护结构构造形式</w:t>
            </w:r>
            <w:r>
              <w:rPr>
                <w:rFonts w:hint="eastAsia"/>
                <w:sz w:val="24"/>
                <w:szCs w:val="21"/>
                <w:u w:val="single"/>
              </w:rPr>
              <w:t>；采暖与非采暖房间的隔墙应按外围护结构要求进行设计</w:t>
            </w:r>
            <w:r>
              <w:rPr>
                <w:sz w:val="24"/>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 xml:space="preserve">5.1.3  </w:t>
            </w:r>
            <w:r>
              <w:rPr>
                <w:rFonts w:ascii="宋体" w:hAnsi="宋体"/>
                <w:sz w:val="24"/>
              </w:rPr>
              <w:t>严寒和寒冷地区农村居住建筑的围护结构，应采取下列节能技术措施：</w:t>
            </w:r>
          </w:p>
          <w:p>
            <w:pPr>
              <w:spacing w:line="360" w:lineRule="auto"/>
              <w:ind w:left="833" w:leftChars="228" w:hanging="354" w:hangingChars="147"/>
              <w:rPr>
                <w:rFonts w:ascii="宋体" w:hAnsi="宋体"/>
                <w:bCs/>
                <w:sz w:val="24"/>
              </w:rPr>
            </w:pPr>
            <w:r>
              <w:rPr>
                <w:rFonts w:ascii="宋体" w:hAnsi="宋体"/>
                <w:b/>
                <w:bCs/>
                <w:sz w:val="24"/>
              </w:rPr>
              <w:t xml:space="preserve">1 </w:t>
            </w:r>
            <w:r>
              <w:rPr>
                <w:rFonts w:ascii="宋体" w:hAnsi="宋体"/>
                <w:bCs/>
                <w:sz w:val="24"/>
              </w:rPr>
              <w:t xml:space="preserve">应采用有附加保温层的外墙或自保温外墙； </w:t>
            </w:r>
          </w:p>
          <w:p>
            <w:pPr>
              <w:spacing w:line="360" w:lineRule="auto"/>
              <w:ind w:firstLine="482" w:firstLineChars="200"/>
              <w:rPr>
                <w:rFonts w:ascii="宋体" w:hAnsi="宋体"/>
                <w:bCs/>
                <w:sz w:val="24"/>
              </w:rPr>
            </w:pPr>
            <w:r>
              <w:rPr>
                <w:rFonts w:ascii="宋体" w:hAnsi="宋体"/>
                <w:b/>
                <w:bCs/>
                <w:sz w:val="24"/>
              </w:rPr>
              <w:t xml:space="preserve">2 </w:t>
            </w:r>
            <w:r>
              <w:rPr>
                <w:rFonts w:ascii="宋体" w:hAnsi="宋体"/>
                <w:bCs/>
                <w:sz w:val="24"/>
              </w:rPr>
              <w:t>屋面应设置保温层；</w:t>
            </w:r>
          </w:p>
          <w:p>
            <w:pPr>
              <w:spacing w:line="360" w:lineRule="auto"/>
              <w:ind w:firstLine="482" w:firstLineChars="200"/>
              <w:rPr>
                <w:rFonts w:ascii="宋体" w:hAnsi="宋体"/>
                <w:bCs/>
                <w:sz w:val="24"/>
              </w:rPr>
            </w:pPr>
            <w:r>
              <w:rPr>
                <w:rFonts w:ascii="宋体" w:hAnsi="宋体"/>
                <w:b/>
                <w:bCs/>
                <w:sz w:val="24"/>
              </w:rPr>
              <w:t xml:space="preserve">3 </w:t>
            </w:r>
            <w:r>
              <w:rPr>
                <w:rFonts w:ascii="宋体" w:hAnsi="宋体"/>
                <w:bCs/>
                <w:sz w:val="24"/>
              </w:rPr>
              <w:t>应选择保温性能和密封性能好的门</w:t>
            </w:r>
            <w:r>
              <w:rPr>
                <w:rFonts w:hint="eastAsia" w:ascii="宋体" w:hAnsi="宋体"/>
                <w:bCs/>
                <w:sz w:val="24"/>
              </w:rPr>
              <w:t>、</w:t>
            </w:r>
            <w:r>
              <w:rPr>
                <w:rFonts w:ascii="宋体" w:hAnsi="宋体"/>
                <w:bCs/>
                <w:sz w:val="24"/>
              </w:rPr>
              <w:t>窗；</w:t>
            </w:r>
          </w:p>
          <w:p>
            <w:pPr>
              <w:spacing w:line="360" w:lineRule="auto"/>
              <w:ind w:firstLine="472" w:firstLineChars="196"/>
              <w:rPr>
                <w:rFonts w:ascii="宋体" w:hAnsi="宋体"/>
                <w:bCs/>
                <w:sz w:val="24"/>
              </w:rPr>
            </w:pPr>
            <w:r>
              <w:rPr>
                <w:rFonts w:ascii="宋体" w:hAnsi="宋体"/>
                <w:b/>
                <w:bCs/>
                <w:sz w:val="24"/>
              </w:rPr>
              <w:t xml:space="preserve">4 </w:t>
            </w:r>
            <w:r>
              <w:rPr>
                <w:rFonts w:ascii="宋体" w:hAnsi="宋体"/>
                <w:bCs/>
                <w:sz w:val="24"/>
              </w:rPr>
              <w:t>地面宜设置保温层。</w:t>
            </w:r>
          </w:p>
          <w:p>
            <w:pPr>
              <w:spacing w:line="360" w:lineRule="auto"/>
              <w:rPr>
                <w:rFonts w:ascii="宋体" w:hAnsi="宋体"/>
                <w:b/>
                <w:sz w:val="24"/>
              </w:rPr>
            </w:pPr>
          </w:p>
        </w:tc>
        <w:tc>
          <w:tcPr>
            <w:tcW w:w="4753" w:type="dxa"/>
          </w:tcPr>
          <w:p>
            <w:pPr>
              <w:spacing w:line="360" w:lineRule="auto"/>
              <w:rPr>
                <w:rFonts w:ascii="宋体" w:hAnsi="宋体"/>
                <w:sz w:val="24"/>
              </w:rPr>
            </w:pPr>
            <w:r>
              <w:rPr>
                <w:rFonts w:ascii="宋体" w:hAnsi="宋体"/>
                <w:b/>
                <w:sz w:val="24"/>
              </w:rPr>
              <w:t xml:space="preserve">5.1.3  </w:t>
            </w:r>
            <w:r>
              <w:rPr>
                <w:rFonts w:ascii="宋体" w:hAnsi="宋体"/>
                <w:sz w:val="24"/>
              </w:rPr>
              <w:t>严寒和寒冷地区农村居住建筑的围护结构，应采取下列节能技术措施：</w:t>
            </w:r>
          </w:p>
          <w:p>
            <w:pPr>
              <w:spacing w:line="360" w:lineRule="auto"/>
              <w:ind w:left="833" w:leftChars="228" w:hanging="354" w:hangingChars="147"/>
              <w:rPr>
                <w:rFonts w:ascii="宋体" w:hAnsi="宋体"/>
                <w:bCs/>
                <w:sz w:val="24"/>
              </w:rPr>
            </w:pPr>
            <w:r>
              <w:rPr>
                <w:rFonts w:ascii="宋体" w:hAnsi="宋体"/>
                <w:b/>
                <w:bCs/>
                <w:sz w:val="24"/>
              </w:rPr>
              <w:t xml:space="preserve">1 </w:t>
            </w:r>
            <w:r>
              <w:rPr>
                <w:rFonts w:ascii="宋体" w:hAnsi="宋体"/>
                <w:bCs/>
                <w:sz w:val="24"/>
              </w:rPr>
              <w:t>应采用有附加保温层的外墙或自保温外墙；</w:t>
            </w:r>
            <w:r>
              <w:rPr>
                <w:rFonts w:hint="eastAsia" w:ascii="宋体" w:hAnsi="宋体"/>
                <w:sz w:val="24"/>
                <w:u w:val="single"/>
              </w:rPr>
              <w:t>宜</w:t>
            </w:r>
            <w:r>
              <w:rPr>
                <w:rFonts w:ascii="宋体" w:hAnsi="宋体"/>
                <w:bCs/>
                <w:sz w:val="24"/>
                <w:u w:val="single"/>
              </w:rPr>
              <w:t>采用</w:t>
            </w:r>
            <w:r>
              <w:rPr>
                <w:rFonts w:hint="eastAsia" w:ascii="宋体" w:hAnsi="宋体"/>
                <w:bCs/>
                <w:sz w:val="24"/>
                <w:u w:val="single"/>
              </w:rPr>
              <w:t>保温与结构一体化</w:t>
            </w:r>
            <w:r>
              <w:rPr>
                <w:rFonts w:ascii="宋体" w:hAnsi="宋体"/>
                <w:bCs/>
                <w:sz w:val="24"/>
                <w:u w:val="single"/>
              </w:rPr>
              <w:t>外墙</w:t>
            </w:r>
            <w:r>
              <w:rPr>
                <w:rFonts w:hint="eastAsia" w:ascii="宋体" w:hAnsi="宋体"/>
                <w:bCs/>
                <w:sz w:val="24"/>
                <w:u w:val="single"/>
              </w:rPr>
              <w:t>；</w:t>
            </w:r>
          </w:p>
          <w:p>
            <w:pPr>
              <w:spacing w:line="360" w:lineRule="auto"/>
              <w:ind w:firstLine="482" w:firstLineChars="200"/>
              <w:rPr>
                <w:rFonts w:ascii="宋体" w:hAnsi="宋体"/>
                <w:bCs/>
                <w:sz w:val="24"/>
              </w:rPr>
            </w:pPr>
            <w:r>
              <w:rPr>
                <w:rFonts w:ascii="宋体" w:hAnsi="宋体"/>
                <w:b/>
                <w:bCs/>
                <w:sz w:val="24"/>
              </w:rPr>
              <w:t xml:space="preserve">2 </w:t>
            </w:r>
            <w:r>
              <w:rPr>
                <w:rFonts w:ascii="宋体" w:hAnsi="宋体"/>
                <w:bCs/>
                <w:sz w:val="24"/>
              </w:rPr>
              <w:t>屋面应设置保温层；</w:t>
            </w:r>
          </w:p>
          <w:p>
            <w:pPr>
              <w:spacing w:line="360" w:lineRule="auto"/>
              <w:ind w:firstLine="482" w:firstLineChars="200"/>
              <w:rPr>
                <w:rFonts w:ascii="宋体" w:hAnsi="宋体"/>
                <w:bCs/>
                <w:sz w:val="24"/>
              </w:rPr>
            </w:pPr>
            <w:r>
              <w:rPr>
                <w:rFonts w:ascii="宋体" w:hAnsi="宋体"/>
                <w:b/>
                <w:bCs/>
                <w:sz w:val="24"/>
              </w:rPr>
              <w:t xml:space="preserve">3 </w:t>
            </w:r>
            <w:r>
              <w:rPr>
                <w:rFonts w:ascii="宋体" w:hAnsi="宋体"/>
                <w:bCs/>
                <w:sz w:val="24"/>
              </w:rPr>
              <w:t>应选择保温性能和密封性能好的</w:t>
            </w:r>
            <w:r>
              <w:rPr>
                <w:rFonts w:hint="eastAsia" w:ascii="宋体" w:hAnsi="宋体"/>
                <w:bCs/>
                <w:sz w:val="24"/>
                <w:u w:val="single"/>
              </w:rPr>
              <w:t>外</w:t>
            </w:r>
            <w:r>
              <w:rPr>
                <w:rFonts w:ascii="宋体" w:hAnsi="宋体"/>
                <w:bCs/>
                <w:sz w:val="24"/>
              </w:rPr>
              <w:t>门</w:t>
            </w:r>
            <w:r>
              <w:rPr>
                <w:rFonts w:hint="eastAsia" w:ascii="宋体" w:hAnsi="宋体"/>
                <w:bCs/>
                <w:sz w:val="24"/>
              </w:rPr>
              <w:t>、</w:t>
            </w:r>
            <w:r>
              <w:rPr>
                <w:rFonts w:hint="eastAsia" w:ascii="宋体" w:hAnsi="宋体"/>
                <w:bCs/>
                <w:sz w:val="24"/>
                <w:u w:val="single"/>
              </w:rPr>
              <w:t>外</w:t>
            </w:r>
            <w:r>
              <w:rPr>
                <w:rFonts w:ascii="宋体" w:hAnsi="宋体"/>
                <w:bCs/>
                <w:sz w:val="24"/>
              </w:rPr>
              <w:t>窗；</w:t>
            </w:r>
          </w:p>
          <w:p>
            <w:pPr>
              <w:spacing w:line="360" w:lineRule="auto"/>
              <w:ind w:firstLine="472" w:firstLineChars="196"/>
              <w:rPr>
                <w:rFonts w:ascii="宋体" w:hAnsi="宋体"/>
                <w:bCs/>
                <w:sz w:val="24"/>
              </w:rPr>
            </w:pPr>
            <w:r>
              <w:rPr>
                <w:rFonts w:ascii="宋体" w:hAnsi="宋体"/>
                <w:b/>
                <w:bCs/>
                <w:sz w:val="24"/>
              </w:rPr>
              <w:t xml:space="preserve">4 </w:t>
            </w:r>
            <w:r>
              <w:rPr>
                <w:rFonts w:ascii="宋体" w:hAnsi="宋体"/>
                <w:bCs/>
                <w:sz w:val="24"/>
              </w:rPr>
              <w:t>地面</w:t>
            </w:r>
            <w:r>
              <w:rPr>
                <w:rFonts w:hint="eastAsia"/>
                <w:sz w:val="24"/>
                <w:szCs w:val="21"/>
                <w:bdr w:val="single" w:color="auto" w:sz="4" w:space="0"/>
              </w:rPr>
              <w:t>宜</w:t>
            </w:r>
            <w:r>
              <w:rPr>
                <w:rFonts w:hint="eastAsia" w:ascii="宋体" w:hAnsi="宋体"/>
                <w:bCs/>
                <w:sz w:val="24"/>
                <w:u w:val="single"/>
              </w:rPr>
              <w:t>应</w:t>
            </w:r>
            <w:r>
              <w:rPr>
                <w:rFonts w:ascii="宋体" w:hAnsi="宋体"/>
                <w:bCs/>
                <w:sz w:val="24"/>
              </w:rPr>
              <w:t>设置保温层。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b/>
                <w:sz w:val="24"/>
              </w:rPr>
            </w:pPr>
          </w:p>
        </w:tc>
        <w:tc>
          <w:tcPr>
            <w:tcW w:w="4753" w:type="dxa"/>
          </w:tcPr>
          <w:p>
            <w:pPr>
              <w:spacing w:line="360" w:lineRule="auto"/>
              <w:rPr>
                <w:rFonts w:ascii="宋体" w:hAnsi="宋体"/>
                <w:sz w:val="24"/>
                <w:u w:val="single"/>
              </w:rPr>
            </w:pPr>
            <w:r>
              <w:rPr>
                <w:rFonts w:ascii="宋体" w:hAnsi="宋体"/>
                <w:b/>
                <w:sz w:val="24"/>
                <w:u w:val="single"/>
              </w:rPr>
              <w:t xml:space="preserve">5.1.5  </w:t>
            </w:r>
            <w:r>
              <w:rPr>
                <w:rFonts w:hint="eastAsia" w:ascii="宋体" w:hAnsi="宋体"/>
                <w:bCs/>
                <w:sz w:val="24"/>
                <w:u w:val="single"/>
              </w:rPr>
              <w:t>农村居住建筑</w:t>
            </w:r>
            <w:r>
              <w:rPr>
                <w:rFonts w:hint="eastAsia" w:ascii="宋体" w:hAnsi="宋体"/>
                <w:sz w:val="24"/>
                <w:u w:val="single"/>
              </w:rPr>
              <w:t>围护结构改造宜整体实施，在满足节能改造目标的前提下，可对外墙、屋面和外窗进行局部改造，可进行结构加固与节能改造一体化的设计。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b/>
                <w:sz w:val="24"/>
              </w:rPr>
            </w:pPr>
          </w:p>
        </w:tc>
        <w:tc>
          <w:tcPr>
            <w:tcW w:w="4753" w:type="dxa"/>
          </w:tcPr>
          <w:p>
            <w:pPr>
              <w:spacing w:line="360" w:lineRule="auto"/>
              <w:rPr>
                <w:rFonts w:ascii="宋体" w:hAnsi="宋体"/>
                <w:sz w:val="24"/>
                <w:u w:val="single"/>
              </w:rPr>
            </w:pPr>
            <w:r>
              <w:rPr>
                <w:rFonts w:hint="eastAsia" w:ascii="宋体" w:hAnsi="宋体"/>
                <w:b/>
                <w:bCs/>
                <w:sz w:val="24"/>
                <w:u w:val="single"/>
              </w:rPr>
              <w:t>5.1.</w:t>
            </w:r>
            <w:r>
              <w:rPr>
                <w:rFonts w:ascii="宋体" w:hAnsi="宋体"/>
                <w:b/>
                <w:bCs/>
                <w:sz w:val="24"/>
                <w:u w:val="single"/>
              </w:rPr>
              <w:t>6</w:t>
            </w:r>
            <w:r>
              <w:rPr>
                <w:rFonts w:ascii="宋体" w:hAnsi="宋体"/>
                <w:sz w:val="24"/>
                <w:u w:val="single"/>
              </w:rPr>
              <w:t xml:space="preserve"> </w:t>
            </w:r>
            <w:r>
              <w:rPr>
                <w:rFonts w:hint="eastAsia" w:ascii="宋体" w:hAnsi="宋体"/>
                <w:sz w:val="24"/>
                <w:u w:val="single"/>
              </w:rPr>
              <w:t>农村居住建筑节能改造后，围护结构内表面不应出现结露、发霉等现象。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58" w:name="_Toc311459960"/>
            <w:bookmarkStart w:id="59" w:name="_Toc119425252"/>
            <w:bookmarkStart w:id="60" w:name="_Toc308789946"/>
            <w:bookmarkStart w:id="61" w:name="_Toc300845633"/>
            <w:bookmarkStart w:id="62" w:name="_Toc307301162"/>
            <w:bookmarkStart w:id="63" w:name="_Toc308019515"/>
            <w:r>
              <w:rPr>
                <w:rFonts w:ascii="宋体" w:hAnsi="宋体"/>
                <w:b/>
                <w:bCs/>
                <w:sz w:val="24"/>
              </w:rPr>
              <w:t>5.2  围护结构热工性能</w:t>
            </w:r>
            <w:bookmarkEnd w:id="58"/>
            <w:bookmarkEnd w:id="59"/>
            <w:bookmarkEnd w:id="60"/>
            <w:bookmarkEnd w:id="61"/>
            <w:bookmarkEnd w:id="62"/>
            <w:bookmarkEnd w:id="63"/>
          </w:p>
        </w:tc>
        <w:tc>
          <w:tcPr>
            <w:tcW w:w="4753" w:type="dxa"/>
          </w:tcPr>
          <w:p>
            <w:pPr>
              <w:spacing w:line="360" w:lineRule="auto"/>
              <w:jc w:val="center"/>
              <w:rPr>
                <w:rFonts w:ascii="宋体" w:hAnsi="宋体"/>
                <w:b/>
                <w:bCs/>
                <w:sz w:val="24"/>
              </w:rPr>
            </w:pPr>
            <w:r>
              <w:rPr>
                <w:rFonts w:ascii="宋体" w:hAnsi="宋体"/>
                <w:b/>
                <w:bCs/>
                <w:sz w:val="24"/>
              </w:rPr>
              <w:t>5.2  围护结构热工性能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5.2.1</w:t>
            </w:r>
            <w:r>
              <w:rPr>
                <w:rFonts w:ascii="宋体" w:hAnsi="宋体"/>
                <w:sz w:val="24"/>
              </w:rPr>
              <w:t xml:space="preserve">  严寒和寒冷地区农村居住建筑围护结构的传热系数，不应大于表5.2.1中的规定限值。</w:t>
            </w:r>
          </w:p>
          <w:p>
            <w:pPr>
              <w:spacing w:line="360" w:lineRule="auto"/>
              <w:jc w:val="center"/>
              <w:rPr>
                <w:rFonts w:ascii="宋体" w:hAnsi="宋体"/>
                <w:b/>
                <w:sz w:val="24"/>
              </w:rPr>
            </w:pPr>
            <w:r>
              <w:rPr>
                <w:rFonts w:ascii="宋体" w:hAnsi="宋体"/>
                <w:b/>
                <w:sz w:val="24"/>
              </w:rPr>
              <w:t>表5.2.1 严寒和寒冷地区农村居住建筑围护结构传热系数限值</w:t>
            </w:r>
          </w:p>
          <w:tbl>
            <w:tblPr>
              <w:tblStyle w:val="17"/>
              <w:tblW w:w="0" w:type="auto"/>
              <w:tblInd w:w="0" w:type="dxa"/>
              <w:tblLayout w:type="fixed"/>
              <w:tblCellMar>
                <w:top w:w="0" w:type="dxa"/>
                <w:left w:w="108" w:type="dxa"/>
                <w:bottom w:w="0" w:type="dxa"/>
                <w:right w:w="108" w:type="dxa"/>
              </w:tblCellMar>
            </w:tblPr>
            <w:tblGrid>
              <w:gridCol w:w="820"/>
              <w:gridCol w:w="458"/>
              <w:gridCol w:w="458"/>
              <w:gridCol w:w="458"/>
              <w:gridCol w:w="398"/>
              <w:gridCol w:w="398"/>
              <w:gridCol w:w="458"/>
            </w:tblGrid>
            <w:tr>
              <w:tblPrEx>
                <w:tblCellMar>
                  <w:top w:w="0" w:type="dxa"/>
                  <w:left w:w="108" w:type="dxa"/>
                  <w:bottom w:w="0" w:type="dxa"/>
                  <w:right w:w="108" w:type="dxa"/>
                </w:tblCellMar>
              </w:tblPrEx>
              <w:trPr>
                <w:trHeight w:val="141" w:hRule="atLeast"/>
              </w:trPr>
              <w:tc>
                <w:tcPr>
                  <w:tcW w:w="820" w:type="dxa"/>
                  <w:vMerge w:val="restart"/>
                  <w:tcBorders>
                    <w:top w:val="single" w:color="auto" w:sz="12" w:space="0"/>
                    <w:left w:val="single" w:color="auto" w:sz="12" w:space="0"/>
                    <w:bottom w:val="single" w:color="auto" w:sz="4"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建筑气候区</w:t>
                  </w:r>
                </w:p>
              </w:tc>
              <w:tc>
                <w:tcPr>
                  <w:tcW w:w="2628" w:type="dxa"/>
                  <w:gridSpan w:val="6"/>
                  <w:tcBorders>
                    <w:top w:val="single" w:color="auto" w:sz="12" w:space="0"/>
                    <w:left w:val="nil"/>
                    <w:bottom w:val="single" w:color="auto" w:sz="4" w:space="0"/>
                    <w:right w:val="single" w:color="auto" w:sz="12" w:space="0"/>
                  </w:tcBorders>
                </w:tcPr>
                <w:p>
                  <w:pPr>
                    <w:widowControl/>
                    <w:jc w:val="center"/>
                    <w:rPr>
                      <w:rFonts w:ascii="宋体" w:hAnsi="宋体"/>
                      <w:kern w:val="0"/>
                      <w:szCs w:val="21"/>
                    </w:rPr>
                  </w:pPr>
                  <w:r>
                    <w:rPr>
                      <w:rFonts w:ascii="宋体" w:hAnsi="宋体"/>
                      <w:kern w:val="0"/>
                      <w:szCs w:val="21"/>
                    </w:rPr>
                    <w:t>围护结构部位的传热系数K[W/(m</w:t>
                  </w:r>
                  <w:r>
                    <w:rPr>
                      <w:rFonts w:ascii="宋体" w:hAnsi="宋体"/>
                      <w:kern w:val="0"/>
                      <w:szCs w:val="21"/>
                      <w:vertAlign w:val="superscript"/>
                    </w:rPr>
                    <w:t>2</w:t>
                  </w:r>
                  <w:r>
                    <w:rPr>
                      <w:rFonts w:ascii="宋体" w:hAnsi="宋体"/>
                      <w:kern w:val="0"/>
                      <w:szCs w:val="21"/>
                    </w:rPr>
                    <w:t>·K)]</w:t>
                  </w:r>
                </w:p>
              </w:tc>
            </w:tr>
            <w:tr>
              <w:tblPrEx>
                <w:tblCellMar>
                  <w:top w:w="0" w:type="dxa"/>
                  <w:left w:w="108" w:type="dxa"/>
                  <w:bottom w:w="0" w:type="dxa"/>
                  <w:right w:w="108" w:type="dxa"/>
                </w:tblCellMar>
              </w:tblPrEx>
              <w:trPr>
                <w:trHeight w:val="251" w:hRule="atLeast"/>
              </w:trPr>
              <w:tc>
                <w:tcPr>
                  <w:tcW w:w="820" w:type="dxa"/>
                  <w:vMerge w:val="continue"/>
                  <w:tcBorders>
                    <w:top w:val="single" w:color="auto" w:sz="8" w:space="0"/>
                    <w:left w:val="single" w:color="auto" w:sz="12" w:space="0"/>
                    <w:bottom w:val="single" w:color="auto" w:sz="4" w:space="0"/>
                    <w:right w:val="single" w:color="auto" w:sz="4" w:space="0"/>
                  </w:tcBorders>
                  <w:vAlign w:val="center"/>
                </w:tcPr>
                <w:p>
                  <w:pPr>
                    <w:widowControl/>
                    <w:jc w:val="left"/>
                    <w:rPr>
                      <w:rFonts w:ascii="宋体" w:hAnsi="宋体"/>
                      <w:kern w:val="0"/>
                      <w:szCs w:val="21"/>
                    </w:rPr>
                  </w:pPr>
                </w:p>
              </w:tc>
              <w:tc>
                <w:tcPr>
                  <w:tcW w:w="458" w:type="dxa"/>
                  <w:vMerge w:val="restar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外墙</w:t>
                  </w:r>
                </w:p>
              </w:tc>
              <w:tc>
                <w:tcPr>
                  <w:tcW w:w="458" w:type="dxa"/>
                  <w:vMerge w:val="restart"/>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kern w:val="0"/>
                      <w:szCs w:val="21"/>
                    </w:rPr>
                  </w:pPr>
                  <w:r>
                    <w:rPr>
                      <w:rFonts w:ascii="宋体" w:hAnsi="宋体"/>
                      <w:kern w:val="0"/>
                      <w:szCs w:val="21"/>
                    </w:rPr>
                    <w:t>屋面</w:t>
                  </w:r>
                </w:p>
              </w:tc>
              <w:tc>
                <w:tcPr>
                  <w:tcW w:w="458" w:type="dxa"/>
                  <w:vMerge w:val="restart"/>
                  <w:tcBorders>
                    <w:top w:val="nil"/>
                    <w:left w:val="single" w:color="auto" w:sz="4" w:space="0"/>
                    <w:right w:val="single" w:color="auto" w:sz="8" w:space="0"/>
                  </w:tcBorders>
                  <w:shd w:val="clear" w:color="auto" w:fill="auto"/>
                  <w:noWrap/>
                  <w:vAlign w:val="bottom"/>
                </w:tcPr>
                <w:p>
                  <w:pPr>
                    <w:widowControl/>
                    <w:jc w:val="center"/>
                    <w:rPr>
                      <w:rFonts w:ascii="宋体" w:hAnsi="宋体"/>
                      <w:kern w:val="0"/>
                      <w:szCs w:val="21"/>
                      <w:u w:val="single"/>
                    </w:rPr>
                  </w:pPr>
                  <w:r>
                    <w:rPr>
                      <w:rFonts w:ascii="宋体" w:hAnsi="宋体"/>
                      <w:kern w:val="0"/>
                      <w:szCs w:val="21"/>
                    </w:rPr>
                    <w:t>吊顶</w:t>
                  </w:r>
                </w:p>
              </w:tc>
              <w:tc>
                <w:tcPr>
                  <w:tcW w:w="796" w:type="dxa"/>
                  <w:gridSpan w:val="2"/>
                  <w:tcBorders>
                    <w:top w:val="single" w:color="auto" w:sz="4" w:space="0"/>
                    <w:left w:val="single" w:color="auto" w:sz="8" w:space="0"/>
                    <w:bottom w:val="single" w:color="auto" w:sz="4"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外窗</w:t>
                  </w:r>
                </w:p>
              </w:tc>
              <w:tc>
                <w:tcPr>
                  <w:tcW w:w="458" w:type="dxa"/>
                  <w:vMerge w:val="restart"/>
                  <w:tcBorders>
                    <w:top w:val="nil"/>
                    <w:left w:val="single" w:color="auto" w:sz="4" w:space="0"/>
                    <w:right w:val="single" w:color="auto" w:sz="12" w:space="0"/>
                  </w:tcBorders>
                  <w:shd w:val="clear" w:color="auto" w:fill="auto"/>
                  <w:noWrap/>
                  <w:vAlign w:val="bottom"/>
                </w:tcPr>
                <w:p>
                  <w:pPr>
                    <w:widowControl/>
                    <w:jc w:val="center"/>
                    <w:rPr>
                      <w:rFonts w:ascii="宋体" w:hAnsi="宋体"/>
                      <w:kern w:val="0"/>
                      <w:szCs w:val="21"/>
                    </w:rPr>
                  </w:pPr>
                  <w:r>
                    <w:rPr>
                      <w:rFonts w:ascii="宋体" w:hAnsi="宋体"/>
                      <w:kern w:val="0"/>
                      <w:szCs w:val="21"/>
                    </w:rPr>
                    <w:t>外门</w:t>
                  </w:r>
                </w:p>
              </w:tc>
            </w:tr>
            <w:tr>
              <w:tblPrEx>
                <w:tblCellMar>
                  <w:top w:w="0" w:type="dxa"/>
                  <w:left w:w="108" w:type="dxa"/>
                  <w:bottom w:w="0" w:type="dxa"/>
                  <w:right w:w="108" w:type="dxa"/>
                </w:tblCellMar>
              </w:tblPrEx>
              <w:trPr>
                <w:trHeight w:val="285" w:hRule="atLeast"/>
              </w:trPr>
              <w:tc>
                <w:tcPr>
                  <w:tcW w:w="820" w:type="dxa"/>
                  <w:vMerge w:val="continue"/>
                  <w:tcBorders>
                    <w:top w:val="single" w:color="auto" w:sz="8" w:space="0"/>
                    <w:left w:val="single" w:color="auto" w:sz="12" w:space="0"/>
                    <w:bottom w:val="single" w:color="auto" w:sz="4" w:space="0"/>
                    <w:right w:val="single" w:color="auto" w:sz="4" w:space="0"/>
                  </w:tcBorders>
                  <w:vAlign w:val="center"/>
                </w:tcPr>
                <w:p>
                  <w:pPr>
                    <w:widowControl/>
                    <w:jc w:val="left"/>
                    <w:rPr>
                      <w:rFonts w:ascii="宋体" w:hAnsi="宋体"/>
                      <w:kern w:val="0"/>
                      <w:szCs w:val="21"/>
                    </w:rPr>
                  </w:pP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458" w:type="dxa"/>
                  <w:vMerge w:val="continue"/>
                  <w:tcBorders>
                    <w:left w:val="single" w:color="auto" w:sz="4" w:space="0"/>
                    <w:bottom w:val="single" w:color="auto" w:sz="4" w:space="0"/>
                    <w:right w:val="single" w:color="auto" w:sz="8" w:space="0"/>
                  </w:tcBorders>
                  <w:vAlign w:val="center"/>
                </w:tcPr>
                <w:p>
                  <w:pPr>
                    <w:widowControl/>
                    <w:jc w:val="center"/>
                    <w:rPr>
                      <w:rFonts w:ascii="宋体" w:hAnsi="宋体"/>
                      <w:kern w:val="0"/>
                      <w:szCs w:val="21"/>
                    </w:rPr>
                  </w:pPr>
                </w:p>
              </w:tc>
              <w:tc>
                <w:tcPr>
                  <w:tcW w:w="398" w:type="dxa"/>
                  <w:tcBorders>
                    <w:top w:val="nil"/>
                    <w:left w:val="single" w:color="auto" w:sz="8" w:space="0"/>
                    <w:bottom w:val="single" w:color="auto" w:sz="4" w:space="0"/>
                    <w:right w:val="single" w:color="auto" w:sz="4" w:space="0"/>
                  </w:tcBorders>
                  <w:shd w:val="clear" w:color="auto" w:fill="auto"/>
                  <w:vAlign w:val="bottom"/>
                </w:tcPr>
                <w:p>
                  <w:pPr>
                    <w:widowControl/>
                    <w:jc w:val="center"/>
                    <w:rPr>
                      <w:rFonts w:ascii="宋体" w:hAnsi="宋体"/>
                      <w:kern w:val="0"/>
                      <w:szCs w:val="21"/>
                    </w:rPr>
                  </w:pPr>
                  <w:r>
                    <w:rPr>
                      <w:rFonts w:ascii="宋体" w:hAnsi="宋体"/>
                      <w:kern w:val="0"/>
                      <w:szCs w:val="21"/>
                    </w:rPr>
                    <w:t>南向</w:t>
                  </w:r>
                </w:p>
              </w:tc>
              <w:tc>
                <w:tcPr>
                  <w:tcW w:w="398"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kern w:val="0"/>
                      <w:szCs w:val="21"/>
                    </w:rPr>
                  </w:pPr>
                  <w:r>
                    <w:rPr>
                      <w:rFonts w:ascii="宋体" w:hAnsi="宋体"/>
                      <w:kern w:val="0"/>
                      <w:szCs w:val="21"/>
                    </w:rPr>
                    <w:t>其它向</w:t>
                  </w:r>
                </w:p>
              </w:tc>
              <w:tc>
                <w:tcPr>
                  <w:tcW w:w="458" w:type="dxa"/>
                  <w:vMerge w:val="continue"/>
                  <w:tcBorders>
                    <w:left w:val="single" w:color="auto" w:sz="4" w:space="0"/>
                    <w:bottom w:val="single" w:color="auto" w:sz="4" w:space="0"/>
                    <w:right w:val="single" w:color="auto" w:sz="12" w:space="0"/>
                  </w:tcBorders>
                  <w:vAlign w:val="center"/>
                </w:tcPr>
                <w:p>
                  <w:pPr>
                    <w:widowControl/>
                    <w:jc w:val="center"/>
                    <w:rPr>
                      <w:rFonts w:ascii="宋体" w:hAnsi="宋体"/>
                      <w:kern w:val="0"/>
                      <w:szCs w:val="21"/>
                    </w:rPr>
                  </w:pPr>
                </w:p>
              </w:tc>
            </w:tr>
            <w:tr>
              <w:tblPrEx>
                <w:tblCellMar>
                  <w:top w:w="0" w:type="dxa"/>
                  <w:left w:w="108" w:type="dxa"/>
                  <w:bottom w:w="0" w:type="dxa"/>
                  <w:right w:w="108" w:type="dxa"/>
                </w:tblCellMar>
              </w:tblPrEx>
              <w:trPr>
                <w:trHeight w:val="259" w:hRule="atLeast"/>
              </w:trPr>
              <w:tc>
                <w:tcPr>
                  <w:tcW w:w="820" w:type="dxa"/>
                  <w:vMerge w:val="restart"/>
                  <w:tcBorders>
                    <w:top w:val="nil"/>
                    <w:left w:val="single" w:color="auto" w:sz="12" w:space="0"/>
                    <w:bottom w:val="single" w:color="auto" w:sz="4" w:space="0"/>
                    <w:right w:val="single" w:color="auto" w:sz="4" w:space="0"/>
                  </w:tcBorders>
                  <w:shd w:val="clear" w:color="auto" w:fill="auto"/>
                  <w:vAlign w:val="bottom"/>
                </w:tcPr>
                <w:p>
                  <w:pPr>
                    <w:widowControl/>
                    <w:jc w:val="center"/>
                    <w:rPr>
                      <w:rFonts w:ascii="宋体" w:hAnsi="宋体"/>
                      <w:kern w:val="0"/>
                      <w:szCs w:val="21"/>
                    </w:rPr>
                  </w:pPr>
                  <w:r>
                    <w:rPr>
                      <w:rFonts w:ascii="宋体" w:hAnsi="宋体"/>
                      <w:kern w:val="0"/>
                      <w:szCs w:val="21"/>
                    </w:rPr>
                    <w:t>严寒地区</w:t>
                  </w:r>
                </w:p>
              </w:tc>
              <w:tc>
                <w:tcPr>
                  <w:tcW w:w="458" w:type="dxa"/>
                  <w:vMerge w:val="restar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 xml:space="preserve">0.50 </w:t>
                  </w:r>
                </w:p>
              </w:tc>
              <w:tc>
                <w:tcPr>
                  <w:tcW w:w="458"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 xml:space="preserve">0.40 </w:t>
                  </w:r>
                </w:p>
              </w:tc>
              <w:tc>
                <w:tcPr>
                  <w:tcW w:w="458"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w:t>
                  </w:r>
                </w:p>
              </w:tc>
              <w:tc>
                <w:tcPr>
                  <w:tcW w:w="398" w:type="dxa"/>
                  <w:vMerge w:val="restart"/>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kern w:val="0"/>
                      <w:szCs w:val="21"/>
                    </w:rPr>
                  </w:pPr>
                  <w:r>
                    <w:rPr>
                      <w:rFonts w:ascii="宋体" w:hAnsi="宋体"/>
                      <w:kern w:val="0"/>
                      <w:szCs w:val="21"/>
                    </w:rPr>
                    <w:t xml:space="preserve">2.2 </w:t>
                  </w:r>
                </w:p>
              </w:tc>
              <w:tc>
                <w:tcPr>
                  <w:tcW w:w="398" w:type="dxa"/>
                  <w:vMerge w:val="restar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2.0</w:t>
                  </w:r>
                </w:p>
              </w:tc>
              <w:tc>
                <w:tcPr>
                  <w:tcW w:w="458" w:type="dxa"/>
                  <w:vMerge w:val="restart"/>
                  <w:tcBorders>
                    <w:top w:val="nil"/>
                    <w:left w:val="single" w:color="auto" w:sz="4" w:space="0"/>
                    <w:right w:val="single" w:color="auto" w:sz="12" w:space="0"/>
                  </w:tcBorders>
                  <w:shd w:val="clear" w:color="auto" w:fill="auto"/>
                  <w:noWrap/>
                  <w:vAlign w:val="bottom"/>
                </w:tcPr>
                <w:p>
                  <w:pPr>
                    <w:widowControl/>
                    <w:jc w:val="center"/>
                    <w:rPr>
                      <w:rFonts w:ascii="宋体" w:hAnsi="宋体"/>
                      <w:kern w:val="0"/>
                      <w:szCs w:val="21"/>
                    </w:rPr>
                  </w:pPr>
                  <w:r>
                    <w:rPr>
                      <w:rFonts w:ascii="宋体" w:hAnsi="宋体"/>
                      <w:kern w:val="0"/>
                      <w:szCs w:val="21"/>
                    </w:rPr>
                    <w:t xml:space="preserve">2.0 </w:t>
                  </w:r>
                </w:p>
              </w:tc>
            </w:tr>
            <w:tr>
              <w:tblPrEx>
                <w:tblCellMar>
                  <w:top w:w="0" w:type="dxa"/>
                  <w:left w:w="108" w:type="dxa"/>
                  <w:bottom w:w="0" w:type="dxa"/>
                  <w:right w:w="108" w:type="dxa"/>
                </w:tblCellMar>
              </w:tblPrEx>
              <w:trPr>
                <w:trHeight w:val="285" w:hRule="atLeast"/>
              </w:trPr>
              <w:tc>
                <w:tcPr>
                  <w:tcW w:w="820" w:type="dxa"/>
                  <w:vMerge w:val="continue"/>
                  <w:tcBorders>
                    <w:top w:val="nil"/>
                    <w:left w:val="single" w:color="auto" w:sz="12" w:space="0"/>
                    <w:bottom w:val="single" w:color="auto" w:sz="4" w:space="0"/>
                    <w:right w:val="single" w:color="auto" w:sz="4" w:space="0"/>
                  </w:tcBorders>
                  <w:vAlign w:val="center"/>
                </w:tcPr>
                <w:p>
                  <w:pPr>
                    <w:widowControl/>
                    <w:jc w:val="left"/>
                    <w:rPr>
                      <w:rFonts w:ascii="宋体" w:hAnsi="宋体"/>
                      <w:kern w:val="0"/>
                      <w:szCs w:val="21"/>
                    </w:rPr>
                  </w:pP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458"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w:t>
                  </w:r>
                </w:p>
              </w:tc>
              <w:tc>
                <w:tcPr>
                  <w:tcW w:w="458"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 xml:space="preserve">0.45 </w:t>
                  </w:r>
                </w:p>
              </w:tc>
              <w:tc>
                <w:tcPr>
                  <w:tcW w:w="398"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398"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kern w:val="0"/>
                      <w:szCs w:val="21"/>
                    </w:rPr>
                  </w:pPr>
                </w:p>
              </w:tc>
              <w:tc>
                <w:tcPr>
                  <w:tcW w:w="458" w:type="dxa"/>
                  <w:vMerge w:val="continue"/>
                  <w:tcBorders>
                    <w:left w:val="single" w:color="auto" w:sz="4" w:space="0"/>
                    <w:bottom w:val="single" w:color="auto" w:sz="4" w:space="0"/>
                    <w:right w:val="single" w:color="auto" w:sz="12" w:space="0"/>
                  </w:tcBorders>
                  <w:vAlign w:val="center"/>
                </w:tcPr>
                <w:p>
                  <w:pPr>
                    <w:widowControl/>
                    <w:jc w:val="center"/>
                    <w:rPr>
                      <w:rFonts w:ascii="宋体" w:hAnsi="宋体"/>
                      <w:kern w:val="0"/>
                      <w:szCs w:val="21"/>
                    </w:rPr>
                  </w:pPr>
                </w:p>
              </w:tc>
            </w:tr>
            <w:tr>
              <w:tblPrEx>
                <w:tblCellMar>
                  <w:top w:w="0" w:type="dxa"/>
                  <w:left w:w="108" w:type="dxa"/>
                  <w:bottom w:w="0" w:type="dxa"/>
                  <w:right w:w="108" w:type="dxa"/>
                </w:tblCellMar>
              </w:tblPrEx>
              <w:trPr>
                <w:trHeight w:val="300" w:hRule="atLeast"/>
              </w:trPr>
              <w:tc>
                <w:tcPr>
                  <w:tcW w:w="820" w:type="dxa"/>
                  <w:tcBorders>
                    <w:top w:val="nil"/>
                    <w:left w:val="single" w:color="auto" w:sz="12" w:space="0"/>
                    <w:bottom w:val="single" w:color="auto" w:sz="12" w:space="0"/>
                    <w:right w:val="single" w:color="auto" w:sz="4" w:space="0"/>
                  </w:tcBorders>
                  <w:shd w:val="clear" w:color="auto" w:fill="auto"/>
                  <w:vAlign w:val="bottom"/>
                </w:tcPr>
                <w:p>
                  <w:pPr>
                    <w:widowControl/>
                    <w:jc w:val="center"/>
                    <w:rPr>
                      <w:rFonts w:ascii="宋体" w:hAnsi="宋体"/>
                      <w:kern w:val="0"/>
                      <w:szCs w:val="21"/>
                    </w:rPr>
                  </w:pPr>
                  <w:r>
                    <w:rPr>
                      <w:rFonts w:ascii="宋体" w:hAnsi="宋体"/>
                      <w:kern w:val="0"/>
                      <w:szCs w:val="21"/>
                    </w:rPr>
                    <w:t>寒冷地区</w:t>
                  </w:r>
                </w:p>
              </w:tc>
              <w:tc>
                <w:tcPr>
                  <w:tcW w:w="458" w:type="dxa"/>
                  <w:tcBorders>
                    <w:top w:val="nil"/>
                    <w:left w:val="nil"/>
                    <w:bottom w:val="single" w:color="auto" w:sz="12"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 xml:space="preserve">0.65 </w:t>
                  </w:r>
                </w:p>
              </w:tc>
              <w:tc>
                <w:tcPr>
                  <w:tcW w:w="458" w:type="dxa"/>
                  <w:tcBorders>
                    <w:top w:val="nil"/>
                    <w:left w:val="nil"/>
                    <w:bottom w:val="single" w:color="auto" w:sz="12"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 xml:space="preserve">0.50 </w:t>
                  </w:r>
                </w:p>
              </w:tc>
              <w:tc>
                <w:tcPr>
                  <w:tcW w:w="458" w:type="dxa"/>
                  <w:tcBorders>
                    <w:top w:val="nil"/>
                    <w:left w:val="nil"/>
                    <w:bottom w:val="single" w:color="auto" w:sz="12" w:space="0"/>
                    <w:right w:val="single" w:color="auto" w:sz="8" w:space="0"/>
                  </w:tcBorders>
                  <w:shd w:val="clear" w:color="auto" w:fill="auto"/>
                  <w:noWrap/>
                  <w:vAlign w:val="bottom"/>
                </w:tcPr>
                <w:p>
                  <w:pPr>
                    <w:widowControl/>
                    <w:jc w:val="center"/>
                    <w:rPr>
                      <w:rFonts w:ascii="宋体" w:hAnsi="宋体"/>
                      <w:kern w:val="0"/>
                      <w:szCs w:val="21"/>
                      <w:u w:val="single"/>
                    </w:rPr>
                  </w:pPr>
                  <w:r>
                    <w:rPr>
                      <w:rFonts w:ascii="宋体" w:hAnsi="宋体"/>
                      <w:kern w:val="0"/>
                      <w:szCs w:val="21"/>
                    </w:rPr>
                    <w:t>—</w:t>
                  </w:r>
                </w:p>
              </w:tc>
              <w:tc>
                <w:tcPr>
                  <w:tcW w:w="398" w:type="dxa"/>
                  <w:tcBorders>
                    <w:top w:val="nil"/>
                    <w:left w:val="single" w:color="auto" w:sz="8" w:space="0"/>
                    <w:bottom w:val="single" w:color="auto" w:sz="12" w:space="0"/>
                    <w:right w:val="single" w:color="auto" w:sz="4" w:space="0"/>
                  </w:tcBorders>
                  <w:shd w:val="clear" w:color="auto" w:fill="auto"/>
                  <w:vAlign w:val="center"/>
                </w:tcPr>
                <w:p>
                  <w:pPr>
                    <w:widowControl/>
                    <w:jc w:val="center"/>
                    <w:rPr>
                      <w:rFonts w:ascii="宋体" w:hAnsi="宋体"/>
                      <w:kern w:val="0"/>
                      <w:szCs w:val="21"/>
                    </w:rPr>
                  </w:pPr>
                  <w:r>
                    <w:rPr>
                      <w:rFonts w:ascii="宋体" w:hAnsi="宋体"/>
                      <w:kern w:val="0"/>
                      <w:szCs w:val="21"/>
                    </w:rPr>
                    <w:t>2.8</w:t>
                  </w:r>
                </w:p>
              </w:tc>
              <w:tc>
                <w:tcPr>
                  <w:tcW w:w="398" w:type="dxa"/>
                  <w:tcBorders>
                    <w:top w:val="nil"/>
                    <w:left w:val="nil"/>
                    <w:bottom w:val="single" w:color="auto" w:sz="12" w:space="0"/>
                    <w:right w:val="single" w:color="auto" w:sz="4" w:space="0"/>
                  </w:tcBorders>
                  <w:shd w:val="clear" w:color="auto" w:fill="auto"/>
                  <w:noWrap/>
                  <w:vAlign w:val="bottom"/>
                </w:tcPr>
                <w:p>
                  <w:pPr>
                    <w:widowControl/>
                    <w:jc w:val="center"/>
                    <w:rPr>
                      <w:rFonts w:ascii="宋体" w:hAnsi="宋体"/>
                      <w:kern w:val="0"/>
                      <w:szCs w:val="21"/>
                    </w:rPr>
                  </w:pPr>
                  <w:r>
                    <w:rPr>
                      <w:rFonts w:ascii="宋体" w:hAnsi="宋体"/>
                      <w:kern w:val="0"/>
                      <w:szCs w:val="21"/>
                    </w:rPr>
                    <w:t xml:space="preserve">2.5 </w:t>
                  </w:r>
                </w:p>
              </w:tc>
              <w:tc>
                <w:tcPr>
                  <w:tcW w:w="458" w:type="dxa"/>
                  <w:tcBorders>
                    <w:top w:val="nil"/>
                    <w:left w:val="nil"/>
                    <w:bottom w:val="single" w:color="auto" w:sz="12" w:space="0"/>
                    <w:right w:val="single" w:color="auto" w:sz="12" w:space="0"/>
                  </w:tcBorders>
                  <w:shd w:val="clear" w:color="auto" w:fill="auto"/>
                  <w:noWrap/>
                  <w:vAlign w:val="bottom"/>
                </w:tcPr>
                <w:p>
                  <w:pPr>
                    <w:widowControl/>
                    <w:jc w:val="center"/>
                    <w:rPr>
                      <w:rFonts w:ascii="宋体" w:hAnsi="宋体"/>
                      <w:kern w:val="0"/>
                      <w:szCs w:val="21"/>
                    </w:rPr>
                  </w:pPr>
                  <w:r>
                    <w:rPr>
                      <w:rFonts w:ascii="宋体" w:hAnsi="宋体"/>
                      <w:kern w:val="0"/>
                      <w:szCs w:val="21"/>
                    </w:rPr>
                    <w:t xml:space="preserve">2.5 </w:t>
                  </w:r>
                </w:p>
              </w:tc>
            </w:tr>
          </w:tbl>
          <w:p>
            <w:pPr>
              <w:spacing w:line="360" w:lineRule="auto"/>
              <w:jc w:val="center"/>
              <w:rPr>
                <w:rFonts w:ascii="宋体" w:hAnsi="宋体"/>
                <w:sz w:val="24"/>
              </w:rPr>
            </w:pPr>
          </w:p>
        </w:tc>
        <w:tc>
          <w:tcPr>
            <w:tcW w:w="4753" w:type="dxa"/>
          </w:tcPr>
          <w:p>
            <w:pPr>
              <w:spacing w:line="360" w:lineRule="auto"/>
              <w:rPr>
                <w:rFonts w:ascii="宋体" w:hAnsi="宋体"/>
                <w:sz w:val="24"/>
              </w:rPr>
            </w:pPr>
            <w:r>
              <w:rPr>
                <w:rFonts w:ascii="宋体" w:hAnsi="宋体"/>
                <w:b/>
                <w:sz w:val="24"/>
              </w:rPr>
              <w:t>5.2.1</w:t>
            </w:r>
            <w:r>
              <w:rPr>
                <w:rFonts w:ascii="宋体" w:hAnsi="宋体"/>
                <w:sz w:val="24"/>
              </w:rPr>
              <w:t xml:space="preserve">  严寒和寒冷地区</w:t>
            </w:r>
            <w:r>
              <w:rPr>
                <w:rFonts w:hint="eastAsia" w:ascii="宋体" w:hAnsi="宋体"/>
                <w:sz w:val="24"/>
                <w:u w:val="single"/>
              </w:rPr>
              <w:t>新建</w:t>
            </w:r>
            <w:r>
              <w:rPr>
                <w:rFonts w:ascii="宋体" w:hAnsi="宋体"/>
                <w:sz w:val="24"/>
              </w:rPr>
              <w:t>农村居住建筑围护结构的传热系数，不应大于表5.2.1中的规定限值。</w:t>
            </w:r>
          </w:p>
          <w:p>
            <w:pPr>
              <w:spacing w:line="360" w:lineRule="auto"/>
              <w:jc w:val="center"/>
              <w:rPr>
                <w:rFonts w:ascii="宋体" w:hAnsi="宋体"/>
                <w:b/>
                <w:sz w:val="24"/>
              </w:rPr>
            </w:pPr>
            <w:r>
              <w:rPr>
                <w:rFonts w:ascii="宋体" w:hAnsi="宋体"/>
                <w:b/>
                <w:sz w:val="24"/>
              </w:rPr>
              <w:t>表5.2.1 严寒和寒冷地区农村居住建筑围护结构传热系数限值</w:t>
            </w:r>
          </w:p>
          <w:tbl>
            <w:tblPr>
              <w:tblStyle w:val="17"/>
              <w:tblW w:w="5000" w:type="pct"/>
              <w:tblInd w:w="0" w:type="dxa"/>
              <w:tblLayout w:type="fixed"/>
              <w:tblCellMar>
                <w:top w:w="0" w:type="dxa"/>
                <w:left w:w="108" w:type="dxa"/>
                <w:bottom w:w="0" w:type="dxa"/>
                <w:right w:w="108" w:type="dxa"/>
              </w:tblCellMar>
            </w:tblPr>
            <w:tblGrid>
              <w:gridCol w:w="588"/>
              <w:gridCol w:w="752"/>
              <w:gridCol w:w="830"/>
              <w:gridCol w:w="679"/>
              <w:gridCol w:w="680"/>
              <w:gridCol w:w="526"/>
              <w:gridCol w:w="480"/>
            </w:tblGrid>
            <w:tr>
              <w:tblPrEx>
                <w:tblCellMar>
                  <w:top w:w="0" w:type="dxa"/>
                  <w:left w:w="108" w:type="dxa"/>
                  <w:bottom w:w="0" w:type="dxa"/>
                  <w:right w:w="108" w:type="dxa"/>
                </w:tblCellMar>
              </w:tblPrEx>
              <w:trPr>
                <w:trHeight w:val="141" w:hRule="atLeast"/>
              </w:trPr>
              <w:tc>
                <w:tcPr>
                  <w:tcW w:w="648" w:type="pct"/>
                  <w:vMerge w:val="restart"/>
                  <w:tcBorders>
                    <w:top w:val="single" w:color="auto" w:sz="12" w:space="0"/>
                    <w:left w:val="single" w:color="auto" w:sz="12" w:space="0"/>
                    <w:bottom w:val="single" w:color="auto" w:sz="4" w:space="0"/>
                    <w:right w:val="single" w:color="auto" w:sz="4" w:space="0"/>
                  </w:tcBorders>
                  <w:shd w:val="clear" w:color="auto" w:fill="auto"/>
                  <w:noWrap/>
                  <w:vAlign w:val="bottom"/>
                </w:tcPr>
                <w:p>
                  <w:pPr>
                    <w:widowControl/>
                    <w:jc w:val="center"/>
                    <w:rPr>
                      <w:kern w:val="0"/>
                      <w:szCs w:val="21"/>
                    </w:rPr>
                  </w:pPr>
                  <w:r>
                    <w:rPr>
                      <w:kern w:val="0"/>
                      <w:szCs w:val="21"/>
                    </w:rPr>
                    <w:t>建筑气候区</w:t>
                  </w:r>
                </w:p>
              </w:tc>
              <w:tc>
                <w:tcPr>
                  <w:tcW w:w="829" w:type="pct"/>
                  <w:tcBorders>
                    <w:top w:val="single" w:color="auto" w:sz="12" w:space="0"/>
                    <w:left w:val="nil"/>
                    <w:bottom w:val="single" w:color="auto" w:sz="4" w:space="0"/>
                    <w:right w:val="nil"/>
                  </w:tcBorders>
                </w:tcPr>
                <w:p>
                  <w:pPr>
                    <w:widowControl/>
                    <w:jc w:val="center"/>
                    <w:rPr>
                      <w:kern w:val="0"/>
                      <w:szCs w:val="21"/>
                    </w:rPr>
                  </w:pPr>
                </w:p>
              </w:tc>
              <w:tc>
                <w:tcPr>
                  <w:tcW w:w="3523" w:type="pct"/>
                  <w:gridSpan w:val="5"/>
                  <w:tcBorders>
                    <w:top w:val="single" w:color="auto" w:sz="12" w:space="0"/>
                    <w:left w:val="nil"/>
                    <w:bottom w:val="single" w:color="auto" w:sz="4" w:space="0"/>
                    <w:right w:val="single" w:color="auto" w:sz="12" w:space="0"/>
                  </w:tcBorders>
                  <w:shd w:val="clear" w:color="auto" w:fill="auto"/>
                  <w:noWrap/>
                  <w:vAlign w:val="bottom"/>
                </w:tcPr>
                <w:p>
                  <w:pPr>
                    <w:widowControl/>
                    <w:jc w:val="center"/>
                    <w:rPr>
                      <w:kern w:val="0"/>
                      <w:szCs w:val="21"/>
                    </w:rPr>
                  </w:pPr>
                  <w:r>
                    <w:rPr>
                      <w:kern w:val="0"/>
                      <w:szCs w:val="21"/>
                    </w:rPr>
                    <w:t>围护结构部位的传热系数K[W/(m</w:t>
                  </w:r>
                  <w:r>
                    <w:rPr>
                      <w:kern w:val="0"/>
                      <w:szCs w:val="21"/>
                      <w:vertAlign w:val="superscript"/>
                    </w:rPr>
                    <w:t>2</w:t>
                  </w:r>
                  <w:r>
                    <w:rPr>
                      <w:kern w:val="0"/>
                      <w:szCs w:val="21"/>
                    </w:rPr>
                    <w:t>·K)]</w:t>
                  </w:r>
                </w:p>
              </w:tc>
            </w:tr>
            <w:tr>
              <w:tblPrEx>
                <w:tblCellMar>
                  <w:top w:w="0" w:type="dxa"/>
                  <w:left w:w="108" w:type="dxa"/>
                  <w:bottom w:w="0" w:type="dxa"/>
                  <w:right w:w="108" w:type="dxa"/>
                </w:tblCellMar>
              </w:tblPrEx>
              <w:trPr>
                <w:trHeight w:val="251" w:hRule="atLeast"/>
              </w:trPr>
              <w:tc>
                <w:tcPr>
                  <w:tcW w:w="648" w:type="pct"/>
                  <w:vMerge w:val="continue"/>
                  <w:tcBorders>
                    <w:top w:val="single" w:color="auto" w:sz="8" w:space="0"/>
                    <w:left w:val="single" w:color="auto" w:sz="12" w:space="0"/>
                    <w:bottom w:val="single" w:color="auto" w:sz="4" w:space="0"/>
                    <w:right w:val="single" w:color="auto" w:sz="4" w:space="0"/>
                  </w:tcBorders>
                  <w:vAlign w:val="center"/>
                </w:tcPr>
                <w:p>
                  <w:pPr>
                    <w:widowControl/>
                    <w:jc w:val="left"/>
                    <w:rPr>
                      <w:kern w:val="0"/>
                      <w:szCs w:val="21"/>
                    </w:rPr>
                  </w:pPr>
                </w:p>
              </w:tc>
              <w:tc>
                <w:tcPr>
                  <w:tcW w:w="829" w:type="pct"/>
                  <w:vMerge w:val="restart"/>
                  <w:tcBorders>
                    <w:top w:val="nil"/>
                    <w:left w:val="single" w:color="auto" w:sz="4" w:space="0"/>
                    <w:bottom w:val="single" w:color="auto" w:sz="4" w:space="0"/>
                    <w:right w:val="single" w:color="auto" w:sz="4" w:space="0"/>
                  </w:tcBorders>
                  <w:shd w:val="clear" w:color="auto" w:fill="auto"/>
                  <w:noWrap/>
                  <w:vAlign w:val="bottom"/>
                </w:tcPr>
                <w:p>
                  <w:pPr>
                    <w:widowControl/>
                    <w:jc w:val="center"/>
                    <w:rPr>
                      <w:kern w:val="0"/>
                      <w:szCs w:val="21"/>
                    </w:rPr>
                  </w:pPr>
                  <w:r>
                    <w:rPr>
                      <w:kern w:val="0"/>
                      <w:szCs w:val="21"/>
                    </w:rPr>
                    <w:t>外墙</w:t>
                  </w:r>
                  <w:r>
                    <w:rPr>
                      <w:rFonts w:hint="eastAsia"/>
                      <w:kern w:val="0"/>
                      <w:szCs w:val="21"/>
                      <w:u w:val="single"/>
                    </w:rPr>
                    <w:t>（架空或外挑楼板）</w:t>
                  </w:r>
                </w:p>
              </w:tc>
              <w:tc>
                <w:tcPr>
                  <w:tcW w:w="915" w:type="pct"/>
                  <w:vMerge w:val="restart"/>
                  <w:tcBorders>
                    <w:top w:val="nil"/>
                    <w:left w:val="single" w:color="auto" w:sz="4" w:space="0"/>
                    <w:bottom w:val="single" w:color="auto" w:sz="4" w:space="0"/>
                    <w:right w:val="single" w:color="auto" w:sz="4" w:space="0"/>
                  </w:tcBorders>
                  <w:shd w:val="clear" w:color="auto" w:fill="auto"/>
                  <w:vAlign w:val="bottom"/>
                </w:tcPr>
                <w:p>
                  <w:pPr>
                    <w:widowControl/>
                    <w:jc w:val="center"/>
                    <w:rPr>
                      <w:kern w:val="0"/>
                      <w:szCs w:val="21"/>
                    </w:rPr>
                  </w:pPr>
                  <w:r>
                    <w:rPr>
                      <w:kern w:val="0"/>
                      <w:szCs w:val="21"/>
                    </w:rPr>
                    <w:t>屋面</w:t>
                  </w:r>
                </w:p>
              </w:tc>
              <w:tc>
                <w:tcPr>
                  <w:tcW w:w="749" w:type="pct"/>
                  <w:vMerge w:val="restart"/>
                  <w:tcBorders>
                    <w:top w:val="nil"/>
                    <w:left w:val="single" w:color="auto" w:sz="4" w:space="0"/>
                    <w:right w:val="single" w:color="auto" w:sz="8" w:space="0"/>
                  </w:tcBorders>
                  <w:shd w:val="clear" w:color="auto" w:fill="auto"/>
                  <w:noWrap/>
                  <w:vAlign w:val="bottom"/>
                </w:tcPr>
                <w:p>
                  <w:pPr>
                    <w:widowControl/>
                    <w:jc w:val="center"/>
                    <w:rPr>
                      <w:kern w:val="0"/>
                      <w:szCs w:val="21"/>
                      <w:u w:val="single"/>
                    </w:rPr>
                  </w:pPr>
                  <w:r>
                    <w:rPr>
                      <w:kern w:val="0"/>
                      <w:szCs w:val="21"/>
                      <w:bdr w:val="single" w:color="auto" w:sz="4" w:space="0"/>
                    </w:rPr>
                    <w:t>吊顶</w:t>
                  </w:r>
                </w:p>
              </w:tc>
              <w:tc>
                <w:tcPr>
                  <w:tcW w:w="1330" w:type="pct"/>
                  <w:gridSpan w:val="2"/>
                  <w:tcBorders>
                    <w:top w:val="single" w:color="auto" w:sz="4" w:space="0"/>
                    <w:left w:val="single" w:color="auto" w:sz="8" w:space="0"/>
                    <w:bottom w:val="single" w:color="auto" w:sz="4" w:space="0"/>
                    <w:right w:val="single" w:color="auto" w:sz="4" w:space="0"/>
                  </w:tcBorders>
                  <w:shd w:val="clear" w:color="auto" w:fill="auto"/>
                  <w:noWrap/>
                  <w:vAlign w:val="bottom"/>
                </w:tcPr>
                <w:p>
                  <w:pPr>
                    <w:widowControl/>
                    <w:jc w:val="center"/>
                    <w:rPr>
                      <w:kern w:val="0"/>
                      <w:szCs w:val="21"/>
                    </w:rPr>
                  </w:pPr>
                  <w:r>
                    <w:rPr>
                      <w:kern w:val="0"/>
                      <w:szCs w:val="21"/>
                    </w:rPr>
                    <w:t>外窗</w:t>
                  </w:r>
                </w:p>
              </w:tc>
              <w:tc>
                <w:tcPr>
                  <w:tcW w:w="530" w:type="pct"/>
                  <w:vMerge w:val="restart"/>
                  <w:tcBorders>
                    <w:top w:val="nil"/>
                    <w:left w:val="single" w:color="auto" w:sz="4" w:space="0"/>
                    <w:right w:val="single" w:color="auto" w:sz="12" w:space="0"/>
                  </w:tcBorders>
                  <w:shd w:val="clear" w:color="auto" w:fill="auto"/>
                  <w:noWrap/>
                  <w:vAlign w:val="bottom"/>
                </w:tcPr>
                <w:p>
                  <w:pPr>
                    <w:widowControl/>
                    <w:jc w:val="center"/>
                    <w:rPr>
                      <w:kern w:val="0"/>
                      <w:szCs w:val="21"/>
                    </w:rPr>
                  </w:pPr>
                  <w:r>
                    <w:rPr>
                      <w:kern w:val="0"/>
                      <w:szCs w:val="21"/>
                    </w:rPr>
                    <w:t>外门</w:t>
                  </w:r>
                </w:p>
              </w:tc>
            </w:tr>
            <w:tr>
              <w:tblPrEx>
                <w:tblCellMar>
                  <w:top w:w="0" w:type="dxa"/>
                  <w:left w:w="108" w:type="dxa"/>
                  <w:bottom w:w="0" w:type="dxa"/>
                  <w:right w:w="108" w:type="dxa"/>
                </w:tblCellMar>
              </w:tblPrEx>
              <w:trPr>
                <w:trHeight w:val="285" w:hRule="atLeast"/>
              </w:trPr>
              <w:tc>
                <w:tcPr>
                  <w:tcW w:w="648" w:type="pct"/>
                  <w:vMerge w:val="continue"/>
                  <w:tcBorders>
                    <w:top w:val="single" w:color="auto" w:sz="8" w:space="0"/>
                    <w:left w:val="single" w:color="auto" w:sz="12" w:space="0"/>
                    <w:bottom w:val="single" w:color="auto" w:sz="4" w:space="0"/>
                    <w:right w:val="single" w:color="auto" w:sz="4" w:space="0"/>
                  </w:tcBorders>
                  <w:vAlign w:val="center"/>
                </w:tcPr>
                <w:p>
                  <w:pPr>
                    <w:widowControl/>
                    <w:jc w:val="left"/>
                    <w:rPr>
                      <w:kern w:val="0"/>
                      <w:szCs w:val="21"/>
                    </w:rPr>
                  </w:pPr>
                </w:p>
              </w:tc>
              <w:tc>
                <w:tcPr>
                  <w:tcW w:w="829" w:type="pct"/>
                  <w:vMerge w:val="continue"/>
                  <w:tcBorders>
                    <w:top w:val="nil"/>
                    <w:left w:val="single" w:color="auto" w:sz="4" w:space="0"/>
                    <w:bottom w:val="single" w:color="auto" w:sz="4" w:space="0"/>
                    <w:right w:val="single" w:color="auto" w:sz="4" w:space="0"/>
                  </w:tcBorders>
                  <w:vAlign w:val="center"/>
                </w:tcPr>
                <w:p>
                  <w:pPr>
                    <w:widowControl/>
                    <w:jc w:val="center"/>
                    <w:rPr>
                      <w:kern w:val="0"/>
                      <w:szCs w:val="21"/>
                    </w:rPr>
                  </w:pPr>
                </w:p>
              </w:tc>
              <w:tc>
                <w:tcPr>
                  <w:tcW w:w="915" w:type="pct"/>
                  <w:vMerge w:val="continue"/>
                  <w:tcBorders>
                    <w:top w:val="nil"/>
                    <w:left w:val="single" w:color="auto" w:sz="4" w:space="0"/>
                    <w:bottom w:val="single" w:color="auto" w:sz="4" w:space="0"/>
                    <w:right w:val="single" w:color="auto" w:sz="4" w:space="0"/>
                  </w:tcBorders>
                  <w:vAlign w:val="center"/>
                </w:tcPr>
                <w:p>
                  <w:pPr>
                    <w:widowControl/>
                    <w:jc w:val="center"/>
                    <w:rPr>
                      <w:kern w:val="0"/>
                      <w:szCs w:val="21"/>
                    </w:rPr>
                  </w:pPr>
                </w:p>
              </w:tc>
              <w:tc>
                <w:tcPr>
                  <w:tcW w:w="749" w:type="pct"/>
                  <w:vMerge w:val="continue"/>
                  <w:tcBorders>
                    <w:left w:val="single" w:color="auto" w:sz="4" w:space="0"/>
                    <w:bottom w:val="single" w:color="auto" w:sz="4" w:space="0"/>
                    <w:right w:val="single" w:color="auto" w:sz="8" w:space="0"/>
                  </w:tcBorders>
                  <w:vAlign w:val="center"/>
                </w:tcPr>
                <w:p>
                  <w:pPr>
                    <w:widowControl/>
                    <w:jc w:val="center"/>
                    <w:rPr>
                      <w:kern w:val="0"/>
                      <w:szCs w:val="21"/>
                    </w:rPr>
                  </w:pPr>
                </w:p>
              </w:tc>
              <w:tc>
                <w:tcPr>
                  <w:tcW w:w="750" w:type="pct"/>
                  <w:tcBorders>
                    <w:top w:val="nil"/>
                    <w:left w:val="single" w:color="auto" w:sz="8" w:space="0"/>
                    <w:bottom w:val="single" w:color="auto" w:sz="4" w:space="0"/>
                    <w:right w:val="single" w:color="auto" w:sz="4" w:space="0"/>
                  </w:tcBorders>
                  <w:shd w:val="clear" w:color="auto" w:fill="auto"/>
                  <w:vAlign w:val="bottom"/>
                </w:tcPr>
                <w:p>
                  <w:pPr>
                    <w:widowControl/>
                    <w:jc w:val="center"/>
                    <w:rPr>
                      <w:kern w:val="0"/>
                      <w:szCs w:val="21"/>
                    </w:rPr>
                  </w:pPr>
                  <w:r>
                    <w:rPr>
                      <w:kern w:val="0"/>
                      <w:szCs w:val="21"/>
                    </w:rPr>
                    <w:t>南向</w:t>
                  </w:r>
                </w:p>
              </w:tc>
              <w:tc>
                <w:tcPr>
                  <w:tcW w:w="579" w:type="pct"/>
                  <w:tcBorders>
                    <w:top w:val="nil"/>
                    <w:left w:val="nil"/>
                    <w:bottom w:val="single" w:color="auto" w:sz="4" w:space="0"/>
                    <w:right w:val="single" w:color="auto" w:sz="4" w:space="0"/>
                  </w:tcBorders>
                  <w:shd w:val="clear" w:color="auto" w:fill="auto"/>
                  <w:vAlign w:val="bottom"/>
                </w:tcPr>
                <w:p>
                  <w:pPr>
                    <w:widowControl/>
                    <w:jc w:val="center"/>
                    <w:rPr>
                      <w:kern w:val="0"/>
                      <w:szCs w:val="21"/>
                    </w:rPr>
                  </w:pPr>
                  <w:r>
                    <w:rPr>
                      <w:kern w:val="0"/>
                      <w:szCs w:val="21"/>
                    </w:rPr>
                    <w:t>其它向</w:t>
                  </w:r>
                </w:p>
              </w:tc>
              <w:tc>
                <w:tcPr>
                  <w:tcW w:w="530" w:type="pct"/>
                  <w:vMerge w:val="continue"/>
                  <w:tcBorders>
                    <w:left w:val="single" w:color="auto" w:sz="4" w:space="0"/>
                    <w:bottom w:val="single" w:color="auto" w:sz="4" w:space="0"/>
                    <w:right w:val="single" w:color="auto" w:sz="12" w:space="0"/>
                  </w:tcBorders>
                  <w:vAlign w:val="center"/>
                </w:tcPr>
                <w:p>
                  <w:pPr>
                    <w:widowControl/>
                    <w:jc w:val="center"/>
                    <w:rPr>
                      <w:kern w:val="0"/>
                      <w:szCs w:val="21"/>
                    </w:rPr>
                  </w:pPr>
                </w:p>
              </w:tc>
            </w:tr>
            <w:tr>
              <w:tblPrEx>
                <w:tblCellMar>
                  <w:top w:w="0" w:type="dxa"/>
                  <w:left w:w="108" w:type="dxa"/>
                  <w:bottom w:w="0" w:type="dxa"/>
                  <w:right w:w="108" w:type="dxa"/>
                </w:tblCellMar>
              </w:tblPrEx>
              <w:trPr>
                <w:trHeight w:val="259" w:hRule="atLeast"/>
              </w:trPr>
              <w:tc>
                <w:tcPr>
                  <w:tcW w:w="648" w:type="pct"/>
                  <w:vMerge w:val="restart"/>
                  <w:tcBorders>
                    <w:top w:val="nil"/>
                    <w:left w:val="single" w:color="auto" w:sz="12" w:space="0"/>
                    <w:bottom w:val="single" w:color="auto" w:sz="4" w:space="0"/>
                    <w:right w:val="single" w:color="auto" w:sz="4" w:space="0"/>
                  </w:tcBorders>
                  <w:shd w:val="clear" w:color="auto" w:fill="auto"/>
                  <w:vAlign w:val="bottom"/>
                </w:tcPr>
                <w:p>
                  <w:pPr>
                    <w:widowControl/>
                    <w:jc w:val="center"/>
                    <w:rPr>
                      <w:kern w:val="0"/>
                      <w:szCs w:val="21"/>
                    </w:rPr>
                  </w:pPr>
                  <w:r>
                    <w:rPr>
                      <w:kern w:val="0"/>
                      <w:szCs w:val="21"/>
                    </w:rPr>
                    <w:t>严寒地区</w:t>
                  </w:r>
                </w:p>
              </w:tc>
              <w:tc>
                <w:tcPr>
                  <w:tcW w:w="829" w:type="pct"/>
                  <w:vMerge w:val="restart"/>
                  <w:tcBorders>
                    <w:top w:val="nil"/>
                    <w:left w:val="single" w:color="auto" w:sz="4" w:space="0"/>
                    <w:bottom w:val="single" w:color="auto" w:sz="4" w:space="0"/>
                    <w:right w:val="single" w:color="auto" w:sz="4" w:space="0"/>
                  </w:tcBorders>
                  <w:shd w:val="clear" w:color="auto" w:fill="auto"/>
                  <w:noWrap/>
                  <w:vAlign w:val="bottom"/>
                </w:tcPr>
                <w:p>
                  <w:pPr>
                    <w:widowControl/>
                    <w:jc w:val="center"/>
                    <w:rPr>
                      <w:kern w:val="0"/>
                      <w:szCs w:val="21"/>
                    </w:rPr>
                  </w:pPr>
                  <w:r>
                    <w:rPr>
                      <w:kern w:val="0"/>
                      <w:szCs w:val="21"/>
                      <w:bdr w:val="single" w:color="auto" w:sz="4" w:space="0"/>
                    </w:rPr>
                    <w:t>0.50</w:t>
                  </w:r>
                  <w:r>
                    <w:rPr>
                      <w:kern w:val="0"/>
                      <w:szCs w:val="21"/>
                    </w:rPr>
                    <w:t xml:space="preserve"> </w:t>
                  </w:r>
                  <w:r>
                    <w:rPr>
                      <w:kern w:val="0"/>
                      <w:szCs w:val="21"/>
                      <w:u w:val="single"/>
                    </w:rPr>
                    <w:t>0.30</w:t>
                  </w:r>
                </w:p>
              </w:tc>
              <w:tc>
                <w:tcPr>
                  <w:tcW w:w="915" w:type="pct"/>
                  <w:tcBorders>
                    <w:top w:val="nil"/>
                    <w:left w:val="nil"/>
                    <w:bottom w:val="single" w:color="auto" w:sz="4" w:space="0"/>
                    <w:right w:val="single" w:color="auto" w:sz="4" w:space="0"/>
                  </w:tcBorders>
                  <w:shd w:val="clear" w:color="auto" w:fill="auto"/>
                  <w:noWrap/>
                  <w:vAlign w:val="bottom"/>
                </w:tcPr>
                <w:p>
                  <w:pPr>
                    <w:widowControl/>
                    <w:jc w:val="center"/>
                    <w:rPr>
                      <w:kern w:val="0"/>
                      <w:szCs w:val="21"/>
                    </w:rPr>
                  </w:pPr>
                  <w:r>
                    <w:rPr>
                      <w:kern w:val="0"/>
                      <w:szCs w:val="21"/>
                      <w:bdr w:val="single" w:color="auto" w:sz="4" w:space="0"/>
                    </w:rPr>
                    <w:t>0.40</w:t>
                  </w:r>
                  <w:r>
                    <w:rPr>
                      <w:kern w:val="0"/>
                      <w:szCs w:val="21"/>
                    </w:rPr>
                    <w:t xml:space="preserve"> </w:t>
                  </w:r>
                  <w:r>
                    <w:rPr>
                      <w:kern w:val="0"/>
                      <w:szCs w:val="21"/>
                      <w:u w:val="single"/>
                    </w:rPr>
                    <w:t>0.25</w:t>
                  </w:r>
                </w:p>
              </w:tc>
              <w:tc>
                <w:tcPr>
                  <w:tcW w:w="749" w:type="pct"/>
                  <w:tcBorders>
                    <w:top w:val="nil"/>
                    <w:left w:val="nil"/>
                    <w:bottom w:val="single" w:color="auto" w:sz="4" w:space="0"/>
                    <w:right w:val="single" w:color="auto" w:sz="4" w:space="0"/>
                  </w:tcBorders>
                  <w:shd w:val="clear" w:color="auto" w:fill="auto"/>
                  <w:noWrap/>
                  <w:vAlign w:val="bottom"/>
                </w:tcPr>
                <w:p>
                  <w:pPr>
                    <w:widowControl/>
                    <w:jc w:val="center"/>
                    <w:rPr>
                      <w:kern w:val="0"/>
                      <w:szCs w:val="21"/>
                    </w:rPr>
                  </w:pPr>
                  <w:r>
                    <w:rPr>
                      <w:kern w:val="0"/>
                      <w:szCs w:val="21"/>
                      <w:bdr w:val="single" w:color="auto" w:sz="4" w:space="0"/>
                    </w:rPr>
                    <w:t>—</w:t>
                  </w:r>
                </w:p>
              </w:tc>
              <w:tc>
                <w:tcPr>
                  <w:tcW w:w="750" w:type="pct"/>
                  <w:vMerge w:val="restart"/>
                  <w:tcBorders>
                    <w:top w:val="nil"/>
                    <w:left w:val="single" w:color="auto" w:sz="4" w:space="0"/>
                    <w:bottom w:val="single" w:color="auto" w:sz="4" w:space="0"/>
                    <w:right w:val="single" w:color="auto" w:sz="4" w:space="0"/>
                  </w:tcBorders>
                  <w:shd w:val="clear" w:color="auto" w:fill="auto"/>
                  <w:vAlign w:val="bottom"/>
                </w:tcPr>
                <w:p>
                  <w:pPr>
                    <w:widowControl/>
                    <w:jc w:val="center"/>
                    <w:rPr>
                      <w:kern w:val="0"/>
                      <w:szCs w:val="21"/>
                    </w:rPr>
                  </w:pPr>
                  <w:r>
                    <w:rPr>
                      <w:kern w:val="0"/>
                      <w:szCs w:val="21"/>
                      <w:bdr w:val="single" w:color="auto" w:sz="4" w:space="0"/>
                    </w:rPr>
                    <w:t>2.2</w:t>
                  </w:r>
                  <w:r>
                    <w:rPr>
                      <w:kern w:val="0"/>
                      <w:szCs w:val="21"/>
                    </w:rPr>
                    <w:t xml:space="preserve"> 2.0</w:t>
                  </w:r>
                </w:p>
              </w:tc>
              <w:tc>
                <w:tcPr>
                  <w:tcW w:w="579" w:type="pct"/>
                  <w:vMerge w:val="restart"/>
                  <w:tcBorders>
                    <w:top w:val="nil"/>
                    <w:left w:val="single" w:color="auto" w:sz="4" w:space="0"/>
                    <w:bottom w:val="single" w:color="auto" w:sz="4" w:space="0"/>
                    <w:right w:val="single" w:color="auto" w:sz="4" w:space="0"/>
                  </w:tcBorders>
                  <w:shd w:val="clear" w:color="auto" w:fill="auto"/>
                  <w:noWrap/>
                  <w:vAlign w:val="bottom"/>
                </w:tcPr>
                <w:p>
                  <w:pPr>
                    <w:widowControl/>
                    <w:jc w:val="center"/>
                    <w:rPr>
                      <w:kern w:val="0"/>
                      <w:szCs w:val="21"/>
                    </w:rPr>
                  </w:pPr>
                  <w:r>
                    <w:rPr>
                      <w:kern w:val="0"/>
                      <w:szCs w:val="21"/>
                    </w:rPr>
                    <w:t>2.0</w:t>
                  </w:r>
                </w:p>
              </w:tc>
              <w:tc>
                <w:tcPr>
                  <w:tcW w:w="530" w:type="pct"/>
                  <w:vMerge w:val="restart"/>
                  <w:tcBorders>
                    <w:top w:val="nil"/>
                    <w:left w:val="single" w:color="auto" w:sz="4" w:space="0"/>
                    <w:right w:val="single" w:color="auto" w:sz="12" w:space="0"/>
                  </w:tcBorders>
                  <w:shd w:val="clear" w:color="auto" w:fill="auto"/>
                  <w:noWrap/>
                  <w:vAlign w:val="bottom"/>
                </w:tcPr>
                <w:p>
                  <w:pPr>
                    <w:widowControl/>
                    <w:jc w:val="center"/>
                    <w:rPr>
                      <w:kern w:val="0"/>
                      <w:szCs w:val="21"/>
                    </w:rPr>
                  </w:pPr>
                  <w:r>
                    <w:rPr>
                      <w:kern w:val="0"/>
                      <w:szCs w:val="21"/>
                    </w:rPr>
                    <w:t>2.0</w:t>
                  </w:r>
                </w:p>
              </w:tc>
            </w:tr>
            <w:tr>
              <w:tblPrEx>
                <w:tblCellMar>
                  <w:top w:w="0" w:type="dxa"/>
                  <w:left w:w="108" w:type="dxa"/>
                  <w:bottom w:w="0" w:type="dxa"/>
                  <w:right w:w="108" w:type="dxa"/>
                </w:tblCellMar>
              </w:tblPrEx>
              <w:trPr>
                <w:trHeight w:val="285" w:hRule="atLeast"/>
              </w:trPr>
              <w:tc>
                <w:tcPr>
                  <w:tcW w:w="648" w:type="pct"/>
                  <w:vMerge w:val="continue"/>
                  <w:tcBorders>
                    <w:top w:val="nil"/>
                    <w:left w:val="single" w:color="auto" w:sz="12" w:space="0"/>
                    <w:bottom w:val="single" w:color="auto" w:sz="4" w:space="0"/>
                    <w:right w:val="single" w:color="auto" w:sz="4" w:space="0"/>
                  </w:tcBorders>
                  <w:vAlign w:val="center"/>
                </w:tcPr>
                <w:p>
                  <w:pPr>
                    <w:widowControl/>
                    <w:jc w:val="left"/>
                    <w:rPr>
                      <w:kern w:val="0"/>
                      <w:szCs w:val="21"/>
                    </w:rPr>
                  </w:pPr>
                </w:p>
              </w:tc>
              <w:tc>
                <w:tcPr>
                  <w:tcW w:w="829" w:type="pct"/>
                  <w:vMerge w:val="continue"/>
                  <w:tcBorders>
                    <w:top w:val="nil"/>
                    <w:left w:val="single" w:color="auto" w:sz="4" w:space="0"/>
                    <w:bottom w:val="single" w:color="auto" w:sz="4" w:space="0"/>
                    <w:right w:val="single" w:color="auto" w:sz="4" w:space="0"/>
                  </w:tcBorders>
                  <w:vAlign w:val="center"/>
                </w:tcPr>
                <w:p>
                  <w:pPr>
                    <w:widowControl/>
                    <w:jc w:val="center"/>
                    <w:rPr>
                      <w:kern w:val="0"/>
                      <w:szCs w:val="21"/>
                    </w:rPr>
                  </w:pPr>
                </w:p>
              </w:tc>
              <w:tc>
                <w:tcPr>
                  <w:tcW w:w="915" w:type="pct"/>
                  <w:tcBorders>
                    <w:top w:val="nil"/>
                    <w:left w:val="nil"/>
                    <w:bottom w:val="single" w:color="auto" w:sz="4" w:space="0"/>
                    <w:right w:val="single" w:color="auto" w:sz="4" w:space="0"/>
                  </w:tcBorders>
                  <w:shd w:val="clear" w:color="auto" w:fill="auto"/>
                  <w:noWrap/>
                  <w:vAlign w:val="bottom"/>
                </w:tcPr>
                <w:p>
                  <w:pPr>
                    <w:widowControl/>
                    <w:jc w:val="center"/>
                    <w:rPr>
                      <w:kern w:val="0"/>
                      <w:szCs w:val="21"/>
                    </w:rPr>
                  </w:pPr>
                  <w:r>
                    <w:rPr>
                      <w:kern w:val="0"/>
                      <w:szCs w:val="21"/>
                    </w:rPr>
                    <w:t>—</w:t>
                  </w:r>
                </w:p>
              </w:tc>
              <w:tc>
                <w:tcPr>
                  <w:tcW w:w="749" w:type="pct"/>
                  <w:tcBorders>
                    <w:top w:val="nil"/>
                    <w:left w:val="nil"/>
                    <w:bottom w:val="single" w:color="auto" w:sz="4" w:space="0"/>
                    <w:right w:val="single" w:color="auto" w:sz="4" w:space="0"/>
                  </w:tcBorders>
                  <w:shd w:val="clear" w:color="auto" w:fill="auto"/>
                  <w:noWrap/>
                  <w:vAlign w:val="bottom"/>
                </w:tcPr>
                <w:p>
                  <w:pPr>
                    <w:widowControl/>
                    <w:jc w:val="center"/>
                    <w:rPr>
                      <w:kern w:val="0"/>
                      <w:szCs w:val="21"/>
                    </w:rPr>
                  </w:pPr>
                  <w:r>
                    <w:rPr>
                      <w:kern w:val="0"/>
                      <w:szCs w:val="21"/>
                      <w:bdr w:val="single" w:color="auto" w:sz="4" w:space="0"/>
                    </w:rPr>
                    <w:t>0.45</w:t>
                  </w:r>
                </w:p>
              </w:tc>
              <w:tc>
                <w:tcPr>
                  <w:tcW w:w="750" w:type="pct"/>
                  <w:vMerge w:val="continue"/>
                  <w:tcBorders>
                    <w:top w:val="nil"/>
                    <w:left w:val="single" w:color="auto" w:sz="4" w:space="0"/>
                    <w:bottom w:val="single" w:color="auto" w:sz="4" w:space="0"/>
                    <w:right w:val="single" w:color="auto" w:sz="4" w:space="0"/>
                  </w:tcBorders>
                  <w:vAlign w:val="center"/>
                </w:tcPr>
                <w:p>
                  <w:pPr>
                    <w:widowControl/>
                    <w:jc w:val="center"/>
                    <w:rPr>
                      <w:kern w:val="0"/>
                      <w:szCs w:val="21"/>
                    </w:rPr>
                  </w:pPr>
                </w:p>
              </w:tc>
              <w:tc>
                <w:tcPr>
                  <w:tcW w:w="579" w:type="pct"/>
                  <w:vMerge w:val="continue"/>
                  <w:tcBorders>
                    <w:top w:val="nil"/>
                    <w:left w:val="single" w:color="auto" w:sz="4" w:space="0"/>
                    <w:bottom w:val="single" w:color="auto" w:sz="4" w:space="0"/>
                    <w:right w:val="single" w:color="auto" w:sz="4" w:space="0"/>
                  </w:tcBorders>
                  <w:vAlign w:val="center"/>
                </w:tcPr>
                <w:p>
                  <w:pPr>
                    <w:widowControl/>
                    <w:jc w:val="center"/>
                    <w:rPr>
                      <w:kern w:val="0"/>
                      <w:szCs w:val="21"/>
                    </w:rPr>
                  </w:pPr>
                </w:p>
              </w:tc>
              <w:tc>
                <w:tcPr>
                  <w:tcW w:w="530" w:type="pct"/>
                  <w:vMerge w:val="continue"/>
                  <w:tcBorders>
                    <w:left w:val="single" w:color="auto" w:sz="4" w:space="0"/>
                    <w:bottom w:val="single" w:color="auto" w:sz="4" w:space="0"/>
                    <w:right w:val="single" w:color="auto" w:sz="12" w:space="0"/>
                  </w:tcBorders>
                  <w:vAlign w:val="center"/>
                </w:tcPr>
                <w:p>
                  <w:pPr>
                    <w:widowControl/>
                    <w:jc w:val="center"/>
                    <w:rPr>
                      <w:kern w:val="0"/>
                      <w:szCs w:val="21"/>
                    </w:rPr>
                  </w:pPr>
                </w:p>
              </w:tc>
            </w:tr>
            <w:tr>
              <w:tblPrEx>
                <w:tblCellMar>
                  <w:top w:w="0" w:type="dxa"/>
                  <w:left w:w="108" w:type="dxa"/>
                  <w:bottom w:w="0" w:type="dxa"/>
                  <w:right w:w="108" w:type="dxa"/>
                </w:tblCellMar>
              </w:tblPrEx>
              <w:trPr>
                <w:trHeight w:val="300" w:hRule="atLeast"/>
              </w:trPr>
              <w:tc>
                <w:tcPr>
                  <w:tcW w:w="648" w:type="pct"/>
                  <w:tcBorders>
                    <w:top w:val="nil"/>
                    <w:left w:val="single" w:color="auto" w:sz="12" w:space="0"/>
                    <w:bottom w:val="single" w:color="auto" w:sz="12" w:space="0"/>
                    <w:right w:val="single" w:color="auto" w:sz="4" w:space="0"/>
                  </w:tcBorders>
                  <w:shd w:val="clear" w:color="auto" w:fill="auto"/>
                  <w:vAlign w:val="bottom"/>
                </w:tcPr>
                <w:p>
                  <w:pPr>
                    <w:widowControl/>
                    <w:jc w:val="center"/>
                    <w:rPr>
                      <w:kern w:val="0"/>
                      <w:szCs w:val="21"/>
                    </w:rPr>
                  </w:pPr>
                  <w:r>
                    <w:rPr>
                      <w:kern w:val="0"/>
                      <w:szCs w:val="21"/>
                    </w:rPr>
                    <w:t>寒冷地区</w:t>
                  </w:r>
                </w:p>
              </w:tc>
              <w:tc>
                <w:tcPr>
                  <w:tcW w:w="829" w:type="pct"/>
                  <w:tcBorders>
                    <w:top w:val="nil"/>
                    <w:left w:val="nil"/>
                    <w:bottom w:val="single" w:color="auto" w:sz="12" w:space="0"/>
                    <w:right w:val="single" w:color="auto" w:sz="4" w:space="0"/>
                  </w:tcBorders>
                  <w:shd w:val="clear" w:color="auto" w:fill="auto"/>
                  <w:noWrap/>
                  <w:vAlign w:val="bottom"/>
                </w:tcPr>
                <w:p>
                  <w:pPr>
                    <w:widowControl/>
                    <w:jc w:val="center"/>
                    <w:rPr>
                      <w:kern w:val="0"/>
                      <w:szCs w:val="21"/>
                    </w:rPr>
                  </w:pPr>
                  <w:r>
                    <w:rPr>
                      <w:kern w:val="0"/>
                      <w:szCs w:val="21"/>
                      <w:bdr w:val="single" w:color="auto" w:sz="4" w:space="0"/>
                    </w:rPr>
                    <w:t>0.65</w:t>
                  </w:r>
                  <w:r>
                    <w:rPr>
                      <w:kern w:val="0"/>
                      <w:szCs w:val="21"/>
                    </w:rPr>
                    <w:t xml:space="preserve"> </w:t>
                  </w:r>
                  <w:r>
                    <w:rPr>
                      <w:kern w:val="0"/>
                      <w:szCs w:val="21"/>
                      <w:u w:val="single"/>
                    </w:rPr>
                    <w:t>0.45</w:t>
                  </w:r>
                </w:p>
              </w:tc>
              <w:tc>
                <w:tcPr>
                  <w:tcW w:w="915" w:type="pct"/>
                  <w:tcBorders>
                    <w:top w:val="nil"/>
                    <w:left w:val="nil"/>
                    <w:bottom w:val="single" w:color="auto" w:sz="12" w:space="0"/>
                    <w:right w:val="single" w:color="auto" w:sz="4" w:space="0"/>
                  </w:tcBorders>
                  <w:shd w:val="clear" w:color="auto" w:fill="auto"/>
                  <w:noWrap/>
                  <w:vAlign w:val="bottom"/>
                </w:tcPr>
                <w:p>
                  <w:pPr>
                    <w:widowControl/>
                    <w:jc w:val="center"/>
                    <w:rPr>
                      <w:kern w:val="0"/>
                      <w:szCs w:val="21"/>
                    </w:rPr>
                  </w:pPr>
                  <w:r>
                    <w:rPr>
                      <w:kern w:val="0"/>
                      <w:szCs w:val="21"/>
                      <w:bdr w:val="single" w:color="auto" w:sz="4" w:space="0"/>
                    </w:rPr>
                    <w:t>0.50</w:t>
                  </w:r>
                  <w:r>
                    <w:rPr>
                      <w:kern w:val="0"/>
                      <w:szCs w:val="21"/>
                    </w:rPr>
                    <w:t xml:space="preserve"> </w:t>
                  </w:r>
                  <w:r>
                    <w:rPr>
                      <w:kern w:val="0"/>
                      <w:szCs w:val="21"/>
                      <w:u w:val="single"/>
                    </w:rPr>
                    <w:t>0.30</w:t>
                  </w:r>
                </w:p>
              </w:tc>
              <w:tc>
                <w:tcPr>
                  <w:tcW w:w="749" w:type="pct"/>
                  <w:tcBorders>
                    <w:top w:val="nil"/>
                    <w:left w:val="nil"/>
                    <w:bottom w:val="single" w:color="auto" w:sz="12" w:space="0"/>
                    <w:right w:val="single" w:color="auto" w:sz="8" w:space="0"/>
                  </w:tcBorders>
                  <w:shd w:val="clear" w:color="auto" w:fill="auto"/>
                  <w:noWrap/>
                  <w:vAlign w:val="bottom"/>
                </w:tcPr>
                <w:p>
                  <w:pPr>
                    <w:widowControl/>
                    <w:jc w:val="center"/>
                    <w:rPr>
                      <w:kern w:val="0"/>
                      <w:szCs w:val="21"/>
                      <w:u w:val="single"/>
                    </w:rPr>
                  </w:pPr>
                  <w:r>
                    <w:rPr>
                      <w:kern w:val="0"/>
                      <w:szCs w:val="21"/>
                      <w:bdr w:val="single" w:color="auto" w:sz="4" w:space="0"/>
                    </w:rPr>
                    <w:t>—</w:t>
                  </w:r>
                </w:p>
              </w:tc>
              <w:tc>
                <w:tcPr>
                  <w:tcW w:w="750" w:type="pct"/>
                  <w:tcBorders>
                    <w:top w:val="nil"/>
                    <w:left w:val="single" w:color="auto" w:sz="8" w:space="0"/>
                    <w:bottom w:val="single" w:color="auto" w:sz="12" w:space="0"/>
                    <w:right w:val="single" w:color="auto" w:sz="4" w:space="0"/>
                  </w:tcBorders>
                  <w:shd w:val="clear" w:color="auto" w:fill="auto"/>
                  <w:vAlign w:val="center"/>
                </w:tcPr>
                <w:p>
                  <w:pPr>
                    <w:widowControl/>
                    <w:jc w:val="center"/>
                    <w:rPr>
                      <w:kern w:val="0"/>
                      <w:szCs w:val="21"/>
                    </w:rPr>
                  </w:pPr>
                  <w:r>
                    <w:rPr>
                      <w:kern w:val="0"/>
                      <w:szCs w:val="21"/>
                      <w:bdr w:val="single" w:color="auto" w:sz="4" w:space="0"/>
                    </w:rPr>
                    <w:t>2.8</w:t>
                  </w:r>
                  <w:r>
                    <w:rPr>
                      <w:kern w:val="0"/>
                      <w:szCs w:val="21"/>
                    </w:rPr>
                    <w:t xml:space="preserve"> </w:t>
                  </w:r>
                  <w:r>
                    <w:rPr>
                      <w:kern w:val="0"/>
                      <w:szCs w:val="21"/>
                      <w:u w:val="single"/>
                    </w:rPr>
                    <w:t>2.5</w:t>
                  </w:r>
                </w:p>
              </w:tc>
              <w:tc>
                <w:tcPr>
                  <w:tcW w:w="579" w:type="pct"/>
                  <w:tcBorders>
                    <w:top w:val="nil"/>
                    <w:left w:val="nil"/>
                    <w:bottom w:val="single" w:color="auto" w:sz="12" w:space="0"/>
                    <w:right w:val="single" w:color="auto" w:sz="4" w:space="0"/>
                  </w:tcBorders>
                  <w:shd w:val="clear" w:color="auto" w:fill="auto"/>
                  <w:noWrap/>
                  <w:vAlign w:val="bottom"/>
                </w:tcPr>
                <w:p>
                  <w:pPr>
                    <w:widowControl/>
                    <w:jc w:val="center"/>
                    <w:rPr>
                      <w:kern w:val="0"/>
                      <w:szCs w:val="21"/>
                    </w:rPr>
                  </w:pPr>
                  <w:r>
                    <w:rPr>
                      <w:kern w:val="0"/>
                      <w:szCs w:val="21"/>
                    </w:rPr>
                    <w:t>2.5</w:t>
                  </w:r>
                </w:p>
              </w:tc>
              <w:tc>
                <w:tcPr>
                  <w:tcW w:w="530" w:type="pct"/>
                  <w:tcBorders>
                    <w:top w:val="nil"/>
                    <w:left w:val="nil"/>
                    <w:bottom w:val="single" w:color="auto" w:sz="12" w:space="0"/>
                    <w:right w:val="single" w:color="auto" w:sz="12" w:space="0"/>
                  </w:tcBorders>
                  <w:shd w:val="clear" w:color="auto" w:fill="auto"/>
                  <w:noWrap/>
                  <w:vAlign w:val="bottom"/>
                </w:tcPr>
                <w:p>
                  <w:pPr>
                    <w:widowControl/>
                    <w:jc w:val="center"/>
                    <w:rPr>
                      <w:kern w:val="0"/>
                      <w:szCs w:val="21"/>
                    </w:rPr>
                  </w:pPr>
                  <w:r>
                    <w:rPr>
                      <w:kern w:val="0"/>
                      <w:szCs w:val="21"/>
                    </w:rPr>
                    <w:t>2.5</w:t>
                  </w:r>
                </w:p>
              </w:tc>
            </w:tr>
          </w:tbl>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5.2.2</w:t>
            </w:r>
            <w:r>
              <w:rPr>
                <w:rFonts w:ascii="宋体" w:hAnsi="宋体"/>
                <w:sz w:val="24"/>
              </w:rPr>
              <w:t xml:space="preserve">  夏热冬冷和</w:t>
            </w:r>
            <w:r>
              <w:rPr>
                <w:rFonts w:hint="eastAsia" w:ascii="宋体" w:hAnsi="宋体"/>
                <w:sz w:val="24"/>
              </w:rPr>
              <w:t>、</w:t>
            </w:r>
            <w:r>
              <w:rPr>
                <w:rFonts w:ascii="宋体" w:hAnsi="宋体"/>
                <w:sz w:val="24"/>
              </w:rPr>
              <w:t>夏热冬暖地区农村居住建筑围护结构的传热系数、热惰性指标及遮阳系数，宜符合表5.2.2的规定。</w:t>
            </w:r>
          </w:p>
          <w:p>
            <w:pPr>
              <w:spacing w:line="360" w:lineRule="auto"/>
              <w:jc w:val="center"/>
              <w:rPr>
                <w:rFonts w:ascii="宋体" w:hAnsi="宋体"/>
                <w:b/>
                <w:sz w:val="24"/>
              </w:rPr>
            </w:pPr>
            <w:r>
              <w:rPr>
                <w:rFonts w:ascii="宋体" w:hAnsi="宋体"/>
                <w:b/>
                <w:sz w:val="24"/>
              </w:rPr>
              <w:t>表5.2.2  夏热冬冷和</w:t>
            </w:r>
            <w:r>
              <w:rPr>
                <w:rFonts w:hint="eastAsia" w:ascii="宋体" w:hAnsi="宋体"/>
                <w:b/>
                <w:sz w:val="24"/>
              </w:rPr>
              <w:t>、</w:t>
            </w:r>
            <w:r>
              <w:rPr>
                <w:rFonts w:ascii="宋体" w:hAnsi="宋体"/>
                <w:b/>
                <w:sz w:val="24"/>
              </w:rPr>
              <w:t>夏热冬暖地区围护结构传热系数、热惰性指标</w:t>
            </w:r>
          </w:p>
          <w:p>
            <w:pPr>
              <w:spacing w:line="360" w:lineRule="auto"/>
              <w:jc w:val="center"/>
              <w:rPr>
                <w:rFonts w:ascii="宋体" w:hAnsi="宋体"/>
                <w:b/>
                <w:sz w:val="24"/>
              </w:rPr>
            </w:pPr>
            <w:r>
              <w:rPr>
                <w:rFonts w:ascii="宋体" w:hAnsi="宋体"/>
                <w:b/>
                <w:sz w:val="24"/>
              </w:rPr>
              <w:t>及遮阳系数的限值</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68" w:type="dxa"/>
                <w:left w:w="108" w:type="dxa"/>
                <w:bottom w:w="57" w:type="dxa"/>
                <w:right w:w="108" w:type="dxa"/>
              </w:tblCellMar>
            </w:tblPr>
            <w:tblGrid>
              <w:gridCol w:w="502"/>
              <w:gridCol w:w="601"/>
              <w:gridCol w:w="572"/>
              <w:gridCol w:w="571"/>
              <w:gridCol w:w="552"/>
              <w:gridCol w:w="4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360" w:hRule="atLeast"/>
                <w:jc w:val="center"/>
              </w:trPr>
              <w:tc>
                <w:tcPr>
                  <w:tcW w:w="764" w:type="pct"/>
                  <w:vMerge w:val="restart"/>
                  <w:shd w:val="clear" w:color="auto" w:fill="auto"/>
                  <w:vAlign w:val="center"/>
                </w:tcPr>
                <w:p>
                  <w:pPr>
                    <w:jc w:val="center"/>
                    <w:rPr>
                      <w:rFonts w:ascii="宋体" w:hAnsi="宋体"/>
                      <w:bCs/>
                      <w:szCs w:val="21"/>
                    </w:rPr>
                  </w:pPr>
                  <w:r>
                    <w:rPr>
                      <w:rFonts w:ascii="宋体" w:hAnsi="宋体"/>
                      <w:bCs/>
                      <w:szCs w:val="21"/>
                    </w:rPr>
                    <w:t>建筑气候分区</w:t>
                  </w:r>
                </w:p>
              </w:tc>
              <w:tc>
                <w:tcPr>
                  <w:tcW w:w="4236" w:type="pct"/>
                  <w:gridSpan w:val="5"/>
                  <w:shd w:val="clear" w:color="auto" w:fill="auto"/>
                  <w:vAlign w:val="center"/>
                </w:tcPr>
                <w:p>
                  <w:pPr>
                    <w:ind w:firstLine="210" w:firstLineChars="100"/>
                    <w:jc w:val="center"/>
                    <w:rPr>
                      <w:rFonts w:ascii="宋体" w:hAnsi="宋体"/>
                      <w:bCs/>
                      <w:szCs w:val="21"/>
                    </w:rPr>
                  </w:pPr>
                  <w:r>
                    <w:rPr>
                      <w:rFonts w:ascii="宋体" w:hAnsi="宋体"/>
                      <w:bCs/>
                      <w:szCs w:val="21"/>
                    </w:rPr>
                    <w:t>围护结构部位的传热系数K[ W/(m</w:t>
                  </w:r>
                  <w:r>
                    <w:rPr>
                      <w:rFonts w:ascii="宋体" w:hAnsi="宋体"/>
                      <w:kern w:val="0"/>
                      <w:szCs w:val="21"/>
                      <w:vertAlign w:val="superscript"/>
                    </w:rPr>
                    <w:t>2</w:t>
                  </w:r>
                  <w:r>
                    <w:rPr>
                      <w:rFonts w:ascii="宋体" w:hAnsi="宋体"/>
                      <w:bCs/>
                      <w:szCs w:val="21"/>
                    </w:rPr>
                    <w:t>·K)]、热惰性指标D及遮阳系数SC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285" w:hRule="atLeast"/>
                <w:jc w:val="center"/>
              </w:trPr>
              <w:tc>
                <w:tcPr>
                  <w:tcW w:w="764" w:type="pct"/>
                  <w:vMerge w:val="continue"/>
                  <w:shd w:val="clear" w:color="auto" w:fill="auto"/>
                  <w:vAlign w:val="center"/>
                </w:tcPr>
                <w:p>
                  <w:pPr>
                    <w:ind w:firstLine="210" w:firstLineChars="100"/>
                    <w:jc w:val="center"/>
                    <w:rPr>
                      <w:rFonts w:ascii="宋体" w:hAnsi="宋体"/>
                      <w:bCs/>
                      <w:szCs w:val="21"/>
                    </w:rPr>
                  </w:pPr>
                </w:p>
              </w:tc>
              <w:tc>
                <w:tcPr>
                  <w:tcW w:w="916" w:type="pct"/>
                  <w:vMerge w:val="restart"/>
                  <w:shd w:val="clear" w:color="auto" w:fill="auto"/>
                  <w:vAlign w:val="center"/>
                </w:tcPr>
                <w:p>
                  <w:pPr>
                    <w:jc w:val="center"/>
                    <w:rPr>
                      <w:rFonts w:ascii="宋体" w:hAnsi="宋体"/>
                      <w:bCs/>
                      <w:szCs w:val="21"/>
                    </w:rPr>
                  </w:pPr>
                  <w:r>
                    <w:rPr>
                      <w:rFonts w:ascii="宋体" w:hAnsi="宋体"/>
                      <w:bCs/>
                      <w:szCs w:val="21"/>
                    </w:rPr>
                    <w:t>外墙</w:t>
                  </w:r>
                </w:p>
              </w:tc>
              <w:tc>
                <w:tcPr>
                  <w:tcW w:w="871" w:type="pct"/>
                  <w:vMerge w:val="restart"/>
                  <w:shd w:val="clear" w:color="auto" w:fill="auto"/>
                  <w:vAlign w:val="center"/>
                </w:tcPr>
                <w:p>
                  <w:pPr>
                    <w:jc w:val="center"/>
                    <w:rPr>
                      <w:rFonts w:ascii="宋体" w:hAnsi="宋体"/>
                      <w:bCs/>
                      <w:szCs w:val="21"/>
                    </w:rPr>
                  </w:pPr>
                  <w:r>
                    <w:rPr>
                      <w:rFonts w:ascii="宋体" w:hAnsi="宋体"/>
                      <w:bCs/>
                      <w:szCs w:val="21"/>
                    </w:rPr>
                    <w:t>屋面</w:t>
                  </w:r>
                </w:p>
              </w:tc>
              <w:tc>
                <w:tcPr>
                  <w:tcW w:w="870" w:type="pct"/>
                  <w:vMerge w:val="restart"/>
                  <w:shd w:val="clear" w:color="auto" w:fill="auto"/>
                  <w:vAlign w:val="center"/>
                </w:tcPr>
                <w:p>
                  <w:pPr>
                    <w:jc w:val="center"/>
                    <w:rPr>
                      <w:rFonts w:ascii="宋体" w:hAnsi="宋体"/>
                      <w:bCs/>
                      <w:szCs w:val="21"/>
                    </w:rPr>
                  </w:pPr>
                  <w:r>
                    <w:rPr>
                      <w:rFonts w:ascii="宋体" w:hAnsi="宋体"/>
                      <w:bCs/>
                      <w:szCs w:val="21"/>
                    </w:rPr>
                    <w:t>户门</w:t>
                  </w:r>
                </w:p>
              </w:tc>
              <w:tc>
                <w:tcPr>
                  <w:tcW w:w="1579" w:type="pct"/>
                  <w:gridSpan w:val="2"/>
                  <w:shd w:val="clear" w:color="auto" w:fill="auto"/>
                  <w:vAlign w:val="center"/>
                </w:tcPr>
                <w:p>
                  <w:pPr>
                    <w:jc w:val="center"/>
                    <w:rPr>
                      <w:rFonts w:ascii="宋体" w:hAnsi="宋体"/>
                      <w:bCs/>
                      <w:szCs w:val="21"/>
                    </w:rPr>
                  </w:pPr>
                  <w:r>
                    <w:rPr>
                      <w:rFonts w:ascii="宋体" w:hAnsi="宋体"/>
                      <w:bCs/>
                      <w:szCs w:val="21"/>
                    </w:rPr>
                    <w:t>外窗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646" w:hRule="atLeast"/>
                <w:jc w:val="center"/>
              </w:trPr>
              <w:tc>
                <w:tcPr>
                  <w:tcW w:w="764" w:type="pct"/>
                  <w:vMerge w:val="continue"/>
                  <w:shd w:val="clear" w:color="auto" w:fill="auto"/>
                  <w:vAlign w:val="center"/>
                </w:tcPr>
                <w:p>
                  <w:pPr>
                    <w:ind w:firstLine="210" w:firstLineChars="100"/>
                    <w:jc w:val="center"/>
                    <w:rPr>
                      <w:rFonts w:ascii="宋体" w:hAnsi="宋体"/>
                      <w:bCs/>
                      <w:szCs w:val="21"/>
                    </w:rPr>
                  </w:pPr>
                </w:p>
              </w:tc>
              <w:tc>
                <w:tcPr>
                  <w:tcW w:w="916" w:type="pct"/>
                  <w:vMerge w:val="continue"/>
                  <w:shd w:val="clear" w:color="auto" w:fill="auto"/>
                  <w:vAlign w:val="center"/>
                </w:tcPr>
                <w:p>
                  <w:pPr>
                    <w:jc w:val="center"/>
                    <w:rPr>
                      <w:rFonts w:ascii="宋体" w:hAnsi="宋体"/>
                      <w:bCs/>
                      <w:szCs w:val="21"/>
                    </w:rPr>
                  </w:pPr>
                </w:p>
              </w:tc>
              <w:tc>
                <w:tcPr>
                  <w:tcW w:w="871" w:type="pct"/>
                  <w:vMerge w:val="continue"/>
                  <w:shd w:val="clear" w:color="auto" w:fill="auto"/>
                  <w:vAlign w:val="center"/>
                </w:tcPr>
                <w:p>
                  <w:pPr>
                    <w:jc w:val="center"/>
                    <w:rPr>
                      <w:rFonts w:ascii="宋体" w:hAnsi="宋体"/>
                      <w:bCs/>
                      <w:szCs w:val="21"/>
                    </w:rPr>
                  </w:pPr>
                </w:p>
              </w:tc>
              <w:tc>
                <w:tcPr>
                  <w:tcW w:w="870" w:type="pct"/>
                  <w:vMerge w:val="continue"/>
                  <w:shd w:val="clear" w:color="auto" w:fill="auto"/>
                  <w:vAlign w:val="center"/>
                </w:tcPr>
                <w:p>
                  <w:pPr>
                    <w:jc w:val="center"/>
                    <w:rPr>
                      <w:rFonts w:ascii="宋体" w:hAnsi="宋体"/>
                      <w:bCs/>
                      <w:szCs w:val="21"/>
                    </w:rPr>
                  </w:pPr>
                </w:p>
              </w:tc>
              <w:tc>
                <w:tcPr>
                  <w:tcW w:w="840" w:type="pct"/>
                  <w:shd w:val="clear" w:color="auto" w:fill="auto"/>
                  <w:vAlign w:val="center"/>
                </w:tcPr>
                <w:p>
                  <w:pPr>
                    <w:jc w:val="center"/>
                    <w:rPr>
                      <w:rFonts w:ascii="宋体" w:hAnsi="宋体"/>
                      <w:bCs/>
                      <w:spacing w:val="-60"/>
                      <w:szCs w:val="21"/>
                    </w:rPr>
                  </w:pPr>
                  <w:r>
                    <w:rPr>
                      <w:rFonts w:ascii="宋体" w:hAnsi="宋体"/>
                      <w:bCs/>
                      <w:szCs w:val="21"/>
                    </w:rPr>
                    <w:t>卧室、起居室</w:t>
                  </w:r>
                </w:p>
              </w:tc>
              <w:tc>
                <w:tcPr>
                  <w:tcW w:w="739" w:type="pct"/>
                  <w:shd w:val="clear" w:color="auto" w:fill="auto"/>
                  <w:vAlign w:val="center"/>
                </w:tcPr>
                <w:p>
                  <w:pPr>
                    <w:jc w:val="center"/>
                    <w:rPr>
                      <w:rFonts w:ascii="宋体" w:hAnsi="宋体"/>
                      <w:bCs/>
                      <w:szCs w:val="21"/>
                    </w:rPr>
                  </w:pPr>
                  <w:r>
                    <w:rPr>
                      <w:rFonts w:ascii="宋体" w:hAnsi="宋体"/>
                      <w:bCs/>
                      <w:szCs w:val="21"/>
                    </w:rPr>
                    <w:t>厨房、卫生间、储藏间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1134" w:hRule="atLeast"/>
                <w:jc w:val="center"/>
              </w:trPr>
              <w:tc>
                <w:tcPr>
                  <w:tcW w:w="764" w:type="pct"/>
                  <w:shd w:val="clear" w:color="auto" w:fill="auto"/>
                  <w:textDirection w:val="tbRlV"/>
                  <w:vAlign w:val="center"/>
                </w:tcPr>
                <w:p>
                  <w:pPr>
                    <w:ind w:left="1575" w:right="113" w:hanging="1575" w:hangingChars="750"/>
                    <w:jc w:val="center"/>
                    <w:rPr>
                      <w:rFonts w:ascii="宋体" w:hAnsi="宋体"/>
                      <w:bCs/>
                      <w:szCs w:val="21"/>
                    </w:rPr>
                  </w:pPr>
                  <w:r>
                    <w:rPr>
                      <w:rFonts w:ascii="宋体" w:hAnsi="宋体"/>
                      <w:bCs/>
                      <w:szCs w:val="21"/>
                    </w:rPr>
                    <w:t>夏热冬冷地区</w:t>
                  </w:r>
                </w:p>
              </w:tc>
              <w:tc>
                <w:tcPr>
                  <w:tcW w:w="916" w:type="pct"/>
                  <w:shd w:val="clear" w:color="auto" w:fill="auto"/>
                  <w:vAlign w:val="center"/>
                </w:tcPr>
                <w:p>
                  <w:pPr>
                    <w:jc w:val="center"/>
                    <w:rPr>
                      <w:rFonts w:ascii="宋体" w:hAnsi="宋体"/>
                      <w:bCs/>
                      <w:szCs w:val="21"/>
                    </w:rPr>
                  </w:pPr>
                  <w:r>
                    <w:rPr>
                      <w:rFonts w:ascii="宋体" w:hAnsi="宋体"/>
                      <w:bCs/>
                      <w:szCs w:val="21"/>
                    </w:rPr>
                    <w:t>K≤1.8，D≥2.5</w:t>
                  </w:r>
                </w:p>
                <w:p>
                  <w:pPr>
                    <w:jc w:val="center"/>
                    <w:rPr>
                      <w:rFonts w:ascii="宋体" w:hAnsi="宋体"/>
                      <w:bCs/>
                      <w:szCs w:val="21"/>
                    </w:rPr>
                  </w:pPr>
                  <w:r>
                    <w:rPr>
                      <w:rFonts w:ascii="宋体" w:hAnsi="宋体"/>
                      <w:bCs/>
                      <w:szCs w:val="21"/>
                    </w:rPr>
                    <w:t>K≤1.5，D＜2.5</w:t>
                  </w:r>
                </w:p>
              </w:tc>
              <w:tc>
                <w:tcPr>
                  <w:tcW w:w="871" w:type="pct"/>
                  <w:shd w:val="clear" w:color="auto" w:fill="auto"/>
                  <w:vAlign w:val="center"/>
                </w:tcPr>
                <w:p>
                  <w:pPr>
                    <w:jc w:val="center"/>
                    <w:rPr>
                      <w:rFonts w:ascii="宋体" w:hAnsi="宋体"/>
                      <w:bCs/>
                      <w:szCs w:val="21"/>
                    </w:rPr>
                  </w:pPr>
                  <w:r>
                    <w:rPr>
                      <w:rFonts w:ascii="宋体" w:hAnsi="宋体"/>
                      <w:bCs/>
                      <w:szCs w:val="21"/>
                    </w:rPr>
                    <w:t>K≤1.0，D≥2.5</w:t>
                  </w:r>
                </w:p>
                <w:p>
                  <w:pPr>
                    <w:jc w:val="center"/>
                    <w:rPr>
                      <w:rFonts w:ascii="宋体" w:hAnsi="宋体"/>
                      <w:bCs/>
                      <w:szCs w:val="21"/>
                    </w:rPr>
                  </w:pPr>
                  <w:r>
                    <w:rPr>
                      <w:rFonts w:ascii="宋体" w:hAnsi="宋体"/>
                      <w:bCs/>
                      <w:szCs w:val="21"/>
                    </w:rPr>
                    <w:t>K≤0.8，D＜2.5</w:t>
                  </w:r>
                </w:p>
              </w:tc>
              <w:tc>
                <w:tcPr>
                  <w:tcW w:w="870" w:type="pct"/>
                  <w:shd w:val="clear" w:color="auto" w:fill="auto"/>
                  <w:vAlign w:val="center"/>
                </w:tcPr>
                <w:p>
                  <w:pPr>
                    <w:jc w:val="center"/>
                    <w:rPr>
                      <w:rFonts w:ascii="宋体" w:hAnsi="宋体"/>
                      <w:bCs/>
                      <w:szCs w:val="21"/>
                    </w:rPr>
                  </w:pPr>
                  <w:r>
                    <w:rPr>
                      <w:rFonts w:ascii="宋体" w:hAnsi="宋体"/>
                      <w:bCs/>
                      <w:szCs w:val="21"/>
                    </w:rPr>
                    <w:t>K≤3.0</w:t>
                  </w:r>
                </w:p>
              </w:tc>
              <w:tc>
                <w:tcPr>
                  <w:tcW w:w="840" w:type="pct"/>
                  <w:shd w:val="clear" w:color="auto" w:fill="auto"/>
                  <w:vAlign w:val="center"/>
                </w:tcPr>
                <w:p>
                  <w:pPr>
                    <w:jc w:val="center"/>
                    <w:rPr>
                      <w:rFonts w:ascii="宋体" w:hAnsi="宋体"/>
                      <w:bCs/>
                      <w:szCs w:val="21"/>
                    </w:rPr>
                  </w:pPr>
                  <w:r>
                    <w:rPr>
                      <w:rFonts w:ascii="宋体" w:hAnsi="宋体"/>
                      <w:bCs/>
                      <w:szCs w:val="21"/>
                    </w:rPr>
                    <w:t>K≤3.2</w:t>
                  </w:r>
                </w:p>
              </w:tc>
              <w:tc>
                <w:tcPr>
                  <w:tcW w:w="739" w:type="pct"/>
                  <w:shd w:val="clear" w:color="auto" w:fill="auto"/>
                  <w:vAlign w:val="center"/>
                </w:tcPr>
                <w:p>
                  <w:pPr>
                    <w:jc w:val="center"/>
                    <w:rPr>
                      <w:rFonts w:ascii="宋体" w:hAnsi="宋体"/>
                      <w:bCs/>
                      <w:szCs w:val="21"/>
                    </w:rPr>
                  </w:pPr>
                  <w:r>
                    <w:rPr>
                      <w:rFonts w:ascii="宋体" w:hAnsi="宋体"/>
                      <w:bCs/>
                      <w:szCs w:val="21"/>
                    </w:rPr>
                    <w:t>K≤4.7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1134" w:hRule="atLeast"/>
                <w:jc w:val="center"/>
              </w:trPr>
              <w:tc>
                <w:tcPr>
                  <w:tcW w:w="764" w:type="pct"/>
                  <w:shd w:val="clear" w:color="auto" w:fill="auto"/>
                  <w:textDirection w:val="tbRlV"/>
                  <w:vAlign w:val="center"/>
                </w:tcPr>
                <w:p>
                  <w:pPr>
                    <w:ind w:left="1575" w:right="113" w:hanging="1575" w:hangingChars="750"/>
                    <w:jc w:val="center"/>
                    <w:rPr>
                      <w:rFonts w:ascii="宋体" w:hAnsi="宋体"/>
                      <w:bCs/>
                      <w:szCs w:val="21"/>
                    </w:rPr>
                  </w:pPr>
                  <w:r>
                    <w:rPr>
                      <w:rFonts w:ascii="宋体" w:hAnsi="宋体"/>
                      <w:bCs/>
                      <w:szCs w:val="21"/>
                    </w:rPr>
                    <w:t>夏热冬暖地区</w:t>
                  </w:r>
                </w:p>
              </w:tc>
              <w:tc>
                <w:tcPr>
                  <w:tcW w:w="916" w:type="pct"/>
                  <w:shd w:val="clear" w:color="auto" w:fill="auto"/>
                  <w:vAlign w:val="center"/>
                </w:tcPr>
                <w:p>
                  <w:pPr>
                    <w:jc w:val="center"/>
                    <w:rPr>
                      <w:rFonts w:ascii="宋体" w:hAnsi="宋体"/>
                      <w:bCs/>
                      <w:szCs w:val="21"/>
                    </w:rPr>
                  </w:pPr>
                  <w:r>
                    <w:rPr>
                      <w:rFonts w:ascii="宋体" w:hAnsi="宋体"/>
                      <w:bCs/>
                      <w:szCs w:val="21"/>
                    </w:rPr>
                    <w:t>K≤2.0，D≥2.5</w:t>
                  </w:r>
                </w:p>
                <w:p>
                  <w:pPr>
                    <w:jc w:val="center"/>
                    <w:rPr>
                      <w:rFonts w:ascii="宋体" w:hAnsi="宋体"/>
                      <w:bCs/>
                      <w:szCs w:val="21"/>
                    </w:rPr>
                  </w:pPr>
                  <w:r>
                    <w:rPr>
                      <w:rFonts w:ascii="宋体" w:hAnsi="宋体"/>
                      <w:bCs/>
                      <w:szCs w:val="21"/>
                    </w:rPr>
                    <w:t>K≤1.2，D＜2.5</w:t>
                  </w:r>
                </w:p>
              </w:tc>
              <w:tc>
                <w:tcPr>
                  <w:tcW w:w="871" w:type="pct"/>
                  <w:shd w:val="clear" w:color="auto" w:fill="auto"/>
                  <w:vAlign w:val="center"/>
                </w:tcPr>
                <w:p>
                  <w:pPr>
                    <w:jc w:val="center"/>
                    <w:rPr>
                      <w:rFonts w:ascii="宋体" w:hAnsi="宋体"/>
                      <w:bCs/>
                      <w:szCs w:val="21"/>
                    </w:rPr>
                  </w:pPr>
                  <w:r>
                    <w:rPr>
                      <w:rFonts w:ascii="宋体" w:hAnsi="宋体"/>
                      <w:bCs/>
                      <w:szCs w:val="21"/>
                    </w:rPr>
                    <w:t>K≤1.0，D≥2.5</w:t>
                  </w:r>
                </w:p>
                <w:p>
                  <w:pPr>
                    <w:jc w:val="center"/>
                    <w:rPr>
                      <w:rFonts w:ascii="宋体" w:hAnsi="宋体"/>
                      <w:bCs/>
                      <w:szCs w:val="21"/>
                    </w:rPr>
                  </w:pPr>
                  <w:r>
                    <w:rPr>
                      <w:rFonts w:ascii="宋体" w:hAnsi="宋体"/>
                      <w:bCs/>
                      <w:szCs w:val="21"/>
                    </w:rPr>
                    <w:t>K≤0.8，D＜2.5</w:t>
                  </w:r>
                </w:p>
              </w:tc>
              <w:tc>
                <w:tcPr>
                  <w:tcW w:w="870" w:type="pct"/>
                  <w:shd w:val="clear" w:color="auto" w:fill="auto"/>
                  <w:vAlign w:val="center"/>
                </w:tcPr>
                <w:p>
                  <w:pPr>
                    <w:jc w:val="center"/>
                    <w:rPr>
                      <w:rFonts w:ascii="宋体" w:hAnsi="宋体"/>
                      <w:bCs/>
                      <w:szCs w:val="21"/>
                    </w:rPr>
                  </w:pPr>
                  <w:r>
                    <w:rPr>
                      <w:rFonts w:ascii="宋体" w:hAnsi="宋体"/>
                      <w:kern w:val="0"/>
                      <w:szCs w:val="21"/>
                    </w:rPr>
                    <w:t>—</w:t>
                  </w:r>
                </w:p>
              </w:tc>
              <w:tc>
                <w:tcPr>
                  <w:tcW w:w="840" w:type="pct"/>
                  <w:shd w:val="clear" w:color="auto" w:fill="auto"/>
                  <w:vAlign w:val="center"/>
                </w:tcPr>
                <w:p>
                  <w:pPr>
                    <w:jc w:val="center"/>
                    <w:rPr>
                      <w:rFonts w:ascii="宋体" w:hAnsi="宋体"/>
                      <w:bCs/>
                      <w:szCs w:val="21"/>
                    </w:rPr>
                  </w:pPr>
                  <w:r>
                    <w:rPr>
                      <w:rFonts w:ascii="宋体" w:hAnsi="宋体"/>
                      <w:bCs/>
                      <w:szCs w:val="21"/>
                    </w:rPr>
                    <w:t>K≤4.0</w:t>
                  </w:r>
                </w:p>
                <w:p>
                  <w:pPr>
                    <w:jc w:val="center"/>
                    <w:rPr>
                      <w:rFonts w:ascii="宋体" w:hAnsi="宋体"/>
                      <w:bCs/>
                      <w:szCs w:val="21"/>
                    </w:rPr>
                  </w:pPr>
                  <w:r>
                    <w:rPr>
                      <w:rFonts w:hint="eastAsia" w:ascii="宋体" w:hAnsi="宋体"/>
                      <w:bCs/>
                      <w:szCs w:val="21"/>
                    </w:rPr>
                    <w:t>S</w:t>
                  </w:r>
                  <w:r>
                    <w:rPr>
                      <w:rFonts w:ascii="宋体" w:hAnsi="宋体"/>
                      <w:bCs/>
                      <w:szCs w:val="21"/>
                    </w:rPr>
                    <w:t>HGCSC≤0.5</w:t>
                  </w:r>
                </w:p>
              </w:tc>
              <w:tc>
                <w:tcPr>
                  <w:tcW w:w="739" w:type="pct"/>
                  <w:shd w:val="clear" w:color="auto" w:fill="auto"/>
                  <w:vAlign w:val="center"/>
                </w:tcPr>
                <w:p>
                  <w:pPr>
                    <w:jc w:val="center"/>
                    <w:rPr>
                      <w:rFonts w:ascii="宋体" w:hAnsi="宋体"/>
                      <w:bCs/>
                      <w:szCs w:val="21"/>
                    </w:rPr>
                  </w:pPr>
                  <w:r>
                    <w:rPr>
                      <w:rFonts w:ascii="宋体" w:hAnsi="宋体"/>
                      <w:kern w:val="0"/>
                      <w:szCs w:val="21"/>
                    </w:rPr>
                    <w:t>—</w:t>
                  </w:r>
                </w:p>
              </w:tc>
            </w:tr>
          </w:tbl>
          <w:p>
            <w:pPr>
              <w:spacing w:line="360" w:lineRule="auto"/>
              <w:jc w:val="center"/>
              <w:rPr>
                <w:rFonts w:ascii="宋体" w:hAnsi="宋体"/>
                <w:sz w:val="24"/>
              </w:rPr>
            </w:pPr>
          </w:p>
        </w:tc>
        <w:tc>
          <w:tcPr>
            <w:tcW w:w="4753" w:type="dxa"/>
          </w:tcPr>
          <w:p>
            <w:pPr>
              <w:spacing w:line="360" w:lineRule="auto"/>
              <w:rPr>
                <w:rFonts w:ascii="宋体" w:hAnsi="宋体"/>
                <w:sz w:val="24"/>
              </w:rPr>
            </w:pPr>
            <w:r>
              <w:rPr>
                <w:rFonts w:ascii="宋体" w:hAnsi="宋体"/>
                <w:b/>
                <w:sz w:val="24"/>
              </w:rPr>
              <w:t>5.2.2</w:t>
            </w:r>
            <w:r>
              <w:rPr>
                <w:rFonts w:ascii="宋体" w:hAnsi="宋体"/>
                <w:sz w:val="24"/>
              </w:rPr>
              <w:t xml:space="preserve">  </w:t>
            </w:r>
            <w:r>
              <w:rPr>
                <w:sz w:val="24"/>
                <w:szCs w:val="21"/>
              </w:rPr>
              <w:t>夏热冬冷</w:t>
            </w:r>
            <w:r>
              <w:rPr>
                <w:sz w:val="24"/>
                <w:szCs w:val="21"/>
                <w:bdr w:val="single" w:color="auto" w:sz="4" w:space="0"/>
              </w:rPr>
              <w:t>和</w:t>
            </w:r>
            <w:r>
              <w:rPr>
                <w:rFonts w:hint="eastAsia"/>
                <w:sz w:val="24"/>
                <w:szCs w:val="21"/>
              </w:rPr>
              <w:t>、</w:t>
            </w:r>
            <w:r>
              <w:rPr>
                <w:sz w:val="24"/>
                <w:szCs w:val="21"/>
              </w:rPr>
              <w:t>夏热冬暖</w:t>
            </w:r>
            <w:r>
              <w:rPr>
                <w:rFonts w:hint="eastAsia"/>
                <w:sz w:val="24"/>
                <w:szCs w:val="21"/>
                <w:u w:val="single"/>
              </w:rPr>
              <w:t>和温和A</w:t>
            </w:r>
            <w:r>
              <w:rPr>
                <w:sz w:val="24"/>
                <w:szCs w:val="21"/>
                <w:bdr w:val="single" w:color="auto" w:sz="4" w:space="0"/>
              </w:rPr>
              <w:t>地</w:t>
            </w:r>
            <w:r>
              <w:rPr>
                <w:sz w:val="24"/>
                <w:szCs w:val="21"/>
              </w:rPr>
              <w:t>区</w:t>
            </w:r>
            <w:r>
              <w:rPr>
                <w:rFonts w:hint="eastAsia"/>
                <w:sz w:val="24"/>
                <w:szCs w:val="21"/>
                <w:u w:val="single"/>
              </w:rPr>
              <w:t>新建</w:t>
            </w:r>
            <w:r>
              <w:rPr>
                <w:sz w:val="24"/>
                <w:szCs w:val="21"/>
              </w:rPr>
              <w:t>农村居住建筑围护结构的传热系数、热惰性指标及</w:t>
            </w:r>
            <w:r>
              <w:rPr>
                <w:rFonts w:hint="eastAsia"/>
                <w:sz w:val="24"/>
                <w:szCs w:val="21"/>
                <w:u w:val="single"/>
              </w:rPr>
              <w:t>太阳得热系数SHGC</w:t>
            </w:r>
            <w:r>
              <w:rPr>
                <w:sz w:val="24"/>
                <w:szCs w:val="21"/>
                <w:bdr w:val="single" w:color="auto" w:sz="4" w:space="0"/>
              </w:rPr>
              <w:t>遮阳系数</w:t>
            </w:r>
            <w:r>
              <w:rPr>
                <w:sz w:val="24"/>
                <w:szCs w:val="21"/>
              </w:rPr>
              <w:t>，宜符合表5.2.2的规定。</w:t>
            </w:r>
          </w:p>
          <w:p>
            <w:pPr>
              <w:spacing w:line="360" w:lineRule="auto"/>
              <w:jc w:val="center"/>
              <w:rPr>
                <w:b/>
                <w:sz w:val="24"/>
                <w:szCs w:val="21"/>
              </w:rPr>
            </w:pPr>
            <w:r>
              <w:rPr>
                <w:rFonts w:ascii="宋体" w:hAnsi="宋体"/>
                <w:b/>
                <w:sz w:val="24"/>
              </w:rPr>
              <w:t xml:space="preserve">表5.2.2  </w:t>
            </w:r>
            <w:r>
              <w:rPr>
                <w:b/>
                <w:sz w:val="24"/>
                <w:szCs w:val="21"/>
              </w:rPr>
              <w:t>夏热冬冷</w:t>
            </w:r>
            <w:r>
              <w:rPr>
                <w:b/>
                <w:sz w:val="24"/>
                <w:szCs w:val="21"/>
                <w:bdr w:val="single" w:color="auto" w:sz="4" w:space="0"/>
              </w:rPr>
              <w:t>和</w:t>
            </w:r>
            <w:r>
              <w:rPr>
                <w:rFonts w:hint="eastAsia"/>
                <w:b/>
                <w:sz w:val="24"/>
                <w:szCs w:val="21"/>
              </w:rPr>
              <w:t>、</w:t>
            </w:r>
            <w:r>
              <w:rPr>
                <w:b/>
                <w:sz w:val="24"/>
                <w:szCs w:val="21"/>
              </w:rPr>
              <w:t>夏热冬暖</w:t>
            </w:r>
            <w:r>
              <w:rPr>
                <w:rFonts w:hint="eastAsia"/>
                <w:b/>
                <w:sz w:val="24"/>
                <w:szCs w:val="21"/>
                <w:u w:val="single"/>
              </w:rPr>
              <w:t>和温和A</w:t>
            </w:r>
            <w:r>
              <w:rPr>
                <w:b/>
                <w:sz w:val="24"/>
                <w:szCs w:val="21"/>
                <w:bdr w:val="single" w:color="auto" w:sz="4" w:space="0"/>
              </w:rPr>
              <w:t>地</w:t>
            </w:r>
            <w:r>
              <w:rPr>
                <w:b/>
                <w:sz w:val="24"/>
                <w:szCs w:val="21"/>
              </w:rPr>
              <w:t>区围护结构传热系数、热惰性指标</w:t>
            </w:r>
          </w:p>
          <w:p>
            <w:pPr>
              <w:spacing w:line="360" w:lineRule="auto"/>
              <w:jc w:val="center"/>
              <w:rPr>
                <w:rFonts w:ascii="宋体" w:hAnsi="宋体"/>
                <w:b/>
                <w:sz w:val="32"/>
              </w:rPr>
            </w:pPr>
            <w:r>
              <w:rPr>
                <w:b/>
                <w:sz w:val="24"/>
                <w:szCs w:val="21"/>
                <w:bdr w:val="single" w:color="auto" w:sz="4" w:space="0"/>
              </w:rPr>
              <w:t>及遮阳系数</w:t>
            </w:r>
            <w:r>
              <w:rPr>
                <w:b/>
                <w:sz w:val="24"/>
                <w:szCs w:val="21"/>
                <w:u w:val="single"/>
              </w:rPr>
              <w:t>及</w:t>
            </w:r>
            <w:r>
              <w:rPr>
                <w:rFonts w:hint="eastAsia"/>
                <w:b/>
                <w:sz w:val="24"/>
                <w:szCs w:val="21"/>
                <w:u w:val="single"/>
              </w:rPr>
              <w:t>太阳得热</w:t>
            </w:r>
            <w:r>
              <w:rPr>
                <w:b/>
                <w:sz w:val="24"/>
                <w:szCs w:val="21"/>
                <w:u w:val="single"/>
              </w:rPr>
              <w:t>系数</w:t>
            </w:r>
            <w:r>
              <w:rPr>
                <w:rFonts w:hint="eastAsia"/>
                <w:b/>
                <w:sz w:val="24"/>
                <w:szCs w:val="21"/>
                <w:u w:val="single"/>
              </w:rPr>
              <w:t>S</w:t>
            </w:r>
            <w:r>
              <w:rPr>
                <w:b/>
                <w:sz w:val="24"/>
                <w:szCs w:val="21"/>
                <w:u w:val="single"/>
              </w:rPr>
              <w:t>HGC</w:t>
            </w:r>
            <w:r>
              <w:rPr>
                <w:b/>
                <w:sz w:val="24"/>
                <w:szCs w:val="21"/>
              </w:rPr>
              <w:t>的限值</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68" w:type="dxa"/>
                <w:left w:w="108" w:type="dxa"/>
                <w:bottom w:w="57" w:type="dxa"/>
                <w:right w:w="108" w:type="dxa"/>
              </w:tblCellMar>
            </w:tblPr>
            <w:tblGrid>
              <w:gridCol w:w="552"/>
              <w:gridCol w:w="864"/>
              <w:gridCol w:w="864"/>
              <w:gridCol w:w="405"/>
              <w:gridCol w:w="962"/>
              <w:gridCol w:w="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360" w:hRule="atLeast"/>
                <w:jc w:val="center"/>
              </w:trPr>
              <w:tc>
                <w:tcPr>
                  <w:tcW w:w="614" w:type="pct"/>
                  <w:vMerge w:val="restart"/>
                  <w:shd w:val="clear" w:color="auto" w:fill="auto"/>
                  <w:vAlign w:val="center"/>
                </w:tcPr>
                <w:p>
                  <w:pPr>
                    <w:jc w:val="center"/>
                    <w:rPr>
                      <w:bCs/>
                      <w:szCs w:val="21"/>
                    </w:rPr>
                  </w:pPr>
                  <w:r>
                    <w:rPr>
                      <w:bCs/>
                      <w:szCs w:val="21"/>
                    </w:rPr>
                    <w:t>建筑气候分区</w:t>
                  </w:r>
                </w:p>
              </w:tc>
              <w:tc>
                <w:tcPr>
                  <w:tcW w:w="4386" w:type="pct"/>
                  <w:gridSpan w:val="5"/>
                  <w:shd w:val="clear" w:color="auto" w:fill="auto"/>
                  <w:vAlign w:val="center"/>
                </w:tcPr>
                <w:p>
                  <w:pPr>
                    <w:ind w:firstLine="210" w:firstLineChars="100"/>
                    <w:jc w:val="center"/>
                    <w:rPr>
                      <w:bCs/>
                      <w:szCs w:val="21"/>
                    </w:rPr>
                  </w:pPr>
                  <w:r>
                    <w:rPr>
                      <w:bCs/>
                      <w:szCs w:val="21"/>
                    </w:rPr>
                    <w:t>围护结构部位的传热系数K[ W/(m</w:t>
                  </w:r>
                  <w:r>
                    <w:rPr>
                      <w:kern w:val="0"/>
                      <w:szCs w:val="21"/>
                      <w:vertAlign w:val="superscript"/>
                    </w:rPr>
                    <w:t>2</w:t>
                  </w:r>
                  <w:r>
                    <w:rPr>
                      <w:bCs/>
                      <w:szCs w:val="21"/>
                    </w:rPr>
                    <w:t>·K)]、热惰性指标D及</w:t>
                  </w:r>
                  <w:r>
                    <w:rPr>
                      <w:bCs/>
                      <w:szCs w:val="21"/>
                      <w:bdr w:val="single" w:color="auto" w:sz="4" w:space="0"/>
                    </w:rPr>
                    <w:t>遮阳系数SC</w:t>
                  </w:r>
                  <w:r>
                    <w:rPr>
                      <w:bCs/>
                      <w:szCs w:val="21"/>
                      <w:u w:val="single"/>
                    </w:rPr>
                    <w:t>太阳得热系数</w:t>
                  </w:r>
                  <w:r>
                    <w:rPr>
                      <w:rFonts w:hint="eastAsia"/>
                      <w:bCs/>
                      <w:szCs w:val="21"/>
                      <w:u w:val="single"/>
                    </w:rPr>
                    <w:t>S</w:t>
                  </w:r>
                  <w:r>
                    <w:rPr>
                      <w:bCs/>
                      <w:szCs w:val="21"/>
                      <w:u w:val="single"/>
                    </w:rPr>
                    <w:t>HGC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285" w:hRule="atLeast"/>
                <w:jc w:val="center"/>
              </w:trPr>
              <w:tc>
                <w:tcPr>
                  <w:tcW w:w="614" w:type="pct"/>
                  <w:vMerge w:val="continue"/>
                  <w:shd w:val="clear" w:color="auto" w:fill="auto"/>
                  <w:vAlign w:val="center"/>
                </w:tcPr>
                <w:p>
                  <w:pPr>
                    <w:ind w:firstLine="210" w:firstLineChars="100"/>
                    <w:jc w:val="center"/>
                    <w:rPr>
                      <w:bCs/>
                      <w:szCs w:val="21"/>
                    </w:rPr>
                  </w:pPr>
                </w:p>
              </w:tc>
              <w:tc>
                <w:tcPr>
                  <w:tcW w:w="958" w:type="pct"/>
                  <w:vMerge w:val="restart"/>
                  <w:shd w:val="clear" w:color="auto" w:fill="auto"/>
                  <w:vAlign w:val="center"/>
                </w:tcPr>
                <w:p>
                  <w:pPr>
                    <w:jc w:val="center"/>
                    <w:rPr>
                      <w:bCs/>
                      <w:szCs w:val="21"/>
                    </w:rPr>
                  </w:pPr>
                  <w:r>
                    <w:rPr>
                      <w:bCs/>
                      <w:szCs w:val="21"/>
                    </w:rPr>
                    <w:t>外墙</w:t>
                  </w:r>
                </w:p>
              </w:tc>
              <w:tc>
                <w:tcPr>
                  <w:tcW w:w="958" w:type="pct"/>
                  <w:vMerge w:val="restart"/>
                  <w:shd w:val="clear" w:color="auto" w:fill="auto"/>
                  <w:vAlign w:val="center"/>
                </w:tcPr>
                <w:p>
                  <w:pPr>
                    <w:jc w:val="center"/>
                    <w:rPr>
                      <w:bCs/>
                      <w:szCs w:val="21"/>
                    </w:rPr>
                  </w:pPr>
                  <w:r>
                    <w:rPr>
                      <w:bCs/>
                      <w:szCs w:val="21"/>
                    </w:rPr>
                    <w:t>屋面</w:t>
                  </w:r>
                </w:p>
              </w:tc>
              <w:tc>
                <w:tcPr>
                  <w:tcW w:w="449" w:type="pct"/>
                  <w:vMerge w:val="restart"/>
                  <w:shd w:val="clear" w:color="auto" w:fill="auto"/>
                  <w:vAlign w:val="center"/>
                </w:tcPr>
                <w:p>
                  <w:pPr>
                    <w:jc w:val="center"/>
                    <w:rPr>
                      <w:bCs/>
                      <w:szCs w:val="21"/>
                    </w:rPr>
                  </w:pPr>
                  <w:r>
                    <w:rPr>
                      <w:bCs/>
                      <w:szCs w:val="21"/>
                    </w:rPr>
                    <w:t>户门</w:t>
                  </w:r>
                </w:p>
              </w:tc>
              <w:tc>
                <w:tcPr>
                  <w:tcW w:w="2021" w:type="pct"/>
                  <w:gridSpan w:val="2"/>
                  <w:shd w:val="clear" w:color="auto" w:fill="auto"/>
                  <w:vAlign w:val="center"/>
                </w:tcPr>
                <w:p>
                  <w:pPr>
                    <w:jc w:val="center"/>
                    <w:rPr>
                      <w:bCs/>
                      <w:szCs w:val="21"/>
                    </w:rPr>
                  </w:pPr>
                  <w:r>
                    <w:rPr>
                      <w:bCs/>
                      <w:szCs w:val="21"/>
                    </w:rPr>
                    <w:t>外窗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646" w:hRule="atLeast"/>
                <w:jc w:val="center"/>
              </w:trPr>
              <w:tc>
                <w:tcPr>
                  <w:tcW w:w="614" w:type="pct"/>
                  <w:vMerge w:val="continue"/>
                  <w:shd w:val="clear" w:color="auto" w:fill="auto"/>
                  <w:vAlign w:val="center"/>
                </w:tcPr>
                <w:p>
                  <w:pPr>
                    <w:ind w:firstLine="210" w:firstLineChars="100"/>
                    <w:jc w:val="center"/>
                    <w:rPr>
                      <w:bCs/>
                      <w:szCs w:val="21"/>
                    </w:rPr>
                  </w:pPr>
                </w:p>
              </w:tc>
              <w:tc>
                <w:tcPr>
                  <w:tcW w:w="958" w:type="pct"/>
                  <w:vMerge w:val="continue"/>
                  <w:shd w:val="clear" w:color="auto" w:fill="auto"/>
                  <w:vAlign w:val="center"/>
                </w:tcPr>
                <w:p>
                  <w:pPr>
                    <w:jc w:val="center"/>
                    <w:rPr>
                      <w:bCs/>
                      <w:szCs w:val="21"/>
                    </w:rPr>
                  </w:pPr>
                </w:p>
              </w:tc>
              <w:tc>
                <w:tcPr>
                  <w:tcW w:w="958" w:type="pct"/>
                  <w:vMerge w:val="continue"/>
                  <w:shd w:val="clear" w:color="auto" w:fill="auto"/>
                  <w:vAlign w:val="center"/>
                </w:tcPr>
                <w:p>
                  <w:pPr>
                    <w:jc w:val="center"/>
                    <w:rPr>
                      <w:bCs/>
                      <w:szCs w:val="21"/>
                    </w:rPr>
                  </w:pPr>
                </w:p>
              </w:tc>
              <w:tc>
                <w:tcPr>
                  <w:tcW w:w="449" w:type="pct"/>
                  <w:vMerge w:val="continue"/>
                  <w:shd w:val="clear" w:color="auto" w:fill="auto"/>
                  <w:vAlign w:val="center"/>
                </w:tcPr>
                <w:p>
                  <w:pPr>
                    <w:jc w:val="center"/>
                    <w:rPr>
                      <w:bCs/>
                      <w:szCs w:val="21"/>
                    </w:rPr>
                  </w:pPr>
                </w:p>
              </w:tc>
              <w:tc>
                <w:tcPr>
                  <w:tcW w:w="1067" w:type="pct"/>
                  <w:shd w:val="clear" w:color="auto" w:fill="auto"/>
                  <w:vAlign w:val="center"/>
                </w:tcPr>
                <w:p>
                  <w:pPr>
                    <w:jc w:val="center"/>
                    <w:rPr>
                      <w:bCs/>
                      <w:spacing w:val="-60"/>
                      <w:szCs w:val="21"/>
                    </w:rPr>
                  </w:pPr>
                  <w:r>
                    <w:rPr>
                      <w:bCs/>
                      <w:szCs w:val="21"/>
                    </w:rPr>
                    <w:t>卧室、起居室</w:t>
                  </w:r>
                </w:p>
              </w:tc>
              <w:tc>
                <w:tcPr>
                  <w:tcW w:w="954" w:type="pct"/>
                  <w:shd w:val="clear" w:color="auto" w:fill="auto"/>
                  <w:vAlign w:val="center"/>
                </w:tcPr>
                <w:p>
                  <w:pPr>
                    <w:jc w:val="center"/>
                    <w:rPr>
                      <w:bCs/>
                      <w:szCs w:val="21"/>
                    </w:rPr>
                  </w:pPr>
                  <w:r>
                    <w:rPr>
                      <w:bCs/>
                      <w:szCs w:val="21"/>
                    </w:rPr>
                    <w:t>厨房、卫生间、储藏间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1116" w:hRule="atLeast"/>
                <w:jc w:val="center"/>
              </w:trPr>
              <w:tc>
                <w:tcPr>
                  <w:tcW w:w="614" w:type="pct"/>
                  <w:shd w:val="clear" w:color="auto" w:fill="auto"/>
                  <w:vAlign w:val="center"/>
                </w:tcPr>
                <w:p>
                  <w:pPr>
                    <w:jc w:val="center"/>
                    <w:rPr>
                      <w:bCs/>
                      <w:szCs w:val="21"/>
                    </w:rPr>
                  </w:pPr>
                  <w:r>
                    <w:rPr>
                      <w:bCs/>
                      <w:szCs w:val="21"/>
                    </w:rPr>
                    <w:t>夏热冬冷</w:t>
                  </w:r>
                  <w:r>
                    <w:rPr>
                      <w:rFonts w:hint="eastAsia"/>
                      <w:bCs/>
                      <w:szCs w:val="21"/>
                    </w:rPr>
                    <w:t>A</w:t>
                  </w:r>
                  <w:r>
                    <w:rPr>
                      <w:bCs/>
                      <w:szCs w:val="21"/>
                      <w:bdr w:val="single" w:color="auto" w:sz="4" w:space="0"/>
                    </w:rPr>
                    <w:t>地</w:t>
                  </w:r>
                  <w:r>
                    <w:rPr>
                      <w:bCs/>
                      <w:szCs w:val="21"/>
                    </w:rPr>
                    <w:t>区</w:t>
                  </w:r>
                </w:p>
              </w:tc>
              <w:tc>
                <w:tcPr>
                  <w:tcW w:w="958" w:type="pct"/>
                  <w:vMerge w:val="restart"/>
                  <w:shd w:val="clear" w:color="auto" w:fill="auto"/>
                  <w:vAlign w:val="center"/>
                </w:tcPr>
                <w:p>
                  <w:pPr>
                    <w:jc w:val="center"/>
                    <w:rPr>
                      <w:bCs/>
                      <w:szCs w:val="21"/>
                    </w:rPr>
                  </w:pPr>
                  <w:r>
                    <w:rPr>
                      <w:bCs/>
                      <w:szCs w:val="21"/>
                    </w:rPr>
                    <w:t>K≤</w:t>
                  </w:r>
                  <w:r>
                    <w:rPr>
                      <w:bCs/>
                      <w:szCs w:val="21"/>
                      <w:bdr w:val="single" w:color="auto" w:sz="4" w:space="0"/>
                    </w:rPr>
                    <w:t>1.8</w:t>
                  </w:r>
                  <w:r>
                    <w:rPr>
                      <w:bCs/>
                      <w:szCs w:val="21"/>
                      <w:u w:val="single"/>
                    </w:rPr>
                    <w:t>1.2</w:t>
                  </w:r>
                  <w:r>
                    <w:rPr>
                      <w:bCs/>
                      <w:szCs w:val="21"/>
                    </w:rPr>
                    <w:t>，D≥2.5</w:t>
                  </w:r>
                </w:p>
                <w:p>
                  <w:pPr>
                    <w:jc w:val="center"/>
                    <w:rPr>
                      <w:bCs/>
                      <w:szCs w:val="21"/>
                    </w:rPr>
                  </w:pPr>
                  <w:r>
                    <w:rPr>
                      <w:bCs/>
                      <w:szCs w:val="21"/>
                    </w:rPr>
                    <w:t>K≤</w:t>
                  </w:r>
                  <w:r>
                    <w:rPr>
                      <w:bCs/>
                      <w:szCs w:val="21"/>
                      <w:bdr w:val="single" w:color="auto" w:sz="4" w:space="0"/>
                    </w:rPr>
                    <w:t>1.5</w:t>
                  </w:r>
                  <w:r>
                    <w:rPr>
                      <w:rFonts w:hint="eastAsia"/>
                      <w:bCs/>
                      <w:szCs w:val="21"/>
                      <w:u w:val="single"/>
                    </w:rPr>
                    <w:t>1</w:t>
                  </w:r>
                  <w:r>
                    <w:rPr>
                      <w:bCs/>
                      <w:szCs w:val="21"/>
                      <w:u w:val="single"/>
                    </w:rPr>
                    <w:t>.0</w:t>
                  </w:r>
                  <w:r>
                    <w:rPr>
                      <w:bCs/>
                      <w:szCs w:val="21"/>
                    </w:rPr>
                    <w:t>，D＜2.5</w:t>
                  </w:r>
                </w:p>
              </w:tc>
              <w:tc>
                <w:tcPr>
                  <w:tcW w:w="958" w:type="pct"/>
                  <w:vMerge w:val="restart"/>
                  <w:shd w:val="clear" w:color="auto" w:fill="auto"/>
                  <w:vAlign w:val="center"/>
                </w:tcPr>
                <w:p>
                  <w:pPr>
                    <w:jc w:val="center"/>
                    <w:rPr>
                      <w:bCs/>
                      <w:szCs w:val="21"/>
                    </w:rPr>
                  </w:pPr>
                  <w:r>
                    <w:rPr>
                      <w:bCs/>
                      <w:szCs w:val="21"/>
                    </w:rPr>
                    <w:t>K≤</w:t>
                  </w:r>
                  <w:r>
                    <w:rPr>
                      <w:bCs/>
                      <w:szCs w:val="21"/>
                      <w:bdr w:val="single" w:color="auto" w:sz="4" w:space="0"/>
                    </w:rPr>
                    <w:t>1.0</w:t>
                  </w:r>
                  <w:r>
                    <w:rPr>
                      <w:rFonts w:hint="eastAsia"/>
                      <w:bCs/>
                      <w:szCs w:val="21"/>
                      <w:u w:val="single"/>
                    </w:rPr>
                    <w:t>0</w:t>
                  </w:r>
                  <w:r>
                    <w:rPr>
                      <w:bCs/>
                      <w:szCs w:val="21"/>
                      <w:u w:val="single"/>
                    </w:rPr>
                    <w:t>.7</w:t>
                  </w:r>
                  <w:r>
                    <w:rPr>
                      <w:bCs/>
                      <w:szCs w:val="21"/>
                    </w:rPr>
                    <w:t>，D≥2.5</w:t>
                  </w:r>
                </w:p>
                <w:p>
                  <w:pPr>
                    <w:jc w:val="center"/>
                    <w:rPr>
                      <w:bCs/>
                      <w:szCs w:val="21"/>
                    </w:rPr>
                  </w:pPr>
                  <w:r>
                    <w:rPr>
                      <w:bCs/>
                      <w:szCs w:val="21"/>
                    </w:rPr>
                    <w:t>K≤</w:t>
                  </w:r>
                  <w:r>
                    <w:rPr>
                      <w:bCs/>
                      <w:szCs w:val="21"/>
                      <w:bdr w:val="single" w:color="auto" w:sz="4" w:space="0"/>
                    </w:rPr>
                    <w:t>0.8</w:t>
                  </w:r>
                  <w:r>
                    <w:rPr>
                      <w:rFonts w:hint="eastAsia"/>
                      <w:bCs/>
                      <w:szCs w:val="21"/>
                      <w:u w:val="single"/>
                    </w:rPr>
                    <w:t>0</w:t>
                  </w:r>
                  <w:r>
                    <w:rPr>
                      <w:bCs/>
                      <w:szCs w:val="21"/>
                      <w:u w:val="single"/>
                    </w:rPr>
                    <w:t>.5</w:t>
                  </w:r>
                  <w:r>
                    <w:rPr>
                      <w:bCs/>
                      <w:szCs w:val="21"/>
                    </w:rPr>
                    <w:t>，D＜2.5</w:t>
                  </w:r>
                </w:p>
              </w:tc>
              <w:tc>
                <w:tcPr>
                  <w:tcW w:w="449" w:type="pct"/>
                  <w:vMerge w:val="restart"/>
                  <w:shd w:val="clear" w:color="auto" w:fill="auto"/>
                  <w:vAlign w:val="center"/>
                </w:tcPr>
                <w:p>
                  <w:pPr>
                    <w:jc w:val="center"/>
                    <w:rPr>
                      <w:bCs/>
                      <w:szCs w:val="21"/>
                      <w:bdr w:val="single" w:color="auto" w:sz="4" w:space="0"/>
                    </w:rPr>
                  </w:pPr>
                  <w:r>
                    <w:rPr>
                      <w:bCs/>
                      <w:szCs w:val="21"/>
                    </w:rPr>
                    <w:t>K≤</w:t>
                  </w:r>
                  <w:r>
                    <w:rPr>
                      <w:bCs/>
                      <w:szCs w:val="21"/>
                      <w:bdr w:val="single" w:color="auto" w:sz="4" w:space="0"/>
                    </w:rPr>
                    <w:t>3.0</w:t>
                  </w:r>
                </w:p>
                <w:p>
                  <w:pPr>
                    <w:jc w:val="center"/>
                    <w:rPr>
                      <w:bCs/>
                      <w:szCs w:val="21"/>
                      <w:u w:val="single"/>
                    </w:rPr>
                  </w:pPr>
                  <w:r>
                    <w:rPr>
                      <w:rFonts w:hint="eastAsia"/>
                      <w:bCs/>
                      <w:szCs w:val="21"/>
                      <w:u w:val="single"/>
                    </w:rPr>
                    <w:t>2</w:t>
                  </w:r>
                  <w:r>
                    <w:rPr>
                      <w:bCs/>
                      <w:szCs w:val="21"/>
                      <w:u w:val="single"/>
                    </w:rPr>
                    <w:t>.8</w:t>
                  </w:r>
                </w:p>
              </w:tc>
              <w:tc>
                <w:tcPr>
                  <w:tcW w:w="1067" w:type="pct"/>
                  <w:shd w:val="clear" w:color="auto" w:fill="auto"/>
                  <w:vAlign w:val="center"/>
                </w:tcPr>
                <w:p>
                  <w:pPr>
                    <w:jc w:val="center"/>
                    <w:rPr>
                      <w:bCs/>
                      <w:szCs w:val="21"/>
                      <w:u w:val="single"/>
                    </w:rPr>
                  </w:pPr>
                  <w:r>
                    <w:rPr>
                      <w:bCs/>
                      <w:szCs w:val="21"/>
                    </w:rPr>
                    <w:t>K≤</w:t>
                  </w:r>
                  <w:r>
                    <w:rPr>
                      <w:bCs/>
                      <w:szCs w:val="21"/>
                      <w:bdr w:val="single" w:color="auto" w:sz="4" w:space="0"/>
                    </w:rPr>
                    <w:t>3.2</w:t>
                  </w:r>
                  <w:r>
                    <w:rPr>
                      <w:rFonts w:hint="eastAsia"/>
                      <w:bCs/>
                      <w:szCs w:val="21"/>
                      <w:u w:val="single"/>
                    </w:rPr>
                    <w:t>2</w:t>
                  </w:r>
                  <w:r>
                    <w:rPr>
                      <w:bCs/>
                      <w:szCs w:val="21"/>
                      <w:u w:val="single"/>
                    </w:rPr>
                    <w:t>.5</w:t>
                  </w:r>
                </w:p>
              </w:tc>
              <w:tc>
                <w:tcPr>
                  <w:tcW w:w="954" w:type="pct"/>
                  <w:vMerge w:val="restart"/>
                  <w:shd w:val="clear" w:color="auto" w:fill="auto"/>
                  <w:vAlign w:val="center"/>
                </w:tcPr>
                <w:p>
                  <w:pPr>
                    <w:jc w:val="center"/>
                    <w:rPr>
                      <w:bCs/>
                      <w:szCs w:val="21"/>
                    </w:rPr>
                  </w:pPr>
                  <w:r>
                    <w:rPr>
                      <w:bCs/>
                      <w:szCs w:val="21"/>
                    </w:rPr>
                    <w:t>K≤</w:t>
                  </w:r>
                  <w:r>
                    <w:rPr>
                      <w:bCs/>
                      <w:szCs w:val="21"/>
                      <w:bdr w:val="single" w:color="auto" w:sz="4" w:space="0"/>
                    </w:rPr>
                    <w:t>4.7</w:t>
                  </w:r>
                  <w:r>
                    <w:rPr>
                      <w:bCs/>
                      <w:szCs w:val="21"/>
                      <w:u w:val="single"/>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750" w:hRule="atLeast"/>
                <w:jc w:val="center"/>
              </w:trPr>
              <w:tc>
                <w:tcPr>
                  <w:tcW w:w="614" w:type="pct"/>
                  <w:shd w:val="clear" w:color="auto" w:fill="auto"/>
                  <w:vAlign w:val="center"/>
                </w:tcPr>
                <w:p>
                  <w:pPr>
                    <w:jc w:val="center"/>
                    <w:rPr>
                      <w:bCs/>
                      <w:szCs w:val="21"/>
                    </w:rPr>
                  </w:pPr>
                  <w:r>
                    <w:rPr>
                      <w:bCs/>
                      <w:szCs w:val="21"/>
                    </w:rPr>
                    <w:t>夏热冬冷</w:t>
                  </w:r>
                  <w:r>
                    <w:rPr>
                      <w:rFonts w:hint="eastAsia"/>
                      <w:bCs/>
                      <w:szCs w:val="21"/>
                    </w:rPr>
                    <w:t>B</w:t>
                  </w:r>
                  <w:r>
                    <w:rPr>
                      <w:bCs/>
                      <w:szCs w:val="21"/>
                    </w:rPr>
                    <w:t>区</w:t>
                  </w:r>
                </w:p>
              </w:tc>
              <w:tc>
                <w:tcPr>
                  <w:tcW w:w="958" w:type="pct"/>
                  <w:vMerge w:val="continue"/>
                  <w:shd w:val="clear" w:color="auto" w:fill="auto"/>
                  <w:vAlign w:val="center"/>
                </w:tcPr>
                <w:p>
                  <w:pPr>
                    <w:jc w:val="center"/>
                    <w:rPr>
                      <w:bCs/>
                      <w:szCs w:val="21"/>
                    </w:rPr>
                  </w:pPr>
                </w:p>
              </w:tc>
              <w:tc>
                <w:tcPr>
                  <w:tcW w:w="958" w:type="pct"/>
                  <w:vMerge w:val="continue"/>
                  <w:shd w:val="clear" w:color="auto" w:fill="auto"/>
                  <w:vAlign w:val="center"/>
                </w:tcPr>
                <w:p>
                  <w:pPr>
                    <w:jc w:val="center"/>
                    <w:rPr>
                      <w:bCs/>
                      <w:szCs w:val="21"/>
                    </w:rPr>
                  </w:pPr>
                </w:p>
              </w:tc>
              <w:tc>
                <w:tcPr>
                  <w:tcW w:w="449" w:type="pct"/>
                  <w:vMerge w:val="continue"/>
                  <w:shd w:val="clear" w:color="auto" w:fill="auto"/>
                  <w:vAlign w:val="center"/>
                </w:tcPr>
                <w:p>
                  <w:pPr>
                    <w:jc w:val="center"/>
                    <w:rPr>
                      <w:bCs/>
                      <w:szCs w:val="21"/>
                    </w:rPr>
                  </w:pPr>
                </w:p>
              </w:tc>
              <w:tc>
                <w:tcPr>
                  <w:tcW w:w="1067" w:type="pct"/>
                  <w:shd w:val="clear" w:color="auto" w:fill="auto"/>
                  <w:vAlign w:val="center"/>
                </w:tcPr>
                <w:p>
                  <w:pPr>
                    <w:jc w:val="center"/>
                    <w:rPr>
                      <w:bCs/>
                      <w:szCs w:val="21"/>
                      <w:u w:val="single"/>
                    </w:rPr>
                  </w:pPr>
                  <w:r>
                    <w:rPr>
                      <w:bCs/>
                      <w:szCs w:val="21"/>
                    </w:rPr>
                    <w:t>K≤</w:t>
                  </w:r>
                  <w:r>
                    <w:rPr>
                      <w:bCs/>
                      <w:szCs w:val="21"/>
                      <w:bdr w:val="single" w:color="auto" w:sz="4" w:space="0"/>
                    </w:rPr>
                    <w:t>3.2</w:t>
                  </w:r>
                  <w:r>
                    <w:rPr>
                      <w:rFonts w:hint="eastAsia"/>
                      <w:bCs/>
                      <w:szCs w:val="21"/>
                      <w:u w:val="single"/>
                    </w:rPr>
                    <w:t>2</w:t>
                  </w:r>
                  <w:r>
                    <w:rPr>
                      <w:bCs/>
                      <w:szCs w:val="21"/>
                      <w:u w:val="single"/>
                    </w:rPr>
                    <w:t>.5</w:t>
                  </w:r>
                </w:p>
                <w:p>
                  <w:pPr>
                    <w:jc w:val="center"/>
                    <w:rPr>
                      <w:bCs/>
                      <w:szCs w:val="21"/>
                      <w:u w:val="single"/>
                    </w:rPr>
                  </w:pPr>
                  <w:r>
                    <w:rPr>
                      <w:bCs/>
                      <w:szCs w:val="21"/>
                      <w:u w:val="single"/>
                    </w:rPr>
                    <w:t>SHGC≤0.55</w:t>
                  </w:r>
                </w:p>
              </w:tc>
              <w:tc>
                <w:tcPr>
                  <w:tcW w:w="954" w:type="pct"/>
                  <w:vMerge w:val="continue"/>
                  <w:shd w:val="clear" w:color="auto" w:fill="auto"/>
                  <w:vAlign w:val="center"/>
                </w:tcPr>
                <w:p>
                  <w:pPr>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556" w:hRule="atLeast"/>
                <w:jc w:val="center"/>
              </w:trPr>
              <w:tc>
                <w:tcPr>
                  <w:tcW w:w="614" w:type="pct"/>
                  <w:shd w:val="clear" w:color="auto" w:fill="auto"/>
                  <w:vAlign w:val="center"/>
                </w:tcPr>
                <w:p>
                  <w:pPr>
                    <w:jc w:val="center"/>
                    <w:rPr>
                      <w:bCs/>
                      <w:szCs w:val="21"/>
                    </w:rPr>
                  </w:pPr>
                  <w:r>
                    <w:rPr>
                      <w:bCs/>
                      <w:szCs w:val="21"/>
                    </w:rPr>
                    <w:t>夏热冬暖地区</w:t>
                  </w:r>
                </w:p>
              </w:tc>
              <w:tc>
                <w:tcPr>
                  <w:tcW w:w="958" w:type="pct"/>
                  <w:shd w:val="clear" w:color="auto" w:fill="auto"/>
                  <w:vAlign w:val="center"/>
                </w:tcPr>
                <w:p>
                  <w:pPr>
                    <w:jc w:val="center"/>
                    <w:rPr>
                      <w:bCs/>
                      <w:szCs w:val="21"/>
                    </w:rPr>
                  </w:pPr>
                  <w:r>
                    <w:rPr>
                      <w:bCs/>
                      <w:szCs w:val="21"/>
                    </w:rPr>
                    <w:t>K≤</w:t>
                  </w:r>
                  <w:r>
                    <w:rPr>
                      <w:bCs/>
                      <w:szCs w:val="21"/>
                      <w:bdr w:val="single" w:color="auto" w:sz="4" w:space="0"/>
                    </w:rPr>
                    <w:t>2.0</w:t>
                  </w:r>
                  <w:r>
                    <w:rPr>
                      <w:bCs/>
                      <w:szCs w:val="21"/>
                    </w:rPr>
                    <w:t>1.5，D≥2.5</w:t>
                  </w:r>
                </w:p>
                <w:p>
                  <w:pPr>
                    <w:jc w:val="center"/>
                    <w:rPr>
                      <w:bCs/>
                      <w:szCs w:val="21"/>
                    </w:rPr>
                  </w:pPr>
                  <w:r>
                    <w:rPr>
                      <w:bCs/>
                      <w:szCs w:val="21"/>
                    </w:rPr>
                    <w:t>K≤</w:t>
                  </w:r>
                  <w:r>
                    <w:rPr>
                      <w:bCs/>
                      <w:szCs w:val="21"/>
                      <w:bdr w:val="single" w:color="auto" w:sz="4" w:space="0"/>
                    </w:rPr>
                    <w:t>1.2</w:t>
                  </w:r>
                  <w:r>
                    <w:rPr>
                      <w:bCs/>
                      <w:szCs w:val="21"/>
                    </w:rPr>
                    <w:t>1.0，D＜2.5</w:t>
                  </w:r>
                </w:p>
              </w:tc>
              <w:tc>
                <w:tcPr>
                  <w:tcW w:w="958" w:type="pct"/>
                  <w:shd w:val="clear" w:color="auto" w:fill="auto"/>
                  <w:vAlign w:val="center"/>
                </w:tcPr>
                <w:p>
                  <w:pPr>
                    <w:jc w:val="center"/>
                    <w:rPr>
                      <w:bCs/>
                      <w:szCs w:val="21"/>
                    </w:rPr>
                  </w:pPr>
                  <w:r>
                    <w:rPr>
                      <w:bCs/>
                      <w:szCs w:val="21"/>
                    </w:rPr>
                    <w:t>K≤</w:t>
                  </w:r>
                  <w:r>
                    <w:rPr>
                      <w:bCs/>
                      <w:szCs w:val="21"/>
                      <w:bdr w:val="single" w:color="auto" w:sz="4" w:space="0"/>
                    </w:rPr>
                    <w:t>1.0</w:t>
                  </w:r>
                  <w:r>
                    <w:rPr>
                      <w:bCs/>
                      <w:szCs w:val="21"/>
                    </w:rPr>
                    <w:t>0.8，D≥2.5</w:t>
                  </w:r>
                </w:p>
                <w:p>
                  <w:pPr>
                    <w:jc w:val="center"/>
                    <w:rPr>
                      <w:bCs/>
                      <w:szCs w:val="21"/>
                    </w:rPr>
                  </w:pPr>
                  <w:r>
                    <w:rPr>
                      <w:bCs/>
                      <w:szCs w:val="21"/>
                    </w:rPr>
                    <w:t>K≤</w:t>
                  </w:r>
                  <w:r>
                    <w:rPr>
                      <w:bCs/>
                      <w:szCs w:val="21"/>
                      <w:bdr w:val="single" w:color="auto" w:sz="4" w:space="0"/>
                    </w:rPr>
                    <w:t>0.8</w:t>
                  </w:r>
                  <w:r>
                    <w:rPr>
                      <w:bCs/>
                      <w:szCs w:val="21"/>
                    </w:rPr>
                    <w:t>0.6，D＜2.5</w:t>
                  </w:r>
                </w:p>
              </w:tc>
              <w:tc>
                <w:tcPr>
                  <w:tcW w:w="449" w:type="pct"/>
                  <w:shd w:val="clear" w:color="auto" w:fill="auto"/>
                  <w:vAlign w:val="center"/>
                </w:tcPr>
                <w:p>
                  <w:pPr>
                    <w:jc w:val="center"/>
                    <w:rPr>
                      <w:bCs/>
                      <w:szCs w:val="21"/>
                    </w:rPr>
                  </w:pPr>
                  <w:r>
                    <w:rPr>
                      <w:kern w:val="0"/>
                      <w:szCs w:val="21"/>
                    </w:rPr>
                    <w:t>—</w:t>
                  </w:r>
                </w:p>
              </w:tc>
              <w:tc>
                <w:tcPr>
                  <w:tcW w:w="1067" w:type="pct"/>
                  <w:shd w:val="clear" w:color="auto" w:fill="auto"/>
                  <w:vAlign w:val="center"/>
                </w:tcPr>
                <w:p>
                  <w:pPr>
                    <w:jc w:val="center"/>
                    <w:rPr>
                      <w:bCs/>
                      <w:szCs w:val="21"/>
                    </w:rPr>
                  </w:pPr>
                  <w:r>
                    <w:rPr>
                      <w:bCs/>
                      <w:szCs w:val="21"/>
                    </w:rPr>
                    <w:t>K≤</w:t>
                  </w:r>
                  <w:r>
                    <w:rPr>
                      <w:bCs/>
                      <w:szCs w:val="21"/>
                      <w:bdr w:val="single" w:color="auto" w:sz="4" w:space="0"/>
                    </w:rPr>
                    <w:t>4.0</w:t>
                  </w:r>
                  <w:r>
                    <w:rPr>
                      <w:bCs/>
                      <w:szCs w:val="21"/>
                    </w:rPr>
                    <w:t>3.2</w:t>
                  </w:r>
                </w:p>
                <w:p>
                  <w:pPr>
                    <w:jc w:val="center"/>
                    <w:rPr>
                      <w:bCs/>
                      <w:szCs w:val="21"/>
                    </w:rPr>
                  </w:pPr>
                  <w:r>
                    <w:rPr>
                      <w:rFonts w:hint="eastAsia"/>
                      <w:bCs/>
                      <w:szCs w:val="21"/>
                    </w:rPr>
                    <w:t>S</w:t>
                  </w:r>
                  <w:r>
                    <w:rPr>
                      <w:bCs/>
                      <w:szCs w:val="21"/>
                    </w:rPr>
                    <w:t>HGC</w:t>
                  </w:r>
                  <w:r>
                    <w:rPr>
                      <w:bCs/>
                      <w:szCs w:val="21"/>
                      <w:bdr w:val="single" w:color="auto" w:sz="4" w:space="0"/>
                    </w:rPr>
                    <w:t>SC</w:t>
                  </w:r>
                  <w:r>
                    <w:rPr>
                      <w:bCs/>
                      <w:szCs w:val="21"/>
                    </w:rPr>
                    <w:t>≤</w:t>
                  </w:r>
                  <w:r>
                    <w:rPr>
                      <w:bCs/>
                      <w:szCs w:val="21"/>
                      <w:bdr w:val="single" w:color="auto" w:sz="4" w:space="0"/>
                    </w:rPr>
                    <w:t>0.5</w:t>
                  </w:r>
                  <w:r>
                    <w:rPr>
                      <w:bCs/>
                      <w:szCs w:val="21"/>
                    </w:rPr>
                    <w:t>0.35</w:t>
                  </w:r>
                </w:p>
              </w:tc>
              <w:tc>
                <w:tcPr>
                  <w:tcW w:w="954" w:type="pct"/>
                  <w:shd w:val="clear" w:color="auto" w:fill="auto"/>
                  <w:vAlign w:val="center"/>
                </w:tcPr>
                <w:p>
                  <w:pPr>
                    <w:jc w:val="center"/>
                    <w:rPr>
                      <w:bCs/>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68" w:type="dxa"/>
                  <w:left w:w="108" w:type="dxa"/>
                  <w:bottom w:w="57" w:type="dxa"/>
                  <w:right w:w="108" w:type="dxa"/>
                </w:tblCellMar>
              </w:tblPrEx>
              <w:trPr>
                <w:cantSplit/>
                <w:trHeight w:val="556" w:hRule="atLeast"/>
                <w:jc w:val="center"/>
              </w:trPr>
              <w:tc>
                <w:tcPr>
                  <w:tcW w:w="614" w:type="pct"/>
                  <w:shd w:val="clear" w:color="auto" w:fill="auto"/>
                  <w:vAlign w:val="center"/>
                </w:tcPr>
                <w:p>
                  <w:pPr>
                    <w:jc w:val="center"/>
                    <w:rPr>
                      <w:bCs/>
                      <w:szCs w:val="21"/>
                    </w:rPr>
                  </w:pPr>
                  <w:r>
                    <w:rPr>
                      <w:rFonts w:hint="eastAsia"/>
                      <w:bCs/>
                      <w:szCs w:val="21"/>
                    </w:rPr>
                    <w:t>温和A区</w:t>
                  </w:r>
                </w:p>
              </w:tc>
              <w:tc>
                <w:tcPr>
                  <w:tcW w:w="958" w:type="pct"/>
                  <w:shd w:val="clear" w:color="auto" w:fill="auto"/>
                  <w:vAlign w:val="center"/>
                </w:tcPr>
                <w:p>
                  <w:pPr>
                    <w:jc w:val="center"/>
                    <w:rPr>
                      <w:bCs/>
                      <w:szCs w:val="21"/>
                      <w:u w:val="single"/>
                    </w:rPr>
                  </w:pPr>
                  <w:r>
                    <w:rPr>
                      <w:bCs/>
                      <w:szCs w:val="21"/>
                      <w:u w:val="single"/>
                    </w:rPr>
                    <w:t>K≤1.2，D≥2.5</w:t>
                  </w:r>
                </w:p>
                <w:p>
                  <w:pPr>
                    <w:jc w:val="center"/>
                    <w:rPr>
                      <w:bCs/>
                      <w:szCs w:val="21"/>
                      <w:u w:val="single"/>
                    </w:rPr>
                  </w:pPr>
                  <w:r>
                    <w:rPr>
                      <w:bCs/>
                      <w:szCs w:val="21"/>
                      <w:u w:val="single"/>
                    </w:rPr>
                    <w:t>K≤</w:t>
                  </w:r>
                  <w:r>
                    <w:rPr>
                      <w:rFonts w:hint="eastAsia"/>
                      <w:bCs/>
                      <w:szCs w:val="21"/>
                      <w:u w:val="single"/>
                    </w:rPr>
                    <w:t>1</w:t>
                  </w:r>
                  <w:r>
                    <w:rPr>
                      <w:bCs/>
                      <w:szCs w:val="21"/>
                      <w:u w:val="single"/>
                    </w:rPr>
                    <w:t>.0，D＜2.5</w:t>
                  </w:r>
                </w:p>
              </w:tc>
              <w:tc>
                <w:tcPr>
                  <w:tcW w:w="958" w:type="pct"/>
                  <w:shd w:val="clear" w:color="auto" w:fill="auto"/>
                  <w:vAlign w:val="center"/>
                </w:tcPr>
                <w:p>
                  <w:pPr>
                    <w:jc w:val="center"/>
                    <w:rPr>
                      <w:bCs/>
                      <w:szCs w:val="21"/>
                      <w:u w:val="single"/>
                    </w:rPr>
                  </w:pPr>
                  <w:r>
                    <w:rPr>
                      <w:bCs/>
                      <w:szCs w:val="21"/>
                      <w:u w:val="single"/>
                    </w:rPr>
                    <w:t>K≤</w:t>
                  </w:r>
                  <w:r>
                    <w:rPr>
                      <w:rFonts w:hint="eastAsia"/>
                      <w:bCs/>
                      <w:szCs w:val="21"/>
                      <w:u w:val="single"/>
                    </w:rPr>
                    <w:t>0</w:t>
                  </w:r>
                  <w:r>
                    <w:rPr>
                      <w:bCs/>
                      <w:szCs w:val="21"/>
                      <w:u w:val="single"/>
                    </w:rPr>
                    <w:t>.7，D≥2.5</w:t>
                  </w:r>
                </w:p>
                <w:p>
                  <w:pPr>
                    <w:jc w:val="center"/>
                    <w:rPr>
                      <w:bCs/>
                      <w:szCs w:val="21"/>
                      <w:u w:val="single"/>
                    </w:rPr>
                  </w:pPr>
                  <w:r>
                    <w:rPr>
                      <w:bCs/>
                      <w:szCs w:val="21"/>
                      <w:u w:val="single"/>
                    </w:rPr>
                    <w:t>K≤</w:t>
                  </w:r>
                  <w:r>
                    <w:rPr>
                      <w:rFonts w:hint="eastAsia"/>
                      <w:bCs/>
                      <w:szCs w:val="21"/>
                      <w:u w:val="single"/>
                    </w:rPr>
                    <w:t>0</w:t>
                  </w:r>
                  <w:r>
                    <w:rPr>
                      <w:bCs/>
                      <w:szCs w:val="21"/>
                      <w:u w:val="single"/>
                    </w:rPr>
                    <w:t>.5，D＜2.5</w:t>
                  </w:r>
                </w:p>
              </w:tc>
              <w:tc>
                <w:tcPr>
                  <w:tcW w:w="449" w:type="pct"/>
                  <w:shd w:val="clear" w:color="auto" w:fill="auto"/>
                  <w:vAlign w:val="center"/>
                </w:tcPr>
                <w:p>
                  <w:pPr>
                    <w:jc w:val="center"/>
                    <w:rPr>
                      <w:kern w:val="0"/>
                      <w:szCs w:val="21"/>
                      <w:u w:val="single"/>
                    </w:rPr>
                  </w:pPr>
                  <w:r>
                    <w:rPr>
                      <w:bCs/>
                      <w:szCs w:val="21"/>
                      <w:u w:val="single"/>
                    </w:rPr>
                    <w:t>K≤2.8</w:t>
                  </w:r>
                </w:p>
              </w:tc>
              <w:tc>
                <w:tcPr>
                  <w:tcW w:w="1067" w:type="pct"/>
                  <w:shd w:val="clear" w:color="auto" w:fill="auto"/>
                  <w:vAlign w:val="center"/>
                </w:tcPr>
                <w:p>
                  <w:pPr>
                    <w:jc w:val="center"/>
                    <w:rPr>
                      <w:bCs/>
                      <w:szCs w:val="21"/>
                      <w:u w:val="single"/>
                    </w:rPr>
                  </w:pPr>
                  <w:r>
                    <w:rPr>
                      <w:bCs/>
                      <w:szCs w:val="21"/>
                      <w:u w:val="single"/>
                    </w:rPr>
                    <w:t>K≤2.5</w:t>
                  </w:r>
                </w:p>
              </w:tc>
              <w:tc>
                <w:tcPr>
                  <w:tcW w:w="954" w:type="pct"/>
                  <w:shd w:val="clear" w:color="auto" w:fill="auto"/>
                  <w:vAlign w:val="center"/>
                </w:tcPr>
                <w:p>
                  <w:pPr>
                    <w:jc w:val="center"/>
                    <w:rPr>
                      <w:kern w:val="0"/>
                      <w:szCs w:val="21"/>
                      <w:u w:val="single"/>
                    </w:rPr>
                  </w:pPr>
                  <w:r>
                    <w:rPr>
                      <w:bCs/>
                      <w:szCs w:val="21"/>
                      <w:u w:val="single"/>
                    </w:rPr>
                    <w:t>K≤3.2</w:t>
                  </w:r>
                </w:p>
              </w:tc>
            </w:tr>
          </w:tbl>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64" w:name="_Toc119425253"/>
            <w:r>
              <w:rPr>
                <w:rFonts w:ascii="宋体" w:hAnsi="宋体"/>
                <w:b/>
                <w:bCs/>
                <w:sz w:val="24"/>
              </w:rPr>
              <w:t>5.3  外墙</w:t>
            </w:r>
            <w:bookmarkEnd w:id="64"/>
          </w:p>
        </w:tc>
        <w:tc>
          <w:tcPr>
            <w:tcW w:w="4753" w:type="dxa"/>
          </w:tcPr>
          <w:p>
            <w:pPr>
              <w:spacing w:line="360" w:lineRule="auto"/>
              <w:jc w:val="center"/>
              <w:rPr>
                <w:rFonts w:ascii="宋体" w:hAnsi="宋体"/>
                <w:b/>
                <w:bCs/>
                <w:sz w:val="24"/>
              </w:rPr>
            </w:pPr>
            <w:r>
              <w:rPr>
                <w:rFonts w:ascii="宋体" w:hAnsi="宋体"/>
                <w:b/>
                <w:bCs/>
                <w:sz w:val="24"/>
              </w:rPr>
              <w:t>5.3  外墙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rPr>
                <w:rFonts w:ascii="宋体" w:hAnsi="宋体"/>
                <w:sz w:val="24"/>
                <w:u w:val="single"/>
              </w:rPr>
            </w:pPr>
            <w:r>
              <w:rPr>
                <w:rFonts w:ascii="宋体" w:hAnsi="宋体"/>
                <w:b/>
                <w:sz w:val="24"/>
                <w:u w:val="single"/>
              </w:rPr>
              <w:t xml:space="preserve">5.3.7 </w:t>
            </w:r>
            <w:r>
              <w:rPr>
                <w:rFonts w:ascii="宋体" w:hAnsi="宋体"/>
                <w:sz w:val="24"/>
                <w:u w:val="single"/>
              </w:rPr>
              <w:t xml:space="preserve"> </w:t>
            </w:r>
            <w:r>
              <w:rPr>
                <w:rFonts w:hint="eastAsia" w:ascii="宋体" w:hAnsi="宋体"/>
                <w:sz w:val="24"/>
                <w:u w:val="single"/>
              </w:rPr>
              <w:t>当进行外墙节能改造时，应符合下列规定：</w:t>
            </w:r>
          </w:p>
          <w:p>
            <w:pPr>
              <w:spacing w:line="360" w:lineRule="auto"/>
              <w:ind w:left="2" w:firstLine="482" w:firstLineChars="200"/>
              <w:rPr>
                <w:rFonts w:ascii="宋体" w:hAnsi="宋体"/>
                <w:sz w:val="24"/>
                <w:u w:val="single"/>
              </w:rPr>
            </w:pPr>
            <w:r>
              <w:rPr>
                <w:rFonts w:hint="eastAsia" w:ascii="宋体" w:hAnsi="宋体"/>
                <w:b/>
                <w:bCs/>
                <w:sz w:val="24"/>
                <w:u w:val="single"/>
              </w:rPr>
              <w:t>1</w:t>
            </w:r>
            <w:r>
              <w:rPr>
                <w:rFonts w:hint="eastAsia" w:ascii="宋体" w:hAnsi="宋体"/>
                <w:sz w:val="24"/>
                <w:u w:val="single"/>
              </w:rPr>
              <w:t xml:space="preserve">  宜</w:t>
            </w:r>
            <w:r>
              <w:rPr>
                <w:rFonts w:hint="eastAsia" w:ascii="宋体" w:hAnsi="宋体"/>
                <w:bCs/>
                <w:sz w:val="24"/>
                <w:u w:val="single"/>
              </w:rPr>
              <w:t>选用</w:t>
            </w:r>
            <w:r>
              <w:rPr>
                <w:rFonts w:hint="eastAsia" w:ascii="宋体" w:hAnsi="宋体"/>
                <w:sz w:val="24"/>
                <w:u w:val="single"/>
              </w:rPr>
              <w:t>外墙外保温构造；</w:t>
            </w:r>
          </w:p>
          <w:p>
            <w:pPr>
              <w:spacing w:line="360" w:lineRule="auto"/>
              <w:ind w:left="2" w:firstLine="482" w:firstLineChars="200"/>
              <w:rPr>
                <w:rFonts w:ascii="宋体" w:hAnsi="宋体"/>
                <w:sz w:val="24"/>
                <w:u w:val="single"/>
              </w:rPr>
            </w:pPr>
            <w:r>
              <w:rPr>
                <w:rFonts w:hint="eastAsia" w:ascii="宋体" w:hAnsi="宋体"/>
                <w:b/>
                <w:bCs/>
                <w:sz w:val="24"/>
                <w:u w:val="single"/>
              </w:rPr>
              <w:t>2</w:t>
            </w:r>
            <w:r>
              <w:rPr>
                <w:rFonts w:hint="eastAsia" w:ascii="宋体" w:hAnsi="宋体"/>
                <w:sz w:val="24"/>
                <w:u w:val="single"/>
              </w:rPr>
              <w:t xml:space="preserve">  当需要保留建筑外立面或者外保温施工困难时，可选用外墙内保温构造。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rPr>
                <w:rFonts w:ascii="宋体" w:hAnsi="宋体"/>
                <w:bCs/>
                <w:sz w:val="24"/>
                <w:u w:val="single"/>
              </w:rPr>
            </w:pPr>
            <w:r>
              <w:rPr>
                <w:rFonts w:hint="eastAsia" w:ascii="宋体" w:hAnsi="宋体"/>
                <w:b/>
                <w:bCs/>
                <w:sz w:val="24"/>
                <w:u w:val="single"/>
              </w:rPr>
              <w:t>5.</w:t>
            </w:r>
            <w:r>
              <w:rPr>
                <w:rFonts w:ascii="宋体" w:hAnsi="宋体"/>
                <w:b/>
                <w:bCs/>
                <w:sz w:val="24"/>
                <w:u w:val="single"/>
              </w:rPr>
              <w:t>3.8</w:t>
            </w:r>
            <w:r>
              <w:rPr>
                <w:rFonts w:ascii="宋体" w:hAnsi="宋体"/>
                <w:bCs/>
                <w:sz w:val="24"/>
                <w:u w:val="single"/>
              </w:rPr>
              <w:t xml:space="preserve"> </w:t>
            </w:r>
            <w:r>
              <w:rPr>
                <w:rFonts w:hint="eastAsia" w:ascii="宋体" w:hAnsi="宋体"/>
                <w:bCs/>
                <w:sz w:val="24"/>
                <w:u w:val="single"/>
              </w:rPr>
              <w:t>外墙节能改造应满足下列要求：</w:t>
            </w:r>
          </w:p>
          <w:p>
            <w:pPr>
              <w:spacing w:line="360" w:lineRule="auto"/>
              <w:ind w:left="2" w:firstLine="480" w:firstLineChars="200"/>
              <w:rPr>
                <w:rFonts w:ascii="宋体" w:hAnsi="宋体"/>
                <w:sz w:val="24"/>
                <w:u w:val="single"/>
              </w:rPr>
            </w:pPr>
            <w:r>
              <w:rPr>
                <w:rFonts w:hint="eastAsia" w:ascii="宋体" w:hAnsi="宋体"/>
                <w:sz w:val="24"/>
                <w:u w:val="single"/>
              </w:rPr>
              <w:t>1</w:t>
            </w:r>
            <w:r>
              <w:rPr>
                <w:rFonts w:ascii="宋体" w:hAnsi="宋体"/>
                <w:sz w:val="24"/>
                <w:u w:val="single"/>
              </w:rPr>
              <w:t xml:space="preserve"> </w:t>
            </w:r>
            <w:r>
              <w:rPr>
                <w:rFonts w:hint="eastAsia" w:ascii="宋体" w:hAnsi="宋体"/>
                <w:sz w:val="24"/>
                <w:u w:val="single"/>
              </w:rPr>
              <w:t>采用外墙外保温做法时，墙体与屋面、门窗、地面的交接位置，以及墙面雨水管、电表箱、燃气管道等位置应进行节点保温和防水构造设计；</w:t>
            </w:r>
          </w:p>
          <w:p>
            <w:pPr>
              <w:spacing w:line="360" w:lineRule="auto"/>
              <w:ind w:left="2" w:firstLine="480" w:firstLineChars="200"/>
              <w:rPr>
                <w:rFonts w:ascii="宋体" w:hAnsi="宋体"/>
                <w:sz w:val="24"/>
                <w:u w:val="single"/>
              </w:rPr>
            </w:pPr>
            <w:r>
              <w:rPr>
                <w:rFonts w:hint="eastAsia" w:ascii="宋体" w:hAnsi="宋体"/>
                <w:sz w:val="24"/>
                <w:u w:val="single"/>
              </w:rPr>
              <w:t>2</w:t>
            </w:r>
            <w:r>
              <w:rPr>
                <w:rFonts w:ascii="宋体" w:hAnsi="宋体"/>
                <w:sz w:val="24"/>
                <w:u w:val="single"/>
              </w:rPr>
              <w:t xml:space="preserve"> </w:t>
            </w:r>
            <w:r>
              <w:rPr>
                <w:rFonts w:hint="eastAsia" w:ascii="宋体" w:hAnsi="宋体"/>
                <w:sz w:val="24"/>
                <w:u w:val="single"/>
              </w:rPr>
              <w:t>采用外墙内保温做法时，应防止结露，并对混凝土梁、柱等热桥部位进行结露验算；</w:t>
            </w:r>
          </w:p>
          <w:p>
            <w:pPr>
              <w:spacing w:line="360" w:lineRule="auto"/>
              <w:ind w:left="2" w:firstLine="480" w:firstLineChars="200"/>
              <w:rPr>
                <w:rFonts w:ascii="宋体" w:hAnsi="宋体"/>
                <w:sz w:val="24"/>
                <w:u w:val="single"/>
              </w:rPr>
            </w:pPr>
            <w:r>
              <w:rPr>
                <w:rFonts w:hint="eastAsia" w:ascii="宋体" w:hAnsi="宋体"/>
                <w:sz w:val="24"/>
                <w:u w:val="single"/>
              </w:rPr>
              <w:t>3</w:t>
            </w:r>
            <w:r>
              <w:rPr>
                <w:rFonts w:ascii="宋体" w:hAnsi="宋体"/>
                <w:sz w:val="24"/>
                <w:u w:val="single"/>
              </w:rPr>
              <w:t xml:space="preserve"> </w:t>
            </w:r>
            <w:r>
              <w:rPr>
                <w:rFonts w:hint="eastAsia" w:ascii="宋体" w:hAnsi="宋体"/>
                <w:sz w:val="24"/>
                <w:u w:val="single"/>
              </w:rPr>
              <w:t>仅对首层外墙改造时，首层与首层以上交接的外墙部分应做防火防水处理，首层以上的外墙部分应进行外立面处理；</w:t>
            </w:r>
          </w:p>
          <w:p>
            <w:pPr>
              <w:spacing w:line="360" w:lineRule="auto"/>
              <w:ind w:left="2" w:firstLine="480" w:firstLineChars="200"/>
              <w:rPr>
                <w:rFonts w:ascii="宋体" w:hAnsi="宋体"/>
                <w:sz w:val="24"/>
                <w:u w:val="single"/>
              </w:rPr>
            </w:pPr>
            <w:r>
              <w:rPr>
                <w:rFonts w:hint="eastAsia" w:ascii="宋体" w:hAnsi="宋体"/>
                <w:sz w:val="24"/>
                <w:u w:val="single"/>
              </w:rPr>
              <w:t>4</w:t>
            </w:r>
            <w:r>
              <w:rPr>
                <w:rFonts w:ascii="宋体" w:hAnsi="宋体"/>
                <w:sz w:val="24"/>
                <w:u w:val="single"/>
              </w:rPr>
              <w:t xml:space="preserve"> </w:t>
            </w:r>
            <w:r>
              <w:rPr>
                <w:rFonts w:hint="eastAsia" w:ascii="宋体" w:hAnsi="宋体"/>
                <w:sz w:val="24"/>
                <w:u w:val="single"/>
              </w:rPr>
              <w:t>南向外墙改造宜进行被动式太阳能房设计。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65" w:name="_Toc308789948"/>
            <w:bookmarkStart w:id="66" w:name="_Toc308019517"/>
            <w:bookmarkStart w:id="67" w:name="_Toc311459962"/>
            <w:bookmarkStart w:id="68" w:name="_Toc119425254"/>
            <w:bookmarkStart w:id="69" w:name="_Toc307301164"/>
            <w:bookmarkStart w:id="70" w:name="_Toc300845635"/>
            <w:r>
              <w:rPr>
                <w:rFonts w:ascii="宋体" w:hAnsi="宋体"/>
                <w:b/>
                <w:bCs/>
                <w:sz w:val="24"/>
              </w:rPr>
              <w:t>5.4  门窗</w:t>
            </w:r>
            <w:bookmarkEnd w:id="65"/>
            <w:bookmarkEnd w:id="66"/>
            <w:bookmarkEnd w:id="67"/>
            <w:bookmarkEnd w:id="68"/>
            <w:bookmarkEnd w:id="69"/>
            <w:bookmarkEnd w:id="70"/>
          </w:p>
        </w:tc>
        <w:tc>
          <w:tcPr>
            <w:tcW w:w="4753" w:type="dxa"/>
          </w:tcPr>
          <w:p>
            <w:pPr>
              <w:spacing w:line="360" w:lineRule="auto"/>
              <w:jc w:val="center"/>
              <w:rPr>
                <w:rFonts w:ascii="宋体" w:hAnsi="宋体"/>
                <w:b/>
                <w:bCs/>
                <w:sz w:val="24"/>
              </w:rPr>
            </w:pPr>
            <w:r>
              <w:rPr>
                <w:rFonts w:ascii="宋体" w:hAnsi="宋体"/>
                <w:b/>
                <w:bCs/>
                <w:sz w:val="24"/>
              </w:rPr>
              <w:t>5.4  门窗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bCs/>
                <w:kern w:val="44"/>
                <w:sz w:val="24"/>
              </w:rPr>
              <w:t xml:space="preserve">5.4.1 </w:t>
            </w:r>
            <w:r>
              <w:rPr>
                <w:rFonts w:ascii="宋体" w:hAnsi="宋体"/>
                <w:bCs/>
                <w:kern w:val="44"/>
                <w:sz w:val="24"/>
              </w:rPr>
              <w:t xml:space="preserve"> 农村居住建筑应选用保温性能和</w:t>
            </w:r>
            <w:r>
              <w:rPr>
                <w:rFonts w:ascii="宋体" w:hAnsi="宋体"/>
                <w:sz w:val="24"/>
              </w:rPr>
              <w:t>密闭性能</w:t>
            </w:r>
            <w:r>
              <w:rPr>
                <w:rFonts w:ascii="宋体" w:hAnsi="宋体"/>
                <w:bCs/>
                <w:kern w:val="44"/>
                <w:sz w:val="24"/>
              </w:rPr>
              <w:t>好</w:t>
            </w:r>
            <w:r>
              <w:rPr>
                <w:rFonts w:ascii="宋体" w:hAnsi="宋体"/>
                <w:sz w:val="24"/>
              </w:rPr>
              <w:t>的门窗，不宜采用推拉窗，外门、外窗的气密性等级不应低于现行国家标准《建筑外门窗气密、水密、抗风压性能分级及检测方法》GB/T 7106规定的4级</w:t>
            </w:r>
            <w:r>
              <w:rPr>
                <w:rFonts w:hint="eastAsia" w:ascii="宋体" w:hAnsi="宋体"/>
                <w:sz w:val="24"/>
              </w:rPr>
              <w:t>。</w:t>
            </w:r>
          </w:p>
        </w:tc>
        <w:tc>
          <w:tcPr>
            <w:tcW w:w="4753" w:type="dxa"/>
          </w:tcPr>
          <w:p>
            <w:pPr>
              <w:spacing w:line="360" w:lineRule="auto"/>
              <w:rPr>
                <w:rFonts w:ascii="宋体" w:hAnsi="宋体"/>
                <w:sz w:val="24"/>
              </w:rPr>
            </w:pPr>
            <w:r>
              <w:rPr>
                <w:rFonts w:ascii="宋体" w:hAnsi="宋体"/>
                <w:b/>
                <w:bCs/>
                <w:kern w:val="44"/>
                <w:sz w:val="24"/>
              </w:rPr>
              <w:t xml:space="preserve">5.4.1 </w:t>
            </w:r>
            <w:r>
              <w:rPr>
                <w:rFonts w:ascii="宋体" w:hAnsi="宋体"/>
                <w:bCs/>
                <w:kern w:val="44"/>
                <w:sz w:val="24"/>
              </w:rPr>
              <w:t xml:space="preserve"> 农村居住建筑应选用保温性能和</w:t>
            </w:r>
            <w:r>
              <w:rPr>
                <w:rFonts w:ascii="宋体" w:hAnsi="宋体"/>
                <w:sz w:val="24"/>
              </w:rPr>
              <w:t>密闭性能</w:t>
            </w:r>
            <w:r>
              <w:rPr>
                <w:rFonts w:ascii="宋体" w:hAnsi="宋体"/>
                <w:bCs/>
                <w:kern w:val="44"/>
                <w:sz w:val="24"/>
              </w:rPr>
              <w:t>好</w:t>
            </w:r>
            <w:r>
              <w:rPr>
                <w:rFonts w:ascii="宋体" w:hAnsi="宋体"/>
                <w:sz w:val="24"/>
              </w:rPr>
              <w:t>的门窗，不宜采用推拉窗，外门、外窗的气密性等级不应低于现行国家标准</w:t>
            </w:r>
            <w:r>
              <w:rPr>
                <w:sz w:val="24"/>
                <w:szCs w:val="21"/>
                <w:bdr w:val="single" w:color="auto" w:sz="4" w:space="0"/>
              </w:rPr>
              <w:t>《建筑外门窗气密、水密、抗风压性能分级及检测方法》GB/T 7106</w:t>
            </w:r>
            <w:r>
              <w:rPr>
                <w:rFonts w:ascii="宋体" w:hAnsi="宋体"/>
                <w:sz w:val="24"/>
                <w:u w:val="single"/>
              </w:rPr>
              <w:t>《</w:t>
            </w:r>
            <w:r>
              <w:rPr>
                <w:rFonts w:hint="eastAsia" w:ascii="宋体" w:hAnsi="宋体"/>
                <w:sz w:val="24"/>
                <w:u w:val="single"/>
              </w:rPr>
              <w:t>建筑幕墙、门窗通用技术条件</w:t>
            </w:r>
            <w:r>
              <w:rPr>
                <w:rFonts w:ascii="宋体" w:hAnsi="宋体"/>
                <w:sz w:val="24"/>
                <w:u w:val="single"/>
              </w:rPr>
              <w:t xml:space="preserve">》GB/T </w:t>
            </w:r>
            <w:r>
              <w:rPr>
                <w:rFonts w:hint="eastAsia" w:ascii="宋体" w:hAnsi="宋体"/>
                <w:sz w:val="24"/>
                <w:u w:val="single"/>
              </w:rPr>
              <w:t>31433</w:t>
            </w:r>
            <w:r>
              <w:rPr>
                <w:rFonts w:ascii="宋体" w:hAnsi="宋体"/>
                <w:sz w:val="24"/>
              </w:rPr>
              <w:t>规定的4级</w:t>
            </w:r>
            <w:r>
              <w:rPr>
                <w:rFonts w:hint="eastAsia" w:ascii="宋体" w:hAnsi="宋体"/>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pStyle w:val="39"/>
              <w:ind w:firstLine="0" w:firstLineChars="0"/>
              <w:rPr>
                <w:rFonts w:ascii="宋体" w:hAnsi="宋体"/>
                <w:szCs w:val="24"/>
                <w:u w:val="single"/>
              </w:rPr>
            </w:pPr>
            <w:r>
              <w:rPr>
                <w:rFonts w:hint="eastAsia" w:ascii="宋体" w:hAnsi="宋体"/>
                <w:b/>
                <w:szCs w:val="24"/>
                <w:u w:val="single"/>
              </w:rPr>
              <w:t>5.4.</w:t>
            </w:r>
            <w:r>
              <w:rPr>
                <w:rFonts w:ascii="宋体" w:hAnsi="宋体"/>
                <w:b/>
                <w:szCs w:val="24"/>
                <w:u w:val="single"/>
              </w:rPr>
              <w:t>5</w:t>
            </w:r>
            <w:r>
              <w:rPr>
                <w:rFonts w:hint="eastAsia" w:ascii="宋体" w:hAnsi="宋体"/>
                <w:szCs w:val="24"/>
                <w:u w:val="single"/>
              </w:rPr>
              <w:t xml:space="preserve"> 严寒和寒冷地区外窗节能改造，可根据具体情况选择下列技术措施：</w:t>
            </w:r>
          </w:p>
          <w:p>
            <w:pPr>
              <w:spacing w:line="360" w:lineRule="auto"/>
              <w:ind w:left="2" w:firstLine="480" w:firstLineChars="200"/>
              <w:rPr>
                <w:rFonts w:ascii="宋体" w:hAnsi="宋体"/>
                <w:sz w:val="24"/>
                <w:u w:val="single"/>
              </w:rPr>
            </w:pPr>
            <w:r>
              <w:rPr>
                <w:rFonts w:hint="eastAsia" w:ascii="宋体" w:hAnsi="宋体"/>
                <w:sz w:val="24"/>
                <w:u w:val="single"/>
              </w:rPr>
              <w:t>1当原有外窗较好，且窗台空间允许时，可增加一樘新窗，两层窗户的间距不应小于100mm；</w:t>
            </w:r>
          </w:p>
          <w:p>
            <w:pPr>
              <w:spacing w:line="360" w:lineRule="auto"/>
              <w:ind w:left="2" w:firstLine="480" w:firstLineChars="200"/>
              <w:rPr>
                <w:rFonts w:ascii="宋体" w:hAnsi="宋体"/>
                <w:sz w:val="24"/>
                <w:u w:val="single"/>
              </w:rPr>
            </w:pPr>
            <w:r>
              <w:rPr>
                <w:rFonts w:hint="eastAsia" w:ascii="宋体" w:hAnsi="宋体"/>
                <w:sz w:val="24"/>
                <w:u w:val="single"/>
              </w:rPr>
              <w:t>2当原有外窗较好，窗台空间不允许时，可在内侧增加一层保温窗帘，保温窗帘应易开启和易关闭；边框可选用塑料或铝合金，边框周边应密封良好；</w:t>
            </w:r>
          </w:p>
          <w:p>
            <w:pPr>
              <w:spacing w:line="360" w:lineRule="auto"/>
              <w:ind w:left="2" w:firstLine="480" w:firstLineChars="200"/>
              <w:rPr>
                <w:rFonts w:ascii="宋体" w:hAnsi="宋体"/>
                <w:sz w:val="24"/>
                <w:u w:val="single"/>
              </w:rPr>
            </w:pPr>
            <w:r>
              <w:rPr>
                <w:rFonts w:hint="eastAsia" w:ascii="宋体" w:hAnsi="宋体"/>
                <w:sz w:val="24"/>
                <w:u w:val="single"/>
              </w:rPr>
              <w:t>3原有外窗没有维修价值时，应更换为传热系数较小、气密性良好的中空玻璃平开窗；</w:t>
            </w:r>
          </w:p>
          <w:p>
            <w:pPr>
              <w:spacing w:line="360" w:lineRule="auto"/>
              <w:ind w:left="2" w:firstLine="480" w:firstLineChars="200"/>
              <w:rPr>
                <w:rFonts w:ascii="宋体" w:hAnsi="宋体"/>
                <w:sz w:val="24"/>
                <w:u w:val="single"/>
              </w:rPr>
            </w:pPr>
            <w:r>
              <w:rPr>
                <w:rFonts w:hint="eastAsia" w:ascii="宋体" w:hAnsi="宋体"/>
                <w:sz w:val="24"/>
                <w:u w:val="single"/>
              </w:rPr>
              <w:t>4门窗框与墙体之间的缝隙应封堵填实；</w:t>
            </w:r>
          </w:p>
          <w:p>
            <w:pPr>
              <w:spacing w:line="360" w:lineRule="auto"/>
              <w:ind w:left="2" w:firstLine="480" w:firstLineChars="200"/>
              <w:rPr>
                <w:rFonts w:ascii="宋体" w:hAnsi="宋体"/>
                <w:sz w:val="24"/>
                <w:u w:val="single"/>
              </w:rPr>
            </w:pPr>
            <w:r>
              <w:rPr>
                <w:rFonts w:hint="eastAsia" w:ascii="宋体" w:hAnsi="宋体"/>
                <w:sz w:val="24"/>
                <w:u w:val="single"/>
              </w:rPr>
              <w:t>5户外连廊宜采用单层玻璃窗在外部进行封闭，封闭部分内的外墙可不做保温处理。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rPr>
                <w:rFonts w:ascii="宋体" w:hAnsi="宋体"/>
                <w:sz w:val="24"/>
                <w:u w:val="single"/>
              </w:rPr>
            </w:pPr>
            <w:r>
              <w:rPr>
                <w:rFonts w:hint="eastAsia" w:ascii="宋体" w:hAnsi="宋体"/>
                <w:b/>
                <w:sz w:val="24"/>
                <w:u w:val="single"/>
              </w:rPr>
              <w:t>5.4.</w:t>
            </w:r>
            <w:r>
              <w:rPr>
                <w:rFonts w:ascii="宋体" w:hAnsi="宋体"/>
                <w:b/>
                <w:sz w:val="24"/>
                <w:u w:val="single"/>
              </w:rPr>
              <w:t xml:space="preserve">6 </w:t>
            </w:r>
            <w:r>
              <w:rPr>
                <w:rFonts w:hint="eastAsia" w:ascii="宋体" w:hAnsi="宋体"/>
                <w:sz w:val="24"/>
                <w:u w:val="single"/>
              </w:rPr>
              <w:t>严寒和寒冷地区单层外门节能改造可采取更换为保温门、加保温门帘、设置门斗等措施。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rPr>
                <w:rFonts w:ascii="宋体" w:hAnsi="宋体"/>
                <w:sz w:val="24"/>
                <w:u w:val="single"/>
              </w:rPr>
            </w:pPr>
            <w:r>
              <w:rPr>
                <w:rFonts w:hint="eastAsia" w:ascii="宋体" w:hAnsi="宋体"/>
                <w:b/>
                <w:sz w:val="24"/>
                <w:u w:val="single"/>
              </w:rPr>
              <w:t>5.4.</w:t>
            </w:r>
            <w:r>
              <w:rPr>
                <w:rFonts w:ascii="宋体" w:hAnsi="宋体"/>
                <w:b/>
                <w:sz w:val="24"/>
                <w:u w:val="single"/>
              </w:rPr>
              <w:t>7</w:t>
            </w:r>
            <w:r>
              <w:rPr>
                <w:rFonts w:hint="eastAsia" w:ascii="宋体" w:hAnsi="宋体"/>
                <w:sz w:val="24"/>
                <w:u w:val="single"/>
              </w:rPr>
              <w:t>夏热冬暖、夏热冬冷和温和A区外窗进行遮阳节能改造时，宜采用外遮阳措施。增设外遮阳时，应对增设结构的安全性进行核验。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71" w:name="_Toc300845636"/>
            <w:bookmarkStart w:id="72" w:name="_Toc311459963"/>
            <w:bookmarkStart w:id="73" w:name="_Toc308019518"/>
            <w:bookmarkStart w:id="74" w:name="_Toc308789949"/>
            <w:bookmarkStart w:id="75" w:name="_Toc119425255"/>
            <w:r>
              <w:rPr>
                <w:rFonts w:ascii="宋体" w:hAnsi="宋体"/>
                <w:b/>
                <w:bCs/>
                <w:sz w:val="24"/>
              </w:rPr>
              <w:t>5.5  屋面</w:t>
            </w:r>
            <w:bookmarkEnd w:id="71"/>
            <w:bookmarkEnd w:id="72"/>
            <w:bookmarkEnd w:id="73"/>
            <w:bookmarkEnd w:id="74"/>
            <w:bookmarkEnd w:id="75"/>
          </w:p>
        </w:tc>
        <w:tc>
          <w:tcPr>
            <w:tcW w:w="4753" w:type="dxa"/>
          </w:tcPr>
          <w:p>
            <w:pPr>
              <w:spacing w:line="360" w:lineRule="auto"/>
              <w:jc w:val="center"/>
              <w:rPr>
                <w:rFonts w:ascii="宋体" w:hAnsi="宋体"/>
                <w:b/>
                <w:bCs/>
                <w:sz w:val="24"/>
              </w:rPr>
            </w:pPr>
            <w:r>
              <w:rPr>
                <w:rFonts w:ascii="宋体" w:hAnsi="宋体"/>
                <w:b/>
                <w:bCs/>
                <w:sz w:val="24"/>
              </w:rPr>
              <w:t>5.5  屋面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 xml:space="preserve">5.5.3  </w:t>
            </w:r>
            <w:r>
              <w:rPr>
                <w:rFonts w:ascii="宋体" w:hAnsi="宋体"/>
                <w:bCs/>
                <w:sz w:val="24"/>
              </w:rPr>
              <w:t>夏热冬冷和夏热冬暖地区</w:t>
            </w:r>
            <w:r>
              <w:rPr>
                <w:rFonts w:ascii="宋体" w:hAnsi="宋体"/>
                <w:sz w:val="24"/>
              </w:rPr>
              <w:t>农村居住建筑的屋面保温构造形式和保温材料厚度，可按本标准表A.0.7选用。</w:t>
            </w:r>
          </w:p>
        </w:tc>
        <w:tc>
          <w:tcPr>
            <w:tcW w:w="4753" w:type="dxa"/>
          </w:tcPr>
          <w:p>
            <w:pPr>
              <w:spacing w:line="360" w:lineRule="auto"/>
              <w:rPr>
                <w:rFonts w:ascii="宋体" w:hAnsi="宋体"/>
                <w:sz w:val="24"/>
              </w:rPr>
            </w:pPr>
            <w:r>
              <w:rPr>
                <w:rFonts w:ascii="宋体" w:hAnsi="宋体"/>
                <w:b/>
                <w:sz w:val="24"/>
              </w:rPr>
              <w:t xml:space="preserve">5.5.3  </w:t>
            </w:r>
            <w:r>
              <w:rPr>
                <w:bCs/>
                <w:sz w:val="24"/>
                <w:szCs w:val="21"/>
              </w:rPr>
              <w:t>夏热冬冷</w:t>
            </w:r>
            <w:r>
              <w:rPr>
                <w:bCs/>
                <w:sz w:val="24"/>
                <w:szCs w:val="21"/>
                <w:bdr w:val="single" w:color="auto" w:sz="4" w:space="0"/>
              </w:rPr>
              <w:t>和</w:t>
            </w:r>
            <w:r>
              <w:rPr>
                <w:rFonts w:hint="eastAsia"/>
                <w:bCs/>
                <w:sz w:val="24"/>
                <w:szCs w:val="21"/>
                <w:u w:val="single"/>
              </w:rPr>
              <w:t>、</w:t>
            </w:r>
            <w:r>
              <w:rPr>
                <w:bCs/>
                <w:sz w:val="24"/>
                <w:szCs w:val="21"/>
              </w:rPr>
              <w:t>夏热冬暖</w:t>
            </w:r>
            <w:r>
              <w:rPr>
                <w:rFonts w:hint="eastAsia"/>
                <w:bCs/>
                <w:sz w:val="24"/>
                <w:szCs w:val="21"/>
                <w:u w:val="single"/>
              </w:rPr>
              <w:t>和温和A</w:t>
            </w:r>
            <w:r>
              <w:rPr>
                <w:bCs/>
                <w:sz w:val="24"/>
                <w:szCs w:val="21"/>
                <w:bdr w:val="single" w:color="auto" w:sz="4" w:space="0"/>
              </w:rPr>
              <w:t>地</w:t>
            </w:r>
            <w:r>
              <w:rPr>
                <w:bCs/>
                <w:sz w:val="24"/>
                <w:szCs w:val="21"/>
              </w:rPr>
              <w:t>区</w:t>
            </w:r>
            <w:r>
              <w:rPr>
                <w:sz w:val="24"/>
                <w:szCs w:val="21"/>
              </w:rPr>
              <w:t>农村居住建筑的屋面保温构造形式和保温材料厚度，可按本标准表A.0.7选用。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5.5.4</w:t>
            </w:r>
            <w:r>
              <w:rPr>
                <w:rFonts w:ascii="宋体" w:hAnsi="宋体"/>
                <w:sz w:val="24"/>
              </w:rPr>
              <w:t xml:space="preserve">  夏热冬冷</w:t>
            </w:r>
            <w:r>
              <w:rPr>
                <w:rFonts w:ascii="宋体" w:hAnsi="宋体"/>
                <w:bCs/>
                <w:sz w:val="24"/>
              </w:rPr>
              <w:t>和夏热冬暖地</w:t>
            </w:r>
            <w:r>
              <w:rPr>
                <w:rFonts w:ascii="宋体" w:hAnsi="宋体"/>
                <w:sz w:val="24"/>
              </w:rPr>
              <w:t>区农村居住建筑的屋面可采用种植屋面，种植屋面应符合现行行业标准《种植屋面工程技术规程》JGJ 155的有关规定。</w:t>
            </w:r>
          </w:p>
        </w:tc>
        <w:tc>
          <w:tcPr>
            <w:tcW w:w="4753" w:type="dxa"/>
          </w:tcPr>
          <w:p>
            <w:pPr>
              <w:spacing w:line="360" w:lineRule="auto"/>
              <w:rPr>
                <w:rFonts w:ascii="宋体" w:hAnsi="宋体"/>
                <w:sz w:val="24"/>
              </w:rPr>
            </w:pPr>
            <w:r>
              <w:rPr>
                <w:rFonts w:ascii="宋体" w:hAnsi="宋体"/>
                <w:b/>
                <w:sz w:val="24"/>
              </w:rPr>
              <w:t>5.5.4</w:t>
            </w:r>
            <w:r>
              <w:rPr>
                <w:rFonts w:ascii="宋体" w:hAnsi="宋体"/>
                <w:sz w:val="24"/>
              </w:rPr>
              <w:t xml:space="preserve">  </w:t>
            </w:r>
            <w:r>
              <w:rPr>
                <w:sz w:val="24"/>
                <w:szCs w:val="21"/>
              </w:rPr>
              <w:t>夏热冬冷</w:t>
            </w:r>
            <w:r>
              <w:rPr>
                <w:bCs/>
                <w:sz w:val="24"/>
                <w:szCs w:val="21"/>
                <w:bdr w:val="single" w:color="auto" w:sz="4" w:space="0"/>
              </w:rPr>
              <w:t>和</w:t>
            </w:r>
            <w:r>
              <w:rPr>
                <w:rFonts w:hint="eastAsia"/>
                <w:bCs/>
                <w:sz w:val="24"/>
                <w:szCs w:val="21"/>
                <w:u w:val="single"/>
              </w:rPr>
              <w:t>、</w:t>
            </w:r>
            <w:r>
              <w:rPr>
                <w:bCs/>
                <w:sz w:val="24"/>
                <w:szCs w:val="21"/>
              </w:rPr>
              <w:t>夏热冬暖</w:t>
            </w:r>
            <w:r>
              <w:rPr>
                <w:rFonts w:hint="eastAsia"/>
                <w:bCs/>
                <w:sz w:val="24"/>
                <w:szCs w:val="21"/>
                <w:u w:val="single"/>
              </w:rPr>
              <w:t>和温和A</w:t>
            </w:r>
            <w:r>
              <w:rPr>
                <w:bCs/>
                <w:sz w:val="24"/>
                <w:szCs w:val="21"/>
                <w:bdr w:val="single" w:color="auto" w:sz="4" w:space="0"/>
              </w:rPr>
              <w:t>地</w:t>
            </w:r>
            <w:r>
              <w:rPr>
                <w:sz w:val="24"/>
                <w:szCs w:val="21"/>
              </w:rPr>
              <w:t>区农村居住建筑的屋面可采用种植屋面，种植屋面应符合现行行业标准《种植屋面工程技术规程》JGJ 155的有关规定。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rPr>
                <w:rFonts w:ascii="宋体" w:hAnsi="宋体"/>
                <w:color w:val="FF0000"/>
                <w:sz w:val="24"/>
                <w:u w:val="single"/>
              </w:rPr>
            </w:pPr>
            <w:r>
              <w:rPr>
                <w:rFonts w:ascii="宋体" w:hAnsi="宋体"/>
                <w:b/>
                <w:sz w:val="24"/>
                <w:u w:val="single"/>
              </w:rPr>
              <w:t xml:space="preserve">5.5.5  </w:t>
            </w:r>
            <w:r>
              <w:rPr>
                <w:rFonts w:hint="eastAsia" w:ascii="宋体" w:hAnsi="宋体"/>
                <w:sz w:val="24"/>
                <w:u w:val="single"/>
              </w:rPr>
              <w:t>对平屋面进行节能改造时，可选择下列技术措施：</w:t>
            </w:r>
          </w:p>
          <w:p>
            <w:pPr>
              <w:spacing w:line="360" w:lineRule="auto"/>
              <w:ind w:left="2" w:firstLine="482" w:firstLineChars="200"/>
              <w:rPr>
                <w:rFonts w:ascii="宋体" w:hAnsi="宋体"/>
                <w:sz w:val="24"/>
                <w:u w:val="single"/>
              </w:rPr>
            </w:pPr>
            <w:r>
              <w:rPr>
                <w:rFonts w:hint="eastAsia" w:ascii="宋体" w:hAnsi="宋体"/>
                <w:b/>
                <w:bCs/>
                <w:sz w:val="24"/>
                <w:u w:val="single"/>
              </w:rPr>
              <w:t>1</w:t>
            </w:r>
            <w:r>
              <w:rPr>
                <w:rFonts w:hint="eastAsia" w:ascii="宋体" w:hAnsi="宋体"/>
                <w:sz w:val="24"/>
                <w:u w:val="single"/>
              </w:rPr>
              <w:t xml:space="preserve">  可增设室内吊顶，并敷设一定厚度的轻质保温材料；</w:t>
            </w:r>
          </w:p>
          <w:p>
            <w:pPr>
              <w:spacing w:line="360" w:lineRule="auto"/>
              <w:ind w:left="2" w:firstLine="482" w:firstLineChars="200"/>
              <w:rPr>
                <w:rFonts w:ascii="宋体" w:hAnsi="宋体"/>
                <w:sz w:val="24"/>
                <w:u w:val="single"/>
              </w:rPr>
            </w:pPr>
            <w:r>
              <w:rPr>
                <w:rFonts w:hint="eastAsia" w:ascii="宋体" w:hAnsi="宋体"/>
                <w:b/>
                <w:bCs/>
                <w:sz w:val="24"/>
                <w:u w:val="single"/>
              </w:rPr>
              <w:t>2</w:t>
            </w:r>
            <w:r>
              <w:rPr>
                <w:rFonts w:hint="eastAsia" w:ascii="宋体" w:hAnsi="宋体"/>
                <w:sz w:val="24"/>
                <w:u w:val="single"/>
              </w:rPr>
              <w:t xml:space="preserve">  平屋面表面平整、无渗漏时，可在原屋面上增设保温层和保护层，形成倒置式屋面，改造部位应符合现行行业标准《倒置式屋面工程技术规程》JGJ</w:t>
            </w:r>
            <w:r>
              <w:rPr>
                <w:rFonts w:ascii="宋体" w:hAnsi="宋体"/>
                <w:sz w:val="24"/>
                <w:u w:val="single"/>
              </w:rPr>
              <w:t xml:space="preserve"> </w:t>
            </w:r>
            <w:r>
              <w:rPr>
                <w:rFonts w:hint="eastAsia" w:ascii="宋体" w:hAnsi="宋体"/>
                <w:sz w:val="24"/>
                <w:u w:val="single"/>
              </w:rPr>
              <w:t>230的有关规定。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rPr>
                <w:rFonts w:ascii="宋体" w:hAnsi="宋体"/>
                <w:sz w:val="24"/>
                <w:u w:val="single"/>
              </w:rPr>
            </w:pPr>
            <w:r>
              <w:rPr>
                <w:rFonts w:hint="eastAsia" w:ascii="宋体" w:hAnsi="宋体"/>
                <w:b/>
                <w:bCs/>
                <w:kern w:val="0"/>
                <w:sz w:val="24"/>
                <w:u w:val="single"/>
              </w:rPr>
              <w:t>5.5.</w:t>
            </w:r>
            <w:r>
              <w:rPr>
                <w:rFonts w:ascii="宋体" w:hAnsi="宋体"/>
                <w:b/>
                <w:bCs/>
                <w:kern w:val="0"/>
                <w:sz w:val="24"/>
                <w:u w:val="single"/>
              </w:rPr>
              <w:t>6</w:t>
            </w:r>
            <w:r>
              <w:rPr>
                <w:rFonts w:hint="eastAsia" w:ascii="宋体" w:hAnsi="宋体"/>
                <w:b/>
                <w:bCs/>
                <w:kern w:val="0"/>
                <w:sz w:val="24"/>
                <w:u w:val="single"/>
              </w:rPr>
              <w:t xml:space="preserve">  </w:t>
            </w:r>
            <w:r>
              <w:rPr>
                <w:rFonts w:hint="eastAsia" w:ascii="宋体" w:hAnsi="宋体"/>
                <w:sz w:val="24"/>
                <w:u w:val="single"/>
              </w:rPr>
              <w:t>对坡屋面进行节能改造时，应选择下列技术措施：</w:t>
            </w:r>
          </w:p>
          <w:p>
            <w:pPr>
              <w:spacing w:line="360" w:lineRule="auto"/>
              <w:ind w:left="2" w:firstLine="482" w:firstLineChars="200"/>
              <w:rPr>
                <w:rFonts w:ascii="宋体" w:hAnsi="宋体"/>
                <w:sz w:val="24"/>
                <w:u w:val="single"/>
              </w:rPr>
            </w:pPr>
            <w:r>
              <w:rPr>
                <w:rFonts w:hint="eastAsia" w:ascii="宋体" w:hAnsi="宋体"/>
                <w:b/>
                <w:bCs/>
                <w:sz w:val="24"/>
                <w:u w:val="single"/>
              </w:rPr>
              <w:t xml:space="preserve">1  </w:t>
            </w:r>
            <w:r>
              <w:rPr>
                <w:rFonts w:hint="eastAsia" w:ascii="宋体" w:hAnsi="宋体"/>
                <w:sz w:val="24"/>
                <w:u w:val="single"/>
              </w:rPr>
              <w:t>优先增设室内吊顶，并敷设一定厚度的轻质保温材料；</w:t>
            </w:r>
          </w:p>
          <w:p>
            <w:pPr>
              <w:spacing w:line="360" w:lineRule="auto"/>
              <w:ind w:left="2" w:firstLine="482" w:firstLineChars="200"/>
              <w:rPr>
                <w:rFonts w:ascii="宋体" w:hAnsi="宋体"/>
                <w:sz w:val="24"/>
                <w:u w:val="single"/>
              </w:rPr>
            </w:pPr>
            <w:r>
              <w:rPr>
                <w:rFonts w:hint="eastAsia" w:ascii="宋体" w:hAnsi="宋体"/>
                <w:b/>
                <w:bCs/>
                <w:sz w:val="24"/>
                <w:u w:val="single"/>
              </w:rPr>
              <w:t xml:space="preserve">2  </w:t>
            </w:r>
            <w:r>
              <w:rPr>
                <w:rFonts w:hint="eastAsia" w:ascii="宋体" w:hAnsi="宋体"/>
                <w:sz w:val="24"/>
                <w:u w:val="single"/>
              </w:rPr>
              <w:t>在原屋面上增设保温层和保护层。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76" w:name="_Toc308789950"/>
            <w:bookmarkStart w:id="77" w:name="_Toc311459964"/>
            <w:bookmarkStart w:id="78" w:name="_Toc308019519"/>
            <w:bookmarkStart w:id="79" w:name="_Toc119425256"/>
            <w:r>
              <w:rPr>
                <w:rFonts w:ascii="宋体" w:hAnsi="宋体"/>
                <w:b/>
                <w:bCs/>
                <w:sz w:val="24"/>
              </w:rPr>
              <w:t>5.6  地面</w:t>
            </w:r>
            <w:bookmarkEnd w:id="76"/>
            <w:bookmarkEnd w:id="77"/>
            <w:bookmarkEnd w:id="78"/>
            <w:bookmarkEnd w:id="79"/>
          </w:p>
        </w:tc>
        <w:tc>
          <w:tcPr>
            <w:tcW w:w="4753" w:type="dxa"/>
          </w:tcPr>
          <w:p>
            <w:pPr>
              <w:spacing w:line="360" w:lineRule="auto"/>
              <w:jc w:val="center"/>
              <w:rPr>
                <w:rFonts w:ascii="宋体" w:hAnsi="宋体"/>
                <w:b/>
                <w:bCs/>
                <w:sz w:val="24"/>
              </w:rPr>
            </w:pPr>
            <w:r>
              <w:rPr>
                <w:rFonts w:ascii="宋体" w:hAnsi="宋体"/>
                <w:b/>
                <w:bCs/>
                <w:sz w:val="24"/>
              </w:rPr>
              <w:t>5.6  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 xml:space="preserve">5.6.1  </w:t>
            </w:r>
            <w:r>
              <w:rPr>
                <w:rFonts w:ascii="宋体" w:hAnsi="宋体"/>
                <w:sz w:val="24"/>
              </w:rPr>
              <w:t>严寒地区农村居住建筑的地面宜设保温层，外墙在室内地坪以下的垂直墙面应增设保温层。地面保温层下方应设置防潮层。</w:t>
            </w:r>
          </w:p>
        </w:tc>
        <w:tc>
          <w:tcPr>
            <w:tcW w:w="4753" w:type="dxa"/>
          </w:tcPr>
          <w:p>
            <w:pPr>
              <w:spacing w:line="360" w:lineRule="auto"/>
              <w:rPr>
                <w:rFonts w:ascii="宋体" w:hAnsi="宋体"/>
                <w:sz w:val="24"/>
              </w:rPr>
            </w:pPr>
            <w:r>
              <w:rPr>
                <w:rFonts w:ascii="宋体" w:hAnsi="宋体"/>
                <w:b/>
                <w:sz w:val="24"/>
              </w:rPr>
              <w:t xml:space="preserve">5.6.1  </w:t>
            </w:r>
            <w:r>
              <w:rPr>
                <w:rFonts w:ascii="宋体" w:hAnsi="宋体"/>
                <w:sz w:val="24"/>
              </w:rPr>
              <w:t>严寒地区农村居住建筑的地面</w:t>
            </w:r>
            <w:r>
              <w:rPr>
                <w:sz w:val="24"/>
                <w:szCs w:val="21"/>
                <w:bdr w:val="single" w:color="auto" w:sz="4" w:space="0"/>
              </w:rPr>
              <w:t>宜</w:t>
            </w:r>
            <w:r>
              <w:rPr>
                <w:rFonts w:hint="eastAsia" w:ascii="宋体" w:hAnsi="宋体"/>
                <w:sz w:val="24"/>
                <w:u w:val="single"/>
              </w:rPr>
              <w:t>应</w:t>
            </w:r>
            <w:r>
              <w:rPr>
                <w:rFonts w:ascii="宋体" w:hAnsi="宋体"/>
                <w:sz w:val="24"/>
              </w:rPr>
              <w:t>设保温层，</w:t>
            </w:r>
            <w:r>
              <w:rPr>
                <w:rFonts w:hint="eastAsia" w:ascii="宋体" w:hAnsi="宋体"/>
                <w:sz w:val="24"/>
                <w:u w:val="single"/>
              </w:rPr>
              <w:t>寒冷地区宜设保温层，且其热阻不应小于0.91 (m2·K/W)，</w:t>
            </w:r>
            <w:r>
              <w:rPr>
                <w:rFonts w:ascii="宋体" w:hAnsi="宋体"/>
                <w:sz w:val="24"/>
              </w:rPr>
              <w:t>外墙在室内地坪以下的垂直墙面应增设保温层。地面保温层下方应设置防潮层。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b/>
                <w:sz w:val="24"/>
              </w:rPr>
            </w:pPr>
          </w:p>
        </w:tc>
        <w:tc>
          <w:tcPr>
            <w:tcW w:w="4753" w:type="dxa"/>
          </w:tcPr>
          <w:p>
            <w:pPr>
              <w:spacing w:line="360" w:lineRule="auto"/>
              <w:rPr>
                <w:rFonts w:ascii="宋体" w:hAnsi="宋体"/>
                <w:b/>
                <w:sz w:val="24"/>
                <w:u w:val="single"/>
              </w:rPr>
            </w:pPr>
            <w:r>
              <w:rPr>
                <w:rFonts w:hint="eastAsia" w:ascii="宋体" w:hAnsi="宋体"/>
                <w:b/>
                <w:sz w:val="24"/>
                <w:u w:val="single"/>
              </w:rPr>
              <w:t xml:space="preserve">5.6.1A  </w:t>
            </w:r>
            <w:r>
              <w:rPr>
                <w:rFonts w:hint="eastAsia" w:ascii="宋体" w:hAnsi="宋体"/>
                <w:bCs/>
                <w:sz w:val="24"/>
                <w:u w:val="single"/>
              </w:rPr>
              <w:t>严寒和寒冷地区卧室、起居室宜采用建筑蓄热地面。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 xml:space="preserve">5.6.2 </w:t>
            </w:r>
            <w:r>
              <w:rPr>
                <w:rFonts w:ascii="宋体" w:hAnsi="宋体"/>
                <w:sz w:val="24"/>
              </w:rPr>
              <w:t xml:space="preserve"> 夏热冬冷</w:t>
            </w:r>
            <w:r>
              <w:rPr>
                <w:rFonts w:ascii="宋体" w:hAnsi="宋体"/>
                <w:bCs/>
                <w:sz w:val="24"/>
              </w:rPr>
              <w:t>和夏热冬暖地</w:t>
            </w:r>
            <w:r>
              <w:rPr>
                <w:rFonts w:ascii="宋体" w:hAnsi="宋体"/>
                <w:sz w:val="24"/>
              </w:rPr>
              <w:t>区地面宜做防潮处理，也可采取地表面采用蓄热系数小的材料或采用带有微孔的面层材料等防潮措施。</w:t>
            </w:r>
          </w:p>
        </w:tc>
        <w:tc>
          <w:tcPr>
            <w:tcW w:w="4753" w:type="dxa"/>
          </w:tcPr>
          <w:p>
            <w:pPr>
              <w:spacing w:line="360" w:lineRule="auto"/>
              <w:rPr>
                <w:rFonts w:ascii="宋体" w:hAnsi="宋体"/>
                <w:sz w:val="24"/>
              </w:rPr>
            </w:pPr>
            <w:r>
              <w:rPr>
                <w:rFonts w:ascii="宋体" w:hAnsi="宋体"/>
                <w:b/>
                <w:sz w:val="24"/>
              </w:rPr>
              <w:t xml:space="preserve">5.6.2 </w:t>
            </w:r>
            <w:r>
              <w:rPr>
                <w:sz w:val="24"/>
                <w:szCs w:val="21"/>
              </w:rPr>
              <w:t>夏热冬冷</w:t>
            </w:r>
            <w:r>
              <w:rPr>
                <w:bCs/>
                <w:sz w:val="24"/>
                <w:szCs w:val="21"/>
                <w:bdr w:val="single" w:color="auto" w:sz="4" w:space="0"/>
              </w:rPr>
              <w:t>和</w:t>
            </w:r>
            <w:r>
              <w:rPr>
                <w:rFonts w:hint="eastAsia"/>
                <w:bCs/>
                <w:sz w:val="24"/>
                <w:szCs w:val="21"/>
                <w:u w:val="single"/>
              </w:rPr>
              <w:t>、</w:t>
            </w:r>
            <w:r>
              <w:rPr>
                <w:bCs/>
                <w:sz w:val="24"/>
                <w:szCs w:val="21"/>
              </w:rPr>
              <w:t>夏热冬暖</w:t>
            </w:r>
            <w:r>
              <w:rPr>
                <w:rFonts w:hint="eastAsia"/>
                <w:bCs/>
                <w:sz w:val="24"/>
                <w:szCs w:val="21"/>
                <w:u w:val="single"/>
              </w:rPr>
              <w:t>和温和A</w:t>
            </w:r>
            <w:r>
              <w:rPr>
                <w:bCs/>
                <w:sz w:val="24"/>
                <w:szCs w:val="21"/>
                <w:bdr w:val="single" w:color="auto" w:sz="4" w:space="0"/>
              </w:rPr>
              <w:t>地</w:t>
            </w:r>
            <w:r>
              <w:rPr>
                <w:sz w:val="24"/>
                <w:szCs w:val="21"/>
              </w:rPr>
              <w:t>区地面宜做防潮处理，也可采取地表面采用蓄热系数小的材料或采用带有微孔的面层材料等防潮措施。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80" w:name="_Toc311459965"/>
            <w:bookmarkStart w:id="81" w:name="_Toc119425257"/>
            <w:r>
              <w:rPr>
                <w:rFonts w:ascii="宋体" w:hAnsi="宋体"/>
                <w:b/>
                <w:bCs/>
                <w:sz w:val="24"/>
              </w:rPr>
              <w:t>6  供暖通风系统</w:t>
            </w:r>
            <w:bookmarkEnd w:id="80"/>
            <w:bookmarkEnd w:id="81"/>
          </w:p>
        </w:tc>
        <w:tc>
          <w:tcPr>
            <w:tcW w:w="4753" w:type="dxa"/>
          </w:tcPr>
          <w:p>
            <w:pPr>
              <w:spacing w:line="360" w:lineRule="auto"/>
              <w:jc w:val="center"/>
              <w:rPr>
                <w:rFonts w:ascii="宋体" w:hAnsi="宋体"/>
                <w:b/>
                <w:bCs/>
                <w:sz w:val="24"/>
              </w:rPr>
            </w:pPr>
            <w:r>
              <w:rPr>
                <w:rFonts w:ascii="宋体" w:hAnsi="宋体"/>
                <w:b/>
                <w:bCs/>
                <w:sz w:val="24"/>
              </w:rPr>
              <w:t>6  供暖通风系统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82" w:name="_Toc308021741"/>
            <w:bookmarkStart w:id="83" w:name="_Toc119425258"/>
            <w:bookmarkStart w:id="84" w:name="_Toc311459966"/>
            <w:r>
              <w:rPr>
                <w:rFonts w:ascii="宋体" w:hAnsi="宋体"/>
                <w:b/>
                <w:bCs/>
                <w:sz w:val="24"/>
              </w:rPr>
              <w:t>6.1  一般规定</w:t>
            </w:r>
            <w:bookmarkEnd w:id="82"/>
            <w:bookmarkEnd w:id="83"/>
            <w:bookmarkEnd w:id="84"/>
          </w:p>
        </w:tc>
        <w:tc>
          <w:tcPr>
            <w:tcW w:w="4753" w:type="dxa"/>
          </w:tcPr>
          <w:p>
            <w:pPr>
              <w:spacing w:line="360" w:lineRule="auto"/>
              <w:jc w:val="center"/>
              <w:rPr>
                <w:rFonts w:ascii="宋体" w:hAnsi="宋体"/>
                <w:b/>
                <w:bCs/>
                <w:sz w:val="24"/>
              </w:rPr>
            </w:pPr>
            <w:r>
              <w:rPr>
                <w:rFonts w:ascii="宋体" w:hAnsi="宋体"/>
                <w:b/>
                <w:bCs/>
                <w:sz w:val="24"/>
              </w:rPr>
              <w:t>6.1  一般规定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 xml:space="preserve">6.1.1  </w:t>
            </w:r>
            <w:r>
              <w:rPr>
                <w:rFonts w:ascii="宋体" w:hAnsi="宋体"/>
                <w:sz w:val="24"/>
              </w:rPr>
              <w:t>农村居住建筑供暖设计应与建筑设计同步进行，应结合建筑平面和结构，对灶、烟道、烟囱、供暖设施等进行综合布置。</w:t>
            </w:r>
          </w:p>
        </w:tc>
        <w:tc>
          <w:tcPr>
            <w:tcW w:w="4753" w:type="dxa"/>
          </w:tcPr>
          <w:p>
            <w:pPr>
              <w:spacing w:line="360" w:lineRule="auto"/>
              <w:rPr>
                <w:rFonts w:ascii="宋体" w:hAnsi="宋体"/>
                <w:sz w:val="24"/>
              </w:rPr>
            </w:pPr>
            <w:r>
              <w:rPr>
                <w:rFonts w:ascii="宋体" w:hAnsi="宋体"/>
                <w:b/>
                <w:sz w:val="24"/>
              </w:rPr>
              <w:t xml:space="preserve">6.1.1  </w:t>
            </w:r>
            <w:r>
              <w:rPr>
                <w:rFonts w:ascii="宋体" w:hAnsi="宋体"/>
                <w:sz w:val="24"/>
              </w:rPr>
              <w:t>农村居住建筑供暖</w:t>
            </w:r>
            <w:r>
              <w:rPr>
                <w:rFonts w:hint="eastAsia" w:ascii="宋体" w:hAnsi="宋体"/>
                <w:sz w:val="24"/>
                <w:u w:val="single"/>
              </w:rPr>
              <w:t>系统</w:t>
            </w:r>
            <w:r>
              <w:rPr>
                <w:rFonts w:ascii="宋体" w:hAnsi="宋体"/>
                <w:sz w:val="24"/>
              </w:rPr>
              <w:t>设计应与建筑设计同步进行，应结合建筑平面和结构，对灶、烟道、烟囱、供暖设施等进行综合布置。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jc w:val="left"/>
              <w:rPr>
                <w:rFonts w:ascii="宋体" w:hAnsi="宋体"/>
                <w:sz w:val="24"/>
                <w:u w:val="single"/>
              </w:rPr>
            </w:pPr>
            <w:r>
              <w:rPr>
                <w:rFonts w:ascii="宋体" w:hAnsi="宋体"/>
                <w:b/>
                <w:sz w:val="24"/>
                <w:u w:val="single"/>
              </w:rPr>
              <w:t>6.1.1</w:t>
            </w:r>
            <w:r>
              <w:rPr>
                <w:rFonts w:hint="eastAsia" w:ascii="宋体" w:hAnsi="宋体"/>
                <w:b/>
                <w:sz w:val="24"/>
                <w:u w:val="single"/>
              </w:rPr>
              <w:t>A</w:t>
            </w:r>
            <w:r>
              <w:rPr>
                <w:rFonts w:ascii="宋体" w:hAnsi="宋体"/>
                <w:b/>
                <w:sz w:val="24"/>
                <w:u w:val="single"/>
              </w:rPr>
              <w:t xml:space="preserve"> </w:t>
            </w:r>
            <w:r>
              <w:rPr>
                <w:rFonts w:hint="eastAsia" w:ascii="宋体" w:hAnsi="宋体"/>
                <w:bCs/>
                <w:sz w:val="24"/>
                <w:u w:val="single"/>
              </w:rPr>
              <w:t>农村居住建筑应根据不同地区的气候特征、能源资源条件、经济发展水平，并应分析投资成本和运行费用后，选择适宜的清洁供暖方式和通风降温方式</w:t>
            </w:r>
            <w:r>
              <w:rPr>
                <w:rFonts w:hint="eastAsia" w:ascii="宋体" w:hAnsi="宋体"/>
                <w:sz w:val="24"/>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 xml:space="preserve">6.1.2  </w:t>
            </w:r>
            <w:r>
              <w:rPr>
                <w:rFonts w:ascii="宋体" w:hAnsi="宋体"/>
                <w:sz w:val="24"/>
              </w:rPr>
              <w:t>严寒和寒冷地区农村居住建筑应根据房间耗热量、供暖需求特点、居民生活习惯以及当地资源条件，合理选用火炕、火墙</w:t>
            </w:r>
            <w:r>
              <w:rPr>
                <w:rFonts w:ascii="宋体" w:hAnsi="宋体" w:cs="宋体"/>
                <w:sz w:val="24"/>
              </w:rPr>
              <w:t>火炉、热水供暖系统</w:t>
            </w:r>
            <w:r>
              <w:rPr>
                <w:rFonts w:hint="eastAsia" w:ascii="宋体" w:hAnsi="宋体" w:cs="宋体"/>
                <w:sz w:val="24"/>
              </w:rPr>
              <w:t>、</w:t>
            </w:r>
            <w:r>
              <w:rPr>
                <w:rFonts w:ascii="宋体" w:hAnsi="宋体"/>
                <w:sz w:val="24"/>
              </w:rPr>
              <w:t>等一种或多种供暖方式，并</w:t>
            </w:r>
            <w:r>
              <w:rPr>
                <w:rFonts w:ascii="宋体" w:hAnsi="宋体" w:cs="宋体"/>
                <w:sz w:val="24"/>
              </w:rPr>
              <w:t>宜</w:t>
            </w:r>
            <w:r>
              <w:rPr>
                <w:rFonts w:ascii="宋体" w:hAnsi="宋体"/>
                <w:sz w:val="24"/>
              </w:rPr>
              <w:t>利用</w:t>
            </w:r>
            <w:r>
              <w:rPr>
                <w:rFonts w:ascii="宋体" w:hAnsi="宋体" w:cs="宋体"/>
                <w:sz w:val="24"/>
              </w:rPr>
              <w:t>生物质燃料</w:t>
            </w:r>
            <w:r>
              <w:rPr>
                <w:rFonts w:ascii="宋体" w:hAnsi="宋体"/>
                <w:sz w:val="24"/>
              </w:rPr>
              <w:t>。</w:t>
            </w:r>
            <w:r>
              <w:rPr>
                <w:rFonts w:ascii="宋体" w:hAnsi="宋体" w:cs="宋体"/>
                <w:sz w:val="24"/>
              </w:rPr>
              <w:t>夏热冬冷地区</w:t>
            </w:r>
            <w:r>
              <w:rPr>
                <w:rFonts w:hint="eastAsia" w:ascii="宋体" w:hAnsi="宋体" w:cs="宋体"/>
                <w:sz w:val="24"/>
              </w:rPr>
              <w:t>、温和地区</w:t>
            </w:r>
            <w:r>
              <w:rPr>
                <w:rFonts w:ascii="宋体" w:hAnsi="宋体" w:cs="宋体"/>
                <w:sz w:val="24"/>
              </w:rPr>
              <w:t>农村居住建筑宜采用局部供暖设施。</w:t>
            </w:r>
          </w:p>
        </w:tc>
        <w:tc>
          <w:tcPr>
            <w:tcW w:w="4753" w:type="dxa"/>
          </w:tcPr>
          <w:p>
            <w:pPr>
              <w:spacing w:line="360" w:lineRule="auto"/>
              <w:rPr>
                <w:rFonts w:ascii="宋体" w:hAnsi="宋体"/>
                <w:sz w:val="24"/>
              </w:rPr>
            </w:pPr>
            <w:r>
              <w:rPr>
                <w:rFonts w:ascii="宋体" w:hAnsi="宋体"/>
                <w:b/>
                <w:sz w:val="24"/>
              </w:rPr>
              <w:t xml:space="preserve">6.1.2 </w:t>
            </w:r>
            <w:r>
              <w:rPr>
                <w:sz w:val="24"/>
              </w:rPr>
              <w:t>严寒和寒冷地区农村居住建筑应根据房间耗热量、供暖需求特点、居民生活习惯以及当地资源条件，合理选用</w:t>
            </w:r>
            <w:r>
              <w:rPr>
                <w:sz w:val="24"/>
                <w:u w:val="single"/>
              </w:rPr>
              <w:t>空气源</w:t>
            </w:r>
            <w:r>
              <w:rPr>
                <w:rFonts w:hint="eastAsia"/>
                <w:sz w:val="24"/>
                <w:u w:val="single"/>
              </w:rPr>
              <w:t>热泵</w:t>
            </w:r>
            <w:r>
              <w:rPr>
                <w:sz w:val="24"/>
                <w:u w:val="single"/>
              </w:rPr>
              <w:t>、生物质</w:t>
            </w:r>
            <w:r>
              <w:rPr>
                <w:rFonts w:hint="eastAsia"/>
                <w:sz w:val="24"/>
                <w:u w:val="single"/>
              </w:rPr>
              <w:t>燃料</w:t>
            </w:r>
            <w:r>
              <w:rPr>
                <w:sz w:val="24"/>
                <w:u w:val="single"/>
              </w:rPr>
              <w:t>、太阳能</w:t>
            </w:r>
            <w:r>
              <w:rPr>
                <w:rFonts w:hint="eastAsia"/>
                <w:sz w:val="24"/>
                <w:u w:val="single"/>
              </w:rPr>
              <w:t>热水供暖</w:t>
            </w:r>
            <w:r>
              <w:rPr>
                <w:sz w:val="24"/>
                <w:u w:val="single"/>
              </w:rPr>
              <w:t>、</w:t>
            </w:r>
            <w:r>
              <w:rPr>
                <w:rFonts w:hint="eastAsia"/>
                <w:sz w:val="24"/>
                <w:u w:val="single"/>
              </w:rPr>
              <w:t>电加热供暖、户式燃气炉、</w:t>
            </w:r>
            <w:r>
              <w:rPr>
                <w:sz w:val="24"/>
              </w:rPr>
              <w:t>火炕、火墙</w:t>
            </w:r>
            <w:r>
              <w:rPr>
                <w:rFonts w:ascii="宋体" w:hAnsi="宋体" w:cs="宋体"/>
                <w:sz w:val="24"/>
                <w:bdr w:val="single" w:color="auto" w:sz="4" w:space="0"/>
              </w:rPr>
              <w:t>火炉、热水供暖系统</w:t>
            </w:r>
            <w:r>
              <w:rPr>
                <w:rFonts w:hint="eastAsia" w:ascii="宋体" w:hAnsi="宋体" w:cs="宋体"/>
                <w:sz w:val="24"/>
                <w:bdr w:val="single" w:color="auto" w:sz="4" w:space="0"/>
              </w:rPr>
              <w:t>、</w:t>
            </w:r>
            <w:r>
              <w:rPr>
                <w:sz w:val="24"/>
              </w:rPr>
              <w:t>等一种或多种供暖方式，</w:t>
            </w:r>
            <w:r>
              <w:rPr>
                <w:rFonts w:hint="eastAsia"/>
                <w:sz w:val="24"/>
                <w:u w:val="single"/>
              </w:rPr>
              <w:t>且宜兼顾炊事用能需求</w:t>
            </w:r>
            <w:r>
              <w:rPr>
                <w:rFonts w:hint="eastAsia"/>
                <w:sz w:val="24"/>
              </w:rPr>
              <w:t>，</w:t>
            </w:r>
            <w:r>
              <w:rPr>
                <w:sz w:val="24"/>
              </w:rPr>
              <w:t>并</w:t>
            </w:r>
            <w:r>
              <w:rPr>
                <w:rFonts w:ascii="宋体" w:hAnsi="宋体" w:cs="宋体"/>
                <w:sz w:val="24"/>
                <w:bdr w:val="single" w:color="auto" w:sz="4" w:space="0"/>
              </w:rPr>
              <w:t>宜</w:t>
            </w:r>
            <w:r>
              <w:rPr>
                <w:rFonts w:hint="eastAsia"/>
                <w:sz w:val="24"/>
                <w:u w:val="single"/>
              </w:rPr>
              <w:t>应优先</w:t>
            </w:r>
            <w:r>
              <w:rPr>
                <w:sz w:val="24"/>
              </w:rPr>
              <w:t>利用</w:t>
            </w:r>
            <w:r>
              <w:rPr>
                <w:rFonts w:hint="eastAsia"/>
                <w:sz w:val="24"/>
                <w:u w:val="single"/>
              </w:rPr>
              <w:t>可再生能源</w:t>
            </w:r>
            <w:r>
              <w:rPr>
                <w:rFonts w:ascii="宋体" w:hAnsi="宋体" w:cs="宋体"/>
                <w:sz w:val="24"/>
                <w:bdr w:val="single" w:color="auto" w:sz="4" w:space="0"/>
              </w:rPr>
              <w:t>生物质燃料</w:t>
            </w:r>
            <w:r>
              <w:rPr>
                <w:rFonts w:hint="eastAsia"/>
                <w:sz w:val="24"/>
                <w:u w:val="single"/>
              </w:rPr>
              <w:t>供暖</w:t>
            </w:r>
            <w:r>
              <w:rPr>
                <w:sz w:val="24"/>
              </w:rPr>
              <w:t>。</w:t>
            </w:r>
            <w:r>
              <w:rPr>
                <w:rFonts w:ascii="宋体" w:hAnsi="宋体" w:cs="宋体"/>
                <w:sz w:val="24"/>
              </w:rPr>
              <w:t>夏热冬冷地区</w:t>
            </w:r>
            <w:r>
              <w:rPr>
                <w:rFonts w:hint="eastAsia" w:ascii="宋体" w:hAnsi="宋体" w:cs="宋体"/>
                <w:sz w:val="24"/>
                <w:u w:val="single"/>
              </w:rPr>
              <w:t>、温和A区</w:t>
            </w:r>
            <w:r>
              <w:rPr>
                <w:rFonts w:ascii="宋体" w:hAnsi="宋体" w:cs="宋体"/>
                <w:sz w:val="24"/>
              </w:rPr>
              <w:t>农村居住建筑宜采用局部供暖设施。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jc w:val="left"/>
              <w:rPr>
                <w:rFonts w:ascii="宋体" w:hAnsi="宋体"/>
                <w:bCs/>
                <w:sz w:val="24"/>
                <w:u w:val="single"/>
              </w:rPr>
            </w:pPr>
            <w:r>
              <w:rPr>
                <w:rFonts w:ascii="宋体" w:hAnsi="宋体"/>
                <w:b/>
                <w:sz w:val="24"/>
                <w:u w:val="single"/>
              </w:rPr>
              <w:t>6.1.2</w:t>
            </w:r>
            <w:r>
              <w:rPr>
                <w:rFonts w:hint="eastAsia" w:ascii="宋体" w:hAnsi="宋体"/>
                <w:b/>
                <w:sz w:val="24"/>
                <w:u w:val="single"/>
              </w:rPr>
              <w:t>A</w:t>
            </w:r>
            <w:r>
              <w:rPr>
                <w:rFonts w:ascii="宋体" w:hAnsi="宋体"/>
                <w:b/>
                <w:sz w:val="24"/>
                <w:u w:val="single"/>
              </w:rPr>
              <w:t xml:space="preserve"> </w:t>
            </w:r>
            <w:r>
              <w:rPr>
                <w:rFonts w:hint="eastAsia" w:ascii="宋体" w:hAnsi="宋体"/>
                <w:bCs/>
                <w:sz w:val="24"/>
                <w:u w:val="single"/>
              </w:rPr>
              <w:t>农村居住建筑宜采用分散式供暖方式，当采用集中供暖方式时，应符合现行国家标准《民用建筑供暖通风与空气调节设计规范》</w:t>
            </w:r>
            <w:r>
              <w:rPr>
                <w:rFonts w:ascii="宋体" w:hAnsi="宋体"/>
                <w:bCs/>
                <w:sz w:val="24"/>
                <w:u w:val="single"/>
              </w:rPr>
              <w:t>GB 50736</w:t>
            </w:r>
            <w:r>
              <w:rPr>
                <w:rFonts w:hint="eastAsia" w:ascii="宋体" w:hAnsi="宋体"/>
                <w:bCs/>
                <w:sz w:val="24"/>
                <w:u w:val="single"/>
              </w:rPr>
              <w:t>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jc w:val="left"/>
              <w:rPr>
                <w:rFonts w:ascii="宋体" w:hAnsi="宋体"/>
                <w:bCs/>
                <w:sz w:val="24"/>
                <w:u w:val="single"/>
              </w:rPr>
            </w:pPr>
            <w:r>
              <w:rPr>
                <w:rFonts w:ascii="宋体" w:hAnsi="宋体"/>
                <w:b/>
                <w:sz w:val="24"/>
                <w:u w:val="single"/>
              </w:rPr>
              <w:t>6.1.2</w:t>
            </w:r>
            <w:r>
              <w:rPr>
                <w:rFonts w:hint="eastAsia" w:ascii="宋体" w:hAnsi="宋体"/>
                <w:b/>
                <w:sz w:val="24"/>
                <w:u w:val="single"/>
              </w:rPr>
              <w:t>B</w:t>
            </w:r>
            <w:r>
              <w:rPr>
                <w:rFonts w:ascii="宋体" w:hAnsi="宋体"/>
                <w:b/>
                <w:sz w:val="24"/>
                <w:u w:val="single"/>
              </w:rPr>
              <w:t xml:space="preserve"> </w:t>
            </w:r>
            <w:r>
              <w:rPr>
                <w:rFonts w:hint="eastAsia" w:ascii="宋体" w:hAnsi="宋体"/>
                <w:bCs/>
                <w:sz w:val="24"/>
                <w:u w:val="single"/>
              </w:rPr>
              <w:t>供暖系统末端应结合房间耗热量、供暖需求特点及当地居民用能习惯等，选用散热器、低温热水地面辐射、风机盘管和火炕火墙等一种或多种供暖末端形式。末端系统设计应符合现行国家标准《民用建筑供暖通风与空气调节设计规范》GB 50736的有关规定。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 xml:space="preserve">6.1.4 </w:t>
            </w:r>
            <w:r>
              <w:rPr>
                <w:rFonts w:ascii="宋体" w:hAnsi="宋体"/>
                <w:sz w:val="24"/>
              </w:rPr>
              <w:t xml:space="preserve"> 供暖</w:t>
            </w:r>
            <w:r>
              <w:rPr>
                <w:rFonts w:ascii="宋体" w:hAnsi="宋体" w:cs="宋体"/>
                <w:sz w:val="24"/>
              </w:rPr>
              <w:t>用燃烧器具</w:t>
            </w:r>
            <w:r>
              <w:rPr>
                <w:rFonts w:ascii="宋体" w:hAnsi="宋体"/>
                <w:sz w:val="24"/>
              </w:rPr>
              <w:t>应符合</w:t>
            </w:r>
            <w:r>
              <w:rPr>
                <w:rFonts w:hint="eastAsia" w:ascii="宋体" w:hAnsi="宋体"/>
                <w:sz w:val="24"/>
              </w:rPr>
              <w:t>国家现行</w:t>
            </w:r>
            <w:r>
              <w:rPr>
                <w:rFonts w:ascii="宋体" w:hAnsi="宋体"/>
                <w:sz w:val="24"/>
              </w:rPr>
              <w:t>相关产品标准</w:t>
            </w:r>
            <w:r>
              <w:rPr>
                <w:rFonts w:hint="eastAsia" w:ascii="宋体" w:hAnsi="宋体"/>
                <w:sz w:val="24"/>
              </w:rPr>
              <w:t>的规定</w:t>
            </w:r>
            <w:r>
              <w:rPr>
                <w:rFonts w:ascii="宋体" w:hAnsi="宋体"/>
                <w:sz w:val="24"/>
              </w:rPr>
              <w:t>，烟气流通设施应进行气密性设计处理。</w:t>
            </w:r>
          </w:p>
        </w:tc>
        <w:tc>
          <w:tcPr>
            <w:tcW w:w="4753" w:type="dxa"/>
          </w:tcPr>
          <w:p>
            <w:pPr>
              <w:spacing w:line="360" w:lineRule="auto"/>
              <w:rPr>
                <w:rFonts w:ascii="宋体" w:hAnsi="宋体"/>
                <w:sz w:val="24"/>
              </w:rPr>
            </w:pPr>
            <w:r>
              <w:rPr>
                <w:rFonts w:ascii="宋体" w:hAnsi="宋体"/>
                <w:b/>
                <w:sz w:val="24"/>
              </w:rPr>
              <w:t xml:space="preserve">6.1.4 </w:t>
            </w:r>
            <w:r>
              <w:rPr>
                <w:sz w:val="24"/>
                <w:szCs w:val="21"/>
              </w:rPr>
              <w:t>供暖</w:t>
            </w:r>
            <w:r>
              <w:rPr>
                <w:rFonts w:hint="eastAsia"/>
                <w:sz w:val="24"/>
                <w:szCs w:val="21"/>
                <w:u w:val="single"/>
              </w:rPr>
              <w:t>设备和产品</w:t>
            </w:r>
            <w:r>
              <w:rPr>
                <w:rFonts w:ascii="宋体" w:hAnsi="宋体" w:cs="宋体"/>
                <w:sz w:val="24"/>
                <w:szCs w:val="21"/>
                <w:bdr w:val="single" w:color="auto" w:sz="4" w:space="0"/>
              </w:rPr>
              <w:t>用燃烧器具</w:t>
            </w:r>
            <w:r>
              <w:rPr>
                <w:sz w:val="24"/>
                <w:szCs w:val="21"/>
              </w:rPr>
              <w:t>应符合</w:t>
            </w:r>
            <w:r>
              <w:rPr>
                <w:rFonts w:hint="eastAsia"/>
                <w:sz w:val="24"/>
                <w:szCs w:val="21"/>
              </w:rPr>
              <w:t>国家现行</w:t>
            </w:r>
            <w:r>
              <w:rPr>
                <w:sz w:val="24"/>
                <w:szCs w:val="21"/>
              </w:rPr>
              <w:t>相关产品标准</w:t>
            </w:r>
            <w:r>
              <w:rPr>
                <w:rFonts w:hint="eastAsia"/>
                <w:sz w:val="24"/>
                <w:szCs w:val="21"/>
              </w:rPr>
              <w:t>的规定</w:t>
            </w:r>
            <w:r>
              <w:rPr>
                <w:sz w:val="24"/>
                <w:szCs w:val="21"/>
              </w:rPr>
              <w:t>，</w:t>
            </w:r>
            <w:r>
              <w:rPr>
                <w:rFonts w:hint="eastAsia"/>
                <w:sz w:val="24"/>
                <w:szCs w:val="21"/>
                <w:u w:val="single"/>
              </w:rPr>
              <w:t>宜选用二级能效及以上产品。</w:t>
            </w:r>
            <w:r>
              <w:rPr>
                <w:sz w:val="24"/>
                <w:szCs w:val="21"/>
              </w:rPr>
              <w:t>烟气流通设施应进行气密性设计处理。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rPr>
                <w:rFonts w:ascii="宋体" w:hAnsi="宋体"/>
                <w:sz w:val="24"/>
                <w:u w:val="single"/>
              </w:rPr>
            </w:pPr>
            <w:r>
              <w:rPr>
                <w:rFonts w:ascii="宋体" w:hAnsi="宋体"/>
                <w:b/>
                <w:sz w:val="24"/>
                <w:u w:val="single"/>
              </w:rPr>
              <w:t xml:space="preserve">6.1.5 </w:t>
            </w:r>
            <w:r>
              <w:rPr>
                <w:rFonts w:hint="eastAsia" w:ascii="宋体" w:hAnsi="宋体"/>
                <w:sz w:val="24"/>
                <w:u w:val="single"/>
              </w:rPr>
              <w:t>清洁供暖系统宜配备能源计量、监测和控制系统，并应合理设置运行控制策略。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r>
              <w:rPr>
                <w:rFonts w:hint="eastAsia" w:ascii="宋体" w:hAnsi="宋体"/>
                <w:b/>
                <w:bCs/>
                <w:sz w:val="24"/>
              </w:rPr>
              <w:t>6.2  火炕与火墙</w:t>
            </w:r>
          </w:p>
        </w:tc>
        <w:tc>
          <w:tcPr>
            <w:tcW w:w="4753" w:type="dxa"/>
          </w:tcPr>
          <w:p>
            <w:pPr>
              <w:spacing w:line="360" w:lineRule="auto"/>
              <w:jc w:val="center"/>
              <w:rPr>
                <w:rFonts w:ascii="宋体" w:hAnsi="宋体"/>
                <w:b/>
                <w:bCs/>
                <w:sz w:val="24"/>
                <w:u w:val="single"/>
              </w:rPr>
            </w:pPr>
            <w:r>
              <w:rPr>
                <w:rFonts w:hint="eastAsia" w:ascii="宋体" w:hAnsi="宋体"/>
                <w:b/>
                <w:bCs/>
                <w:sz w:val="24"/>
              </w:rPr>
              <w:t>6.2  火炕与火墙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sz w:val="24"/>
              </w:rPr>
            </w:pPr>
            <w:r>
              <w:rPr>
                <w:rFonts w:ascii="宋体" w:hAnsi="宋体"/>
                <w:b/>
                <w:sz w:val="24"/>
              </w:rPr>
              <w:t xml:space="preserve">6.2.3 </w:t>
            </w:r>
            <w:r>
              <w:rPr>
                <w:sz w:val="24"/>
              </w:rPr>
              <w:t xml:space="preserve"> 火炕炕体设计应符合下列规定：</w:t>
            </w:r>
          </w:p>
          <w:p>
            <w:pPr>
              <w:spacing w:line="360" w:lineRule="auto"/>
              <w:ind w:firstLine="482" w:firstLineChars="200"/>
              <w:rPr>
                <w:sz w:val="24"/>
              </w:rPr>
            </w:pPr>
            <w:r>
              <w:rPr>
                <w:b/>
                <w:sz w:val="24"/>
              </w:rPr>
              <w:t>1</w:t>
            </w:r>
            <w:r>
              <w:rPr>
                <w:sz w:val="24"/>
              </w:rPr>
              <w:t xml:space="preserve">  火炕内部烟道应遵循“前引后导”的布置原则。热源强度大、持续时间长的炕体宜采用花洞式烟道；热源强度小、持续时间短的炕体宜采用设后分烟板的简单直洞烟道；</w:t>
            </w:r>
          </w:p>
          <w:p>
            <w:pPr>
              <w:spacing w:line="360" w:lineRule="auto"/>
              <w:ind w:firstLine="482" w:firstLineChars="200"/>
              <w:rPr>
                <w:sz w:val="24"/>
              </w:rPr>
            </w:pPr>
            <w:r>
              <w:rPr>
                <w:b/>
                <w:sz w:val="24"/>
              </w:rPr>
              <w:t>2</w:t>
            </w:r>
            <w:r>
              <w:rPr>
                <w:sz w:val="24"/>
              </w:rPr>
              <w:t xml:space="preserve">  烟气入口的喉眼处宜设置火舌，不宜设置落灰膛；</w:t>
            </w:r>
          </w:p>
          <w:p>
            <w:pPr>
              <w:spacing w:line="360" w:lineRule="auto"/>
              <w:ind w:firstLine="482" w:firstLineChars="200"/>
              <w:rPr>
                <w:sz w:val="24"/>
              </w:rPr>
            </w:pPr>
            <w:r>
              <w:rPr>
                <w:b/>
                <w:sz w:val="24"/>
              </w:rPr>
              <w:t>3</w:t>
            </w:r>
            <w:r>
              <w:rPr>
                <w:sz w:val="24"/>
              </w:rPr>
              <w:t xml:space="preserve">  烟道高度宜为180mm～400mm，且坡度不应小于5‰；进烟口上檐宜低于炕面板下表面50mm～100mm；</w:t>
            </w:r>
          </w:p>
          <w:p>
            <w:pPr>
              <w:spacing w:line="360" w:lineRule="auto"/>
              <w:ind w:firstLine="482" w:firstLineChars="200"/>
              <w:rPr>
                <w:sz w:val="24"/>
              </w:rPr>
            </w:pPr>
            <w:r>
              <w:rPr>
                <w:b/>
                <w:sz w:val="24"/>
              </w:rPr>
              <w:t>4</w:t>
            </w:r>
            <w:r>
              <w:rPr>
                <w:sz w:val="24"/>
              </w:rPr>
              <w:t xml:space="preserve">  炕面应平整，抹面层炕头宜比炕梢厚，中部宜比里外厚；</w:t>
            </w:r>
          </w:p>
          <w:p>
            <w:pPr>
              <w:spacing w:line="360" w:lineRule="auto"/>
              <w:ind w:firstLine="482" w:firstLineChars="200"/>
              <w:rPr>
                <w:rFonts w:ascii="宋体" w:hAnsi="宋体"/>
                <w:sz w:val="24"/>
              </w:rPr>
            </w:pPr>
            <w:r>
              <w:rPr>
                <w:b/>
                <w:sz w:val="24"/>
              </w:rPr>
              <w:t>5</w:t>
            </w:r>
            <w:r>
              <w:rPr>
                <w:sz w:val="24"/>
              </w:rPr>
              <w:t xml:space="preserve">  炕体应进行气密性处理。</w:t>
            </w:r>
          </w:p>
        </w:tc>
        <w:tc>
          <w:tcPr>
            <w:tcW w:w="4753" w:type="dxa"/>
          </w:tcPr>
          <w:p>
            <w:pPr>
              <w:spacing w:line="360" w:lineRule="auto"/>
              <w:rPr>
                <w:sz w:val="24"/>
              </w:rPr>
            </w:pPr>
            <w:r>
              <w:rPr>
                <w:rFonts w:ascii="宋体" w:hAnsi="宋体"/>
                <w:b/>
                <w:sz w:val="24"/>
              </w:rPr>
              <w:t>6.2.3</w:t>
            </w:r>
            <w:r>
              <w:rPr>
                <w:sz w:val="24"/>
              </w:rPr>
              <w:t xml:space="preserve">  火炕炕体设计应符合下列规定：</w:t>
            </w:r>
          </w:p>
          <w:p>
            <w:pPr>
              <w:spacing w:line="360" w:lineRule="auto"/>
              <w:ind w:firstLine="482" w:firstLineChars="200"/>
              <w:rPr>
                <w:sz w:val="24"/>
              </w:rPr>
            </w:pPr>
            <w:r>
              <w:rPr>
                <w:b/>
                <w:sz w:val="24"/>
              </w:rPr>
              <w:t>1</w:t>
            </w:r>
            <w:r>
              <w:rPr>
                <w:sz w:val="24"/>
              </w:rPr>
              <w:t xml:space="preserve">  火炕内部烟道应遵循“前引后导”的布置原则。热源强度大、持续时间长的炕体宜采用花洞式烟道；热源强度小、持续时间短的炕体宜采用设后分烟板的简单直洞烟道；</w:t>
            </w:r>
          </w:p>
          <w:p>
            <w:pPr>
              <w:spacing w:line="360" w:lineRule="auto"/>
              <w:ind w:firstLine="482" w:firstLineChars="200"/>
              <w:rPr>
                <w:sz w:val="24"/>
              </w:rPr>
            </w:pPr>
            <w:r>
              <w:rPr>
                <w:b/>
                <w:sz w:val="24"/>
              </w:rPr>
              <w:t>2</w:t>
            </w:r>
            <w:r>
              <w:rPr>
                <w:sz w:val="24"/>
              </w:rPr>
              <w:t xml:space="preserve">  烟气入口的喉眼处宜设置火舌</w:t>
            </w:r>
            <w:r>
              <w:rPr>
                <w:rFonts w:hint="eastAsia"/>
                <w:sz w:val="24"/>
                <w:u w:val="single"/>
              </w:rPr>
              <w:t>或烟气导流余热回收装置</w:t>
            </w:r>
            <w:r>
              <w:rPr>
                <w:sz w:val="24"/>
              </w:rPr>
              <w:t>，不宜设置落灰膛；</w:t>
            </w:r>
          </w:p>
          <w:p>
            <w:pPr>
              <w:spacing w:line="360" w:lineRule="auto"/>
              <w:ind w:firstLine="482" w:firstLineChars="200"/>
              <w:rPr>
                <w:sz w:val="24"/>
              </w:rPr>
            </w:pPr>
            <w:r>
              <w:rPr>
                <w:b/>
                <w:sz w:val="24"/>
              </w:rPr>
              <w:t>3</w:t>
            </w:r>
            <w:r>
              <w:rPr>
                <w:sz w:val="24"/>
              </w:rPr>
              <w:t xml:space="preserve">  烟道高度宜为180mm～400mm，且坡度不应小于5‰；进烟口上檐宜低于炕面板下表面50mm～100mm；</w:t>
            </w:r>
          </w:p>
          <w:p>
            <w:pPr>
              <w:spacing w:line="360" w:lineRule="auto"/>
              <w:ind w:firstLine="482" w:firstLineChars="200"/>
              <w:rPr>
                <w:sz w:val="24"/>
              </w:rPr>
            </w:pPr>
            <w:r>
              <w:rPr>
                <w:b/>
                <w:sz w:val="24"/>
              </w:rPr>
              <w:t>4</w:t>
            </w:r>
            <w:r>
              <w:rPr>
                <w:sz w:val="24"/>
              </w:rPr>
              <w:t xml:space="preserve">  炕面应平整，抹面层炕头宜比炕梢厚，中部宜比里外厚；</w:t>
            </w:r>
          </w:p>
          <w:p>
            <w:pPr>
              <w:spacing w:line="360" w:lineRule="auto"/>
              <w:ind w:firstLine="482" w:firstLineChars="200"/>
              <w:rPr>
                <w:rFonts w:ascii="宋体" w:hAnsi="宋体"/>
                <w:b/>
                <w:sz w:val="24"/>
                <w:u w:val="single"/>
              </w:rPr>
            </w:pPr>
            <w:r>
              <w:rPr>
                <w:b/>
                <w:sz w:val="24"/>
              </w:rPr>
              <w:t>5</w:t>
            </w:r>
            <w:r>
              <w:rPr>
                <w:sz w:val="24"/>
              </w:rPr>
              <w:t xml:space="preserve">  炕体应进行气密性处理。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bCs/>
                <w:sz w:val="24"/>
              </w:rPr>
            </w:pPr>
            <w:r>
              <w:rPr>
                <w:rFonts w:hint="eastAsia" w:ascii="宋体" w:hAnsi="宋体"/>
                <w:bCs/>
                <w:sz w:val="24"/>
              </w:rPr>
              <w:t>6.2.7  火墙式火炕的构造和节能设计应符合下列规定：</w:t>
            </w:r>
          </w:p>
          <w:p>
            <w:pPr>
              <w:spacing w:line="360" w:lineRule="auto"/>
              <w:rPr>
                <w:rFonts w:ascii="宋体" w:hAnsi="宋体"/>
                <w:bCs/>
                <w:sz w:val="24"/>
              </w:rPr>
            </w:pPr>
            <w:r>
              <w:rPr>
                <w:rFonts w:hint="eastAsia" w:ascii="宋体" w:hAnsi="宋体"/>
                <w:bCs/>
                <w:sz w:val="24"/>
              </w:rPr>
              <w:t xml:space="preserve">    1  火墙燃烧室净高宜为300mm～400mm，燃烧室与炕面中间应设50mm～100mm空气夹层。内部的侧壁宜设连通炕内的通气孔；</w:t>
            </w:r>
          </w:p>
          <w:p>
            <w:pPr>
              <w:spacing w:line="360" w:lineRule="auto"/>
              <w:rPr>
                <w:rFonts w:ascii="宋体" w:hAnsi="宋体"/>
                <w:bCs/>
                <w:sz w:val="24"/>
              </w:rPr>
            </w:pPr>
            <w:r>
              <w:rPr>
                <w:rFonts w:hint="eastAsia" w:ascii="宋体" w:hAnsi="宋体"/>
                <w:bCs/>
                <w:sz w:val="24"/>
              </w:rPr>
              <w:t>2  火墙和火炕宜共用烟囱排烟。</w:t>
            </w:r>
          </w:p>
        </w:tc>
        <w:tc>
          <w:tcPr>
            <w:tcW w:w="4753" w:type="dxa"/>
          </w:tcPr>
          <w:p>
            <w:pPr>
              <w:spacing w:line="360" w:lineRule="auto"/>
              <w:rPr>
                <w:rFonts w:ascii="宋体" w:hAnsi="宋体"/>
                <w:bCs/>
                <w:sz w:val="24"/>
              </w:rPr>
            </w:pPr>
            <w:r>
              <w:rPr>
                <w:rFonts w:hint="eastAsia" w:ascii="宋体" w:hAnsi="宋体"/>
                <w:bCs/>
                <w:sz w:val="24"/>
              </w:rPr>
              <w:t>6.2.7  火墙式火炕的构造和节能设计应符合下列规定：</w:t>
            </w:r>
          </w:p>
          <w:p>
            <w:pPr>
              <w:spacing w:line="360" w:lineRule="auto"/>
              <w:rPr>
                <w:rFonts w:ascii="宋体" w:hAnsi="宋体"/>
                <w:bCs/>
                <w:sz w:val="24"/>
              </w:rPr>
            </w:pPr>
            <w:r>
              <w:rPr>
                <w:rFonts w:hint="eastAsia" w:ascii="宋体" w:hAnsi="宋体"/>
                <w:bCs/>
                <w:sz w:val="24"/>
              </w:rPr>
              <w:t xml:space="preserve">    1  火墙燃烧室净高宜为300mm～400mm，燃烧室与炕面中间应设50mm～100mm空气夹层。内部的侧壁宜设连通炕内的通气孔；</w:t>
            </w:r>
          </w:p>
          <w:p>
            <w:pPr>
              <w:spacing w:line="360" w:lineRule="auto"/>
              <w:rPr>
                <w:rFonts w:ascii="宋体" w:hAnsi="宋体"/>
                <w:bCs/>
                <w:sz w:val="24"/>
              </w:rPr>
            </w:pPr>
            <w:r>
              <w:rPr>
                <w:rFonts w:hint="eastAsia" w:ascii="宋体" w:hAnsi="宋体"/>
                <w:bCs/>
                <w:sz w:val="24"/>
              </w:rPr>
              <w:t>2  火墙和火炕宜共用烟囱排烟。</w:t>
            </w:r>
          </w:p>
          <w:p>
            <w:pPr>
              <w:spacing w:line="360" w:lineRule="auto"/>
              <w:rPr>
                <w:rFonts w:ascii="宋体" w:hAnsi="宋体"/>
                <w:bCs/>
                <w:sz w:val="24"/>
                <w:u w:val="single"/>
              </w:rPr>
            </w:pPr>
            <w:r>
              <w:rPr>
                <w:rFonts w:hint="eastAsia" w:ascii="宋体" w:hAnsi="宋体"/>
                <w:bCs/>
                <w:sz w:val="24"/>
                <w:u w:val="single"/>
              </w:rPr>
              <w:t>3 火墙式火炕燃烧室正上方可设置集热器，作为热水供暖系统热源。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sz w:val="24"/>
                <w:lang w:val="zh-CN"/>
              </w:rPr>
            </w:pPr>
          </w:p>
        </w:tc>
        <w:tc>
          <w:tcPr>
            <w:tcW w:w="4753" w:type="dxa"/>
          </w:tcPr>
          <w:p>
            <w:pPr>
              <w:autoSpaceDE w:val="0"/>
              <w:autoSpaceDN w:val="0"/>
              <w:adjustRightInd w:val="0"/>
              <w:spacing w:line="360" w:lineRule="auto"/>
              <w:jc w:val="center"/>
              <w:rPr>
                <w:rFonts w:ascii="宋体" w:hAnsi="宋体"/>
                <w:b/>
                <w:bCs/>
                <w:sz w:val="24"/>
                <w:u w:val="single"/>
                <w:lang w:val="zh-CN"/>
              </w:rPr>
            </w:pPr>
            <w:r>
              <w:rPr>
                <w:rFonts w:ascii="宋体" w:hAnsi="宋体"/>
                <w:b/>
                <w:bCs/>
                <w:sz w:val="24"/>
                <w:u w:val="single"/>
                <w:lang w:val="zh-CN"/>
              </w:rPr>
              <w:t xml:space="preserve">6.2A </w:t>
            </w:r>
            <w:r>
              <w:rPr>
                <w:rFonts w:hint="eastAsia" w:ascii="宋体" w:hAnsi="宋体"/>
                <w:b/>
                <w:bCs/>
                <w:sz w:val="24"/>
                <w:u w:val="single"/>
                <w:lang w:val="zh-CN"/>
              </w:rPr>
              <w:t xml:space="preserve"> 空气源热泵系统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b/>
                <w:bCs/>
                <w:sz w:val="24"/>
              </w:rPr>
            </w:pPr>
          </w:p>
        </w:tc>
        <w:tc>
          <w:tcPr>
            <w:tcW w:w="4753" w:type="dxa"/>
          </w:tcPr>
          <w:p>
            <w:pPr>
              <w:autoSpaceDE w:val="0"/>
              <w:autoSpaceDN w:val="0"/>
              <w:spacing w:line="360" w:lineRule="auto"/>
              <w:jc w:val="left"/>
              <w:rPr>
                <w:rFonts w:ascii="宋体" w:hAnsi="宋体"/>
                <w:kern w:val="0"/>
                <w:sz w:val="24"/>
                <w:u w:val="single"/>
              </w:rPr>
            </w:pPr>
            <w:r>
              <w:rPr>
                <w:rFonts w:ascii="宋体" w:hAnsi="宋体"/>
                <w:b/>
                <w:bCs/>
                <w:sz w:val="24"/>
                <w:u w:val="single"/>
                <w:lang w:val="zh-CN"/>
              </w:rPr>
              <w:t>6.2A</w:t>
            </w:r>
            <w:r>
              <w:rPr>
                <w:rFonts w:ascii="宋体" w:hAnsi="宋体"/>
                <w:b/>
                <w:kern w:val="0"/>
                <w:sz w:val="24"/>
                <w:u w:val="single"/>
              </w:rPr>
              <w:t xml:space="preserve">.1  </w:t>
            </w:r>
            <w:r>
              <w:rPr>
                <w:rFonts w:hint="eastAsia" w:ascii="宋体" w:hAnsi="宋体"/>
                <w:kern w:val="0"/>
                <w:sz w:val="24"/>
                <w:u w:val="single"/>
              </w:rPr>
              <w:t>农村居住建筑宜采用户式空气源热泵供暖系统，</w:t>
            </w:r>
            <w:r>
              <w:rPr>
                <w:rFonts w:ascii="宋体" w:hAnsi="宋体"/>
                <w:sz w:val="24"/>
                <w:u w:val="single"/>
              </w:rPr>
              <w:t>空气源热泵供暖系统热源可采用热水机组或热风机组</w:t>
            </w:r>
            <w:r>
              <w:rPr>
                <w:rFonts w:hint="eastAsia" w:ascii="宋体" w:hAnsi="宋体"/>
                <w:sz w:val="24"/>
                <w:u w:val="single"/>
              </w:rPr>
              <w:t>。</w:t>
            </w:r>
            <w:r>
              <w:rPr>
                <w:rFonts w:ascii="宋体" w:hAnsi="宋体"/>
                <w:sz w:val="24"/>
                <w:u w:val="single"/>
              </w:rPr>
              <w:t>空气源热泵供暖系统连续供暖时热源宜选用热水机组</w:t>
            </w:r>
            <w:r>
              <w:rPr>
                <w:rFonts w:hint="eastAsia" w:ascii="宋体" w:hAnsi="宋体"/>
                <w:sz w:val="24"/>
                <w:u w:val="single"/>
              </w:rPr>
              <w:t>，间歇供暖时宜</w:t>
            </w:r>
            <w:r>
              <w:rPr>
                <w:rFonts w:ascii="宋体" w:hAnsi="宋体"/>
                <w:sz w:val="24"/>
                <w:u w:val="single"/>
              </w:rPr>
              <w:t>选用</w:t>
            </w:r>
            <w:r>
              <w:rPr>
                <w:rFonts w:hint="eastAsia" w:ascii="宋体" w:hAnsi="宋体"/>
                <w:sz w:val="24"/>
                <w:u w:val="single"/>
              </w:rPr>
              <w:t>热风</w:t>
            </w:r>
            <w:r>
              <w:rPr>
                <w:rFonts w:ascii="宋体" w:hAnsi="宋体"/>
                <w:sz w:val="24"/>
                <w:u w:val="single"/>
              </w:rPr>
              <w:t>机组</w:t>
            </w:r>
            <w:r>
              <w:rPr>
                <w:rFonts w:hint="eastAsia" w:ascii="宋体" w:hAnsi="宋体"/>
                <w:sz w:val="24"/>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b/>
                <w:bCs/>
                <w:sz w:val="24"/>
              </w:rPr>
            </w:pPr>
          </w:p>
        </w:tc>
        <w:tc>
          <w:tcPr>
            <w:tcW w:w="4753" w:type="dxa"/>
          </w:tcPr>
          <w:p>
            <w:pPr>
              <w:autoSpaceDE w:val="0"/>
              <w:autoSpaceDN w:val="0"/>
              <w:spacing w:line="360" w:lineRule="auto"/>
              <w:jc w:val="left"/>
              <w:rPr>
                <w:rFonts w:ascii="宋体" w:hAnsi="宋体"/>
                <w:sz w:val="24"/>
                <w:u w:val="single"/>
              </w:rPr>
            </w:pPr>
            <w:r>
              <w:rPr>
                <w:rFonts w:ascii="宋体" w:hAnsi="宋体"/>
                <w:b/>
                <w:bCs/>
                <w:sz w:val="24"/>
                <w:u w:val="single"/>
                <w:lang w:val="zh-CN"/>
              </w:rPr>
              <w:t>6.2A</w:t>
            </w:r>
            <w:r>
              <w:rPr>
                <w:rFonts w:hint="eastAsia" w:ascii="宋体" w:hAnsi="宋体"/>
                <w:b/>
                <w:bCs/>
                <w:kern w:val="0"/>
                <w:sz w:val="24"/>
                <w:u w:val="single"/>
              </w:rPr>
              <w:t>.</w:t>
            </w:r>
            <w:r>
              <w:rPr>
                <w:rFonts w:ascii="宋体" w:hAnsi="宋体"/>
                <w:b/>
                <w:bCs/>
                <w:kern w:val="0"/>
                <w:sz w:val="24"/>
                <w:u w:val="single"/>
              </w:rPr>
              <w:t>2</w:t>
            </w:r>
            <w:r>
              <w:rPr>
                <w:rFonts w:ascii="宋体" w:hAnsi="宋体"/>
                <w:kern w:val="0"/>
                <w:sz w:val="24"/>
                <w:u w:val="single"/>
              </w:rPr>
              <w:t xml:space="preserve">  </w:t>
            </w:r>
            <w:r>
              <w:rPr>
                <w:rFonts w:hint="eastAsia" w:ascii="宋体" w:hAnsi="宋体"/>
                <w:kern w:val="0"/>
                <w:sz w:val="24"/>
                <w:u w:val="single"/>
              </w:rPr>
              <w:t>采用</w:t>
            </w:r>
            <w:r>
              <w:rPr>
                <w:rFonts w:ascii="宋体" w:hAnsi="宋体"/>
                <w:sz w:val="24"/>
                <w:u w:val="single"/>
              </w:rPr>
              <w:t>空气源热泵</w:t>
            </w:r>
            <w:r>
              <w:rPr>
                <w:rFonts w:hint="eastAsia" w:ascii="宋体" w:hAnsi="宋体"/>
                <w:sz w:val="24"/>
                <w:u w:val="single"/>
              </w:rPr>
              <w:t>机组供暖时，冬季设计工况状态下热泵机组制热性能系数（COP）不应小于表</w:t>
            </w:r>
            <w:r>
              <w:rPr>
                <w:rFonts w:ascii="宋体" w:hAnsi="宋体"/>
                <w:sz w:val="24"/>
                <w:u w:val="single"/>
              </w:rPr>
              <w:t>6.2A.2</w:t>
            </w:r>
            <w:r>
              <w:rPr>
                <w:rFonts w:hint="eastAsia" w:ascii="宋体" w:hAnsi="宋体"/>
                <w:sz w:val="24"/>
                <w:u w:val="single"/>
              </w:rPr>
              <w:t>规定的数值。</w:t>
            </w:r>
          </w:p>
          <w:p>
            <w:pPr>
              <w:jc w:val="center"/>
              <w:rPr>
                <w:rFonts w:ascii="宋体" w:hAnsi="宋体"/>
                <w:b/>
                <w:bCs/>
                <w:sz w:val="24"/>
                <w:u w:val="single"/>
              </w:rPr>
            </w:pPr>
            <w:r>
              <w:rPr>
                <w:rFonts w:ascii="宋体" w:hAnsi="宋体"/>
                <w:b/>
                <w:bCs/>
                <w:sz w:val="24"/>
                <w:u w:val="single"/>
              </w:rPr>
              <w:t>表</w:t>
            </w:r>
            <w:r>
              <w:rPr>
                <w:rFonts w:ascii="宋体" w:hAnsi="宋体"/>
                <w:b/>
                <w:bCs/>
                <w:sz w:val="24"/>
                <w:u w:val="single"/>
                <w:lang w:val="zh-CN"/>
              </w:rPr>
              <w:t>6.2A</w:t>
            </w:r>
            <w:r>
              <w:rPr>
                <w:rFonts w:hint="eastAsia" w:ascii="宋体" w:hAnsi="宋体"/>
                <w:b/>
                <w:bCs/>
                <w:sz w:val="24"/>
                <w:u w:val="single"/>
              </w:rPr>
              <w:t>.</w:t>
            </w:r>
            <w:r>
              <w:rPr>
                <w:rFonts w:ascii="宋体" w:hAnsi="宋体"/>
                <w:b/>
                <w:bCs/>
                <w:sz w:val="24"/>
                <w:u w:val="single"/>
              </w:rPr>
              <w:t>2  空气源热泵</w:t>
            </w:r>
            <w:r>
              <w:rPr>
                <w:rFonts w:hint="eastAsia" w:ascii="宋体" w:hAnsi="宋体"/>
                <w:b/>
                <w:bCs/>
                <w:sz w:val="24"/>
                <w:u w:val="single"/>
              </w:rPr>
              <w:t>设计工况制热性能系数（COP）</w:t>
            </w:r>
          </w:p>
          <w:tbl>
            <w:tblPr>
              <w:tblStyle w:val="17"/>
              <w:tblW w:w="3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290"/>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40" w:type="dxa"/>
                  <w:shd w:val="clear" w:color="auto" w:fill="auto"/>
                  <w:vAlign w:val="center"/>
                </w:tcPr>
                <w:p>
                  <w:pPr>
                    <w:ind w:left="142"/>
                    <w:jc w:val="center"/>
                    <w:rPr>
                      <w:rFonts w:ascii="宋体" w:hAnsi="宋体"/>
                      <w:szCs w:val="21"/>
                      <w:u w:val="single"/>
                    </w:rPr>
                  </w:pPr>
                  <w:r>
                    <w:rPr>
                      <w:rFonts w:hint="eastAsia" w:ascii="宋体" w:hAnsi="宋体"/>
                      <w:szCs w:val="21"/>
                      <w:u w:val="single"/>
                    </w:rPr>
                    <w:t>机组类型</w:t>
                  </w:r>
                </w:p>
              </w:tc>
              <w:tc>
                <w:tcPr>
                  <w:tcW w:w="1290" w:type="dxa"/>
                  <w:shd w:val="clear" w:color="auto" w:fill="auto"/>
                  <w:vAlign w:val="center"/>
                </w:tcPr>
                <w:p>
                  <w:pPr>
                    <w:ind w:left="142"/>
                    <w:jc w:val="center"/>
                    <w:rPr>
                      <w:rFonts w:ascii="宋体" w:hAnsi="宋体"/>
                      <w:szCs w:val="21"/>
                      <w:u w:val="single"/>
                    </w:rPr>
                  </w:pPr>
                  <w:r>
                    <w:rPr>
                      <w:rFonts w:ascii="宋体" w:hAnsi="宋体"/>
                      <w:szCs w:val="21"/>
                      <w:u w:val="single"/>
                    </w:rPr>
                    <w:t>严寒地区</w:t>
                  </w:r>
                </w:p>
              </w:tc>
              <w:tc>
                <w:tcPr>
                  <w:tcW w:w="1168" w:type="dxa"/>
                  <w:shd w:val="clear" w:color="auto" w:fill="auto"/>
                  <w:vAlign w:val="center"/>
                </w:tcPr>
                <w:p>
                  <w:pPr>
                    <w:jc w:val="center"/>
                    <w:rPr>
                      <w:rFonts w:ascii="宋体" w:hAnsi="宋体"/>
                      <w:szCs w:val="21"/>
                      <w:u w:val="single"/>
                    </w:rPr>
                  </w:pPr>
                  <w:r>
                    <w:rPr>
                      <w:rFonts w:ascii="宋体" w:hAnsi="宋体"/>
                      <w:szCs w:val="21"/>
                      <w:u w:val="single"/>
                    </w:rPr>
                    <w:t>寒冷地区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40" w:type="dxa"/>
                  <w:shd w:val="clear" w:color="auto" w:fill="auto"/>
                  <w:vAlign w:val="center"/>
                </w:tcPr>
                <w:p>
                  <w:pPr>
                    <w:ind w:left="142"/>
                    <w:jc w:val="center"/>
                    <w:rPr>
                      <w:rFonts w:ascii="宋体" w:hAnsi="宋体"/>
                      <w:szCs w:val="21"/>
                      <w:u w:val="single"/>
                    </w:rPr>
                  </w:pPr>
                  <w:r>
                    <w:rPr>
                      <w:rFonts w:hint="eastAsia" w:ascii="宋体" w:hAnsi="宋体"/>
                      <w:szCs w:val="21"/>
                      <w:u w:val="single"/>
                    </w:rPr>
                    <w:t>冷热风机组</w:t>
                  </w:r>
                </w:p>
              </w:tc>
              <w:tc>
                <w:tcPr>
                  <w:tcW w:w="1290" w:type="dxa"/>
                  <w:shd w:val="clear" w:color="auto" w:fill="auto"/>
                  <w:vAlign w:val="center"/>
                </w:tcPr>
                <w:p>
                  <w:pPr>
                    <w:ind w:left="142"/>
                    <w:jc w:val="center"/>
                    <w:rPr>
                      <w:rFonts w:ascii="宋体" w:hAnsi="宋体"/>
                      <w:szCs w:val="21"/>
                      <w:u w:val="single"/>
                    </w:rPr>
                  </w:pPr>
                  <w:r>
                    <w:rPr>
                      <w:rFonts w:hint="eastAsia" w:ascii="宋体" w:hAnsi="宋体"/>
                      <w:szCs w:val="21"/>
                      <w:u w:val="single"/>
                    </w:rPr>
                    <w:t>1</w:t>
                  </w:r>
                  <w:r>
                    <w:rPr>
                      <w:rFonts w:ascii="宋体" w:hAnsi="宋体"/>
                      <w:szCs w:val="21"/>
                      <w:u w:val="single"/>
                    </w:rPr>
                    <w:t>.8</w:t>
                  </w:r>
                </w:p>
              </w:tc>
              <w:tc>
                <w:tcPr>
                  <w:tcW w:w="1168" w:type="dxa"/>
                  <w:shd w:val="clear" w:color="auto" w:fill="auto"/>
                  <w:vAlign w:val="center"/>
                </w:tcPr>
                <w:p>
                  <w:pPr>
                    <w:jc w:val="center"/>
                    <w:rPr>
                      <w:rFonts w:ascii="宋体" w:hAnsi="宋体"/>
                      <w:szCs w:val="21"/>
                      <w:u w:val="single"/>
                    </w:rPr>
                  </w:pPr>
                  <w:r>
                    <w:rPr>
                      <w:rFonts w:hint="eastAsia" w:ascii="宋体" w:hAnsi="宋体"/>
                      <w:szCs w:val="21"/>
                      <w:u w:val="single"/>
                    </w:rPr>
                    <w:t>2</w:t>
                  </w:r>
                  <w:r>
                    <w:rPr>
                      <w:rFonts w:ascii="宋体" w:hAnsi="宋体"/>
                      <w:szCs w:val="21"/>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40" w:type="dxa"/>
                  <w:shd w:val="clear" w:color="auto" w:fill="auto"/>
                  <w:vAlign w:val="center"/>
                </w:tcPr>
                <w:p>
                  <w:pPr>
                    <w:ind w:left="142"/>
                    <w:jc w:val="center"/>
                    <w:rPr>
                      <w:rFonts w:ascii="宋体" w:hAnsi="宋体"/>
                      <w:szCs w:val="21"/>
                      <w:u w:val="single"/>
                    </w:rPr>
                  </w:pPr>
                  <w:r>
                    <w:rPr>
                      <w:rFonts w:hint="eastAsia" w:ascii="宋体" w:hAnsi="宋体"/>
                      <w:szCs w:val="21"/>
                      <w:u w:val="single"/>
                    </w:rPr>
                    <w:t>冷热水机组</w:t>
                  </w:r>
                </w:p>
              </w:tc>
              <w:tc>
                <w:tcPr>
                  <w:tcW w:w="1290" w:type="dxa"/>
                  <w:shd w:val="clear" w:color="auto" w:fill="auto"/>
                  <w:vAlign w:val="center"/>
                </w:tcPr>
                <w:p>
                  <w:pPr>
                    <w:ind w:left="142"/>
                    <w:jc w:val="center"/>
                    <w:rPr>
                      <w:rFonts w:ascii="宋体" w:hAnsi="宋体"/>
                      <w:szCs w:val="21"/>
                      <w:u w:val="single"/>
                    </w:rPr>
                  </w:pPr>
                  <w:r>
                    <w:rPr>
                      <w:rFonts w:hint="eastAsia" w:ascii="宋体" w:hAnsi="宋体"/>
                      <w:szCs w:val="21"/>
                      <w:u w:val="single"/>
                    </w:rPr>
                    <w:t>2</w:t>
                  </w:r>
                  <w:r>
                    <w:rPr>
                      <w:rFonts w:ascii="宋体" w:hAnsi="宋体"/>
                      <w:szCs w:val="21"/>
                      <w:u w:val="single"/>
                    </w:rPr>
                    <w:t>.0</w:t>
                  </w:r>
                </w:p>
              </w:tc>
              <w:tc>
                <w:tcPr>
                  <w:tcW w:w="1168" w:type="dxa"/>
                  <w:shd w:val="clear" w:color="auto" w:fill="auto"/>
                  <w:vAlign w:val="center"/>
                </w:tcPr>
                <w:p>
                  <w:pPr>
                    <w:jc w:val="center"/>
                    <w:rPr>
                      <w:rFonts w:ascii="宋体" w:hAnsi="宋体"/>
                      <w:szCs w:val="21"/>
                      <w:u w:val="single"/>
                    </w:rPr>
                  </w:pPr>
                  <w:r>
                    <w:rPr>
                      <w:rFonts w:hint="eastAsia" w:ascii="宋体" w:hAnsi="宋体"/>
                      <w:szCs w:val="21"/>
                      <w:u w:val="single"/>
                    </w:rPr>
                    <w:t>2</w:t>
                  </w:r>
                  <w:r>
                    <w:rPr>
                      <w:rFonts w:ascii="宋体" w:hAnsi="宋体"/>
                      <w:szCs w:val="21"/>
                      <w:u w:val="single"/>
                    </w:rPr>
                    <w:t>.4</w:t>
                  </w:r>
                </w:p>
              </w:tc>
            </w:tr>
          </w:tbl>
          <w:p>
            <w:pPr>
              <w:autoSpaceDE w:val="0"/>
              <w:autoSpaceDN w:val="0"/>
              <w:spacing w:line="360" w:lineRule="auto"/>
              <w:jc w:val="left"/>
              <w:rPr>
                <w:rFonts w:ascii="宋体" w:hAnsi="宋体"/>
                <w:b/>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b/>
                <w:bCs/>
                <w:sz w:val="24"/>
              </w:rPr>
            </w:pPr>
          </w:p>
        </w:tc>
        <w:tc>
          <w:tcPr>
            <w:tcW w:w="4753" w:type="dxa"/>
          </w:tcPr>
          <w:p>
            <w:pPr>
              <w:autoSpaceDE w:val="0"/>
              <w:autoSpaceDN w:val="0"/>
              <w:spacing w:line="360" w:lineRule="auto"/>
              <w:jc w:val="left"/>
              <w:rPr>
                <w:rFonts w:ascii="宋体" w:hAnsi="宋体"/>
                <w:sz w:val="24"/>
                <w:u w:val="single"/>
              </w:rPr>
            </w:pPr>
            <w:r>
              <w:rPr>
                <w:rFonts w:ascii="宋体" w:hAnsi="宋体"/>
                <w:b/>
                <w:bCs/>
                <w:sz w:val="24"/>
                <w:u w:val="single"/>
                <w:lang w:val="zh-CN"/>
              </w:rPr>
              <w:t>6.2A</w:t>
            </w:r>
            <w:r>
              <w:rPr>
                <w:rFonts w:ascii="宋体" w:hAnsi="宋体"/>
                <w:b/>
                <w:bCs/>
                <w:sz w:val="24"/>
                <w:u w:val="single"/>
              </w:rPr>
              <w:t>.3</w:t>
            </w:r>
            <w:r>
              <w:rPr>
                <w:rFonts w:ascii="宋体" w:hAnsi="宋体"/>
                <w:sz w:val="24"/>
                <w:u w:val="single"/>
              </w:rPr>
              <w:t xml:space="preserve"> </w:t>
            </w:r>
            <w:r>
              <w:rPr>
                <w:rFonts w:hint="eastAsia" w:ascii="宋体" w:hAnsi="宋体"/>
                <w:sz w:val="24"/>
                <w:u w:val="single"/>
              </w:rPr>
              <w:t>当室外计算温度低于空气源热泵机组平衡点温度时，应设置辅助热源。</w:t>
            </w:r>
            <w:r>
              <w:rPr>
                <w:rFonts w:ascii="宋体" w:hAnsi="宋体"/>
                <w:sz w:val="24"/>
                <w:u w:val="single"/>
              </w:rPr>
              <w:t>辅助热源的选择应考虑不同辅助热源与空气源热泵联合供暖的可靠性、经济性和环保性。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b/>
                <w:bCs/>
                <w:sz w:val="24"/>
              </w:rPr>
            </w:pPr>
          </w:p>
        </w:tc>
        <w:tc>
          <w:tcPr>
            <w:tcW w:w="4753" w:type="dxa"/>
          </w:tcPr>
          <w:p>
            <w:pPr>
              <w:autoSpaceDE w:val="0"/>
              <w:autoSpaceDN w:val="0"/>
              <w:spacing w:line="360" w:lineRule="auto"/>
              <w:jc w:val="left"/>
              <w:rPr>
                <w:rFonts w:ascii="宋体" w:hAnsi="宋体"/>
                <w:bCs/>
                <w:kern w:val="0"/>
                <w:sz w:val="24"/>
                <w:u w:val="single"/>
              </w:rPr>
            </w:pPr>
            <w:r>
              <w:rPr>
                <w:rFonts w:ascii="宋体" w:hAnsi="宋体"/>
                <w:b/>
                <w:bCs/>
                <w:sz w:val="24"/>
                <w:u w:val="single"/>
                <w:lang w:val="zh-CN"/>
              </w:rPr>
              <w:t>6.2A</w:t>
            </w:r>
            <w:r>
              <w:rPr>
                <w:rFonts w:hint="eastAsia" w:ascii="宋体" w:hAnsi="宋体"/>
                <w:b/>
                <w:bCs/>
                <w:kern w:val="0"/>
                <w:sz w:val="24"/>
                <w:u w:val="single"/>
              </w:rPr>
              <w:t>.</w:t>
            </w:r>
            <w:r>
              <w:rPr>
                <w:rFonts w:ascii="宋体" w:hAnsi="宋体"/>
                <w:b/>
                <w:bCs/>
                <w:kern w:val="0"/>
                <w:sz w:val="24"/>
                <w:u w:val="single"/>
              </w:rPr>
              <w:t>4</w:t>
            </w:r>
            <w:r>
              <w:rPr>
                <w:rFonts w:ascii="宋体" w:hAnsi="宋体"/>
                <w:b/>
                <w:kern w:val="0"/>
                <w:sz w:val="24"/>
                <w:u w:val="single"/>
              </w:rPr>
              <w:t xml:space="preserve">  </w:t>
            </w:r>
            <w:r>
              <w:rPr>
                <w:rFonts w:ascii="宋体" w:hAnsi="宋体"/>
                <w:bCs/>
                <w:kern w:val="0"/>
                <w:sz w:val="24"/>
                <w:u w:val="single"/>
              </w:rPr>
              <w:t>空气源热泵热水供暖系统的供/回水温度设计参数宜采用表</w:t>
            </w:r>
            <w:r>
              <w:rPr>
                <w:rFonts w:ascii="宋体" w:hAnsi="宋体"/>
                <w:bCs/>
                <w:sz w:val="24"/>
                <w:u w:val="single"/>
                <w:lang w:val="zh-CN"/>
              </w:rPr>
              <w:t>6.2A</w:t>
            </w:r>
            <w:r>
              <w:rPr>
                <w:rFonts w:ascii="宋体" w:hAnsi="宋体"/>
                <w:bCs/>
                <w:kern w:val="0"/>
                <w:sz w:val="24"/>
                <w:u w:val="single"/>
              </w:rPr>
              <w:t>.4推荐值。</w:t>
            </w:r>
            <w:r>
              <w:rPr>
                <w:rFonts w:hint="eastAsia" w:ascii="宋体" w:hAnsi="宋体"/>
                <w:bCs/>
                <w:kern w:val="0"/>
                <w:sz w:val="24"/>
                <w:u w:val="single"/>
              </w:rPr>
              <w:t>严寒地区及寒冷地区</w:t>
            </w:r>
            <w:r>
              <w:rPr>
                <w:rFonts w:ascii="宋体" w:hAnsi="宋体"/>
                <w:bCs/>
                <w:kern w:val="0"/>
                <w:sz w:val="24"/>
                <w:u w:val="single"/>
              </w:rPr>
              <w:t>空气源热泵供暖系统室内末端</w:t>
            </w:r>
            <w:r>
              <w:rPr>
                <w:rFonts w:hint="eastAsia" w:ascii="宋体" w:hAnsi="宋体"/>
                <w:bCs/>
                <w:kern w:val="0"/>
                <w:sz w:val="24"/>
                <w:u w:val="single"/>
              </w:rPr>
              <w:t>宜</w:t>
            </w:r>
            <w:r>
              <w:rPr>
                <w:rFonts w:ascii="宋体" w:hAnsi="宋体"/>
                <w:bCs/>
                <w:kern w:val="0"/>
                <w:sz w:val="24"/>
                <w:u w:val="single"/>
              </w:rPr>
              <w:t>采用低温辐射供暖末端。</w:t>
            </w:r>
          </w:p>
          <w:p>
            <w:pPr>
              <w:jc w:val="center"/>
              <w:rPr>
                <w:rFonts w:ascii="宋体" w:hAnsi="宋体"/>
                <w:b/>
                <w:bCs/>
                <w:sz w:val="24"/>
                <w:u w:val="single"/>
              </w:rPr>
            </w:pPr>
            <w:r>
              <w:rPr>
                <w:rFonts w:ascii="宋体" w:hAnsi="宋体"/>
                <w:b/>
                <w:bCs/>
                <w:sz w:val="24"/>
                <w:u w:val="single"/>
              </w:rPr>
              <w:t>表</w:t>
            </w:r>
            <w:r>
              <w:rPr>
                <w:rFonts w:ascii="宋体" w:hAnsi="宋体"/>
                <w:b/>
                <w:bCs/>
                <w:sz w:val="24"/>
                <w:u w:val="single"/>
                <w:lang w:val="zh-CN"/>
              </w:rPr>
              <w:t>6.2A</w:t>
            </w:r>
            <w:r>
              <w:rPr>
                <w:rFonts w:hint="eastAsia" w:ascii="宋体" w:hAnsi="宋体"/>
                <w:b/>
                <w:bCs/>
                <w:sz w:val="24"/>
                <w:u w:val="single"/>
              </w:rPr>
              <w:t>.</w:t>
            </w:r>
            <w:r>
              <w:rPr>
                <w:rFonts w:ascii="宋体" w:hAnsi="宋体"/>
                <w:b/>
                <w:bCs/>
                <w:sz w:val="24"/>
                <w:u w:val="single"/>
              </w:rPr>
              <w:t>4  不同气候区空气源热泵热水供暖系统供/回水温度设计参数推荐值</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268"/>
              <w:gridCol w:w="126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58" w:type="dxa"/>
                  <w:shd w:val="clear" w:color="auto" w:fill="auto"/>
                  <w:vAlign w:val="center"/>
                </w:tcPr>
                <w:p>
                  <w:pPr>
                    <w:ind w:left="142"/>
                    <w:jc w:val="center"/>
                    <w:rPr>
                      <w:rFonts w:ascii="宋体" w:hAnsi="宋体"/>
                      <w:szCs w:val="21"/>
                      <w:u w:val="single"/>
                    </w:rPr>
                  </w:pPr>
                  <w:r>
                    <w:rPr>
                      <w:rFonts w:ascii="宋体" w:hAnsi="宋体"/>
                      <w:szCs w:val="21"/>
                      <w:u w:val="single"/>
                    </w:rPr>
                    <w:t>气候区</w:t>
                  </w:r>
                </w:p>
              </w:tc>
              <w:tc>
                <w:tcPr>
                  <w:tcW w:w="1268" w:type="dxa"/>
                  <w:shd w:val="clear" w:color="auto" w:fill="auto"/>
                  <w:vAlign w:val="center"/>
                </w:tcPr>
                <w:p>
                  <w:pPr>
                    <w:ind w:left="142"/>
                    <w:jc w:val="center"/>
                    <w:rPr>
                      <w:rFonts w:ascii="宋体" w:hAnsi="宋体"/>
                      <w:szCs w:val="21"/>
                      <w:u w:val="single"/>
                    </w:rPr>
                  </w:pPr>
                  <w:r>
                    <w:rPr>
                      <w:rFonts w:ascii="宋体" w:hAnsi="宋体"/>
                      <w:szCs w:val="21"/>
                      <w:u w:val="single"/>
                    </w:rPr>
                    <w:t>严寒地区</w:t>
                  </w:r>
                </w:p>
              </w:tc>
              <w:tc>
                <w:tcPr>
                  <w:tcW w:w="1268" w:type="dxa"/>
                  <w:shd w:val="clear" w:color="auto" w:fill="auto"/>
                  <w:vAlign w:val="center"/>
                </w:tcPr>
                <w:p>
                  <w:pPr>
                    <w:jc w:val="center"/>
                    <w:rPr>
                      <w:rFonts w:ascii="宋体" w:hAnsi="宋体"/>
                      <w:szCs w:val="21"/>
                      <w:u w:val="single"/>
                    </w:rPr>
                  </w:pPr>
                  <w:r>
                    <w:rPr>
                      <w:rFonts w:ascii="宋体" w:hAnsi="宋体"/>
                      <w:szCs w:val="21"/>
                      <w:u w:val="single"/>
                    </w:rPr>
                    <w:t>寒冷地区</w:t>
                  </w:r>
                </w:p>
              </w:tc>
              <w:tc>
                <w:tcPr>
                  <w:tcW w:w="1268" w:type="dxa"/>
                  <w:shd w:val="clear" w:color="auto" w:fill="auto"/>
                  <w:vAlign w:val="center"/>
                </w:tcPr>
                <w:p>
                  <w:pPr>
                    <w:jc w:val="center"/>
                    <w:rPr>
                      <w:rFonts w:ascii="宋体" w:hAnsi="宋体"/>
                      <w:szCs w:val="21"/>
                      <w:u w:val="single"/>
                    </w:rPr>
                  </w:pPr>
                  <w:r>
                    <w:rPr>
                      <w:rFonts w:ascii="宋体" w:hAnsi="宋体"/>
                      <w:szCs w:val="21"/>
                      <w:u w:val="single"/>
                    </w:rPr>
                    <w:t>夏热冬冷地区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558" w:type="dxa"/>
                  <w:shd w:val="clear" w:color="auto" w:fill="auto"/>
                  <w:vAlign w:val="center"/>
                </w:tcPr>
                <w:p>
                  <w:pPr>
                    <w:ind w:left="142"/>
                    <w:jc w:val="center"/>
                    <w:rPr>
                      <w:rFonts w:ascii="宋体" w:hAnsi="宋体"/>
                      <w:szCs w:val="21"/>
                      <w:u w:val="single"/>
                    </w:rPr>
                  </w:pPr>
                  <w:r>
                    <w:rPr>
                      <w:rFonts w:ascii="宋体" w:hAnsi="宋体"/>
                      <w:szCs w:val="21"/>
                      <w:u w:val="single"/>
                    </w:rPr>
                    <w:t>设计供/回水温度</w:t>
                  </w:r>
                </w:p>
              </w:tc>
              <w:tc>
                <w:tcPr>
                  <w:tcW w:w="1268" w:type="dxa"/>
                  <w:shd w:val="clear" w:color="auto" w:fill="auto"/>
                  <w:vAlign w:val="center"/>
                </w:tcPr>
                <w:p>
                  <w:pPr>
                    <w:ind w:left="142"/>
                    <w:jc w:val="center"/>
                    <w:rPr>
                      <w:rFonts w:ascii="宋体" w:hAnsi="宋体"/>
                      <w:szCs w:val="21"/>
                      <w:u w:val="single"/>
                    </w:rPr>
                  </w:pPr>
                  <w:r>
                    <w:rPr>
                      <w:rFonts w:ascii="宋体" w:hAnsi="宋体"/>
                      <w:szCs w:val="21"/>
                      <w:u w:val="single"/>
                    </w:rPr>
                    <w:t>38℃/33℃</w:t>
                  </w:r>
                </w:p>
              </w:tc>
              <w:tc>
                <w:tcPr>
                  <w:tcW w:w="1268" w:type="dxa"/>
                  <w:shd w:val="clear" w:color="auto" w:fill="auto"/>
                  <w:vAlign w:val="center"/>
                </w:tcPr>
                <w:p>
                  <w:pPr>
                    <w:ind w:left="142"/>
                    <w:jc w:val="center"/>
                    <w:rPr>
                      <w:rFonts w:ascii="宋体" w:hAnsi="宋体"/>
                      <w:szCs w:val="21"/>
                      <w:u w:val="single"/>
                    </w:rPr>
                  </w:pPr>
                  <w:r>
                    <w:rPr>
                      <w:rFonts w:ascii="宋体" w:hAnsi="宋体"/>
                      <w:szCs w:val="21"/>
                      <w:u w:val="single"/>
                    </w:rPr>
                    <w:t>41℃/36℃</w:t>
                  </w:r>
                </w:p>
              </w:tc>
              <w:tc>
                <w:tcPr>
                  <w:tcW w:w="1268" w:type="dxa"/>
                  <w:shd w:val="clear" w:color="auto" w:fill="auto"/>
                  <w:vAlign w:val="center"/>
                </w:tcPr>
                <w:p>
                  <w:pPr>
                    <w:tabs>
                      <w:tab w:val="left" w:pos="756"/>
                      <w:tab w:val="center" w:pos="938"/>
                    </w:tabs>
                    <w:ind w:left="142"/>
                    <w:jc w:val="center"/>
                    <w:rPr>
                      <w:rFonts w:ascii="宋体" w:hAnsi="宋体"/>
                      <w:szCs w:val="21"/>
                      <w:u w:val="single"/>
                    </w:rPr>
                  </w:pPr>
                  <w:r>
                    <w:rPr>
                      <w:rFonts w:ascii="宋体" w:hAnsi="宋体"/>
                      <w:szCs w:val="21"/>
                      <w:u w:val="single"/>
                    </w:rPr>
                    <w:t>45℃/40℃</w:t>
                  </w:r>
                </w:p>
              </w:tc>
            </w:tr>
          </w:tbl>
          <w:p>
            <w:pPr>
              <w:autoSpaceDE w:val="0"/>
              <w:autoSpaceDN w:val="0"/>
              <w:spacing w:line="360" w:lineRule="auto"/>
              <w:jc w:val="left"/>
              <w:rPr>
                <w:rFonts w:ascii="宋体" w:hAnsi="宋体"/>
                <w:b/>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b/>
                <w:bCs/>
                <w:sz w:val="24"/>
              </w:rPr>
            </w:pPr>
          </w:p>
        </w:tc>
        <w:tc>
          <w:tcPr>
            <w:tcW w:w="4753" w:type="dxa"/>
          </w:tcPr>
          <w:p>
            <w:pPr>
              <w:autoSpaceDE w:val="0"/>
              <w:autoSpaceDN w:val="0"/>
              <w:spacing w:line="360" w:lineRule="auto"/>
              <w:jc w:val="left"/>
              <w:rPr>
                <w:rFonts w:ascii="宋体" w:hAnsi="宋体"/>
                <w:kern w:val="0"/>
                <w:sz w:val="24"/>
                <w:u w:val="single"/>
              </w:rPr>
            </w:pPr>
            <w:r>
              <w:rPr>
                <w:rFonts w:ascii="宋体" w:hAnsi="宋体"/>
                <w:b/>
                <w:bCs/>
                <w:sz w:val="24"/>
                <w:u w:val="single"/>
                <w:lang w:val="zh-CN"/>
              </w:rPr>
              <w:t>6.2A</w:t>
            </w:r>
            <w:r>
              <w:rPr>
                <w:rFonts w:hint="eastAsia" w:ascii="宋体" w:hAnsi="宋体"/>
                <w:b/>
                <w:bCs/>
                <w:kern w:val="0"/>
                <w:sz w:val="24"/>
                <w:u w:val="single"/>
              </w:rPr>
              <w:t>.</w:t>
            </w:r>
            <w:r>
              <w:rPr>
                <w:rFonts w:ascii="宋体" w:hAnsi="宋体"/>
                <w:b/>
                <w:bCs/>
                <w:kern w:val="0"/>
                <w:sz w:val="24"/>
                <w:u w:val="single"/>
              </w:rPr>
              <w:t>5</w:t>
            </w:r>
            <w:r>
              <w:rPr>
                <w:rFonts w:hint="eastAsia" w:ascii="宋体" w:hAnsi="宋体"/>
                <w:kern w:val="0"/>
                <w:sz w:val="24"/>
                <w:u w:val="single"/>
              </w:rPr>
              <w:t xml:space="preserve"> 空气源热泵类产品的选用及能效要求应符合下列规定：</w:t>
            </w:r>
            <w:r>
              <w:rPr>
                <w:rFonts w:ascii="宋体" w:hAnsi="宋体"/>
                <w:kern w:val="0"/>
                <w:sz w:val="24"/>
                <w:u w:val="single"/>
              </w:rPr>
              <w:t xml:space="preserve"> </w:t>
            </w:r>
          </w:p>
          <w:p>
            <w:pPr>
              <w:spacing w:line="360" w:lineRule="auto"/>
              <w:ind w:firstLine="470" w:firstLineChars="196"/>
              <w:rPr>
                <w:rFonts w:ascii="宋体" w:hAnsi="宋体"/>
                <w:sz w:val="24"/>
                <w:u w:val="single"/>
              </w:rPr>
            </w:pPr>
            <w:r>
              <w:rPr>
                <w:rFonts w:hint="eastAsia" w:ascii="宋体" w:hAnsi="宋体"/>
                <w:sz w:val="24"/>
                <w:u w:val="single"/>
              </w:rPr>
              <w:t>1</w:t>
            </w:r>
            <w:r>
              <w:rPr>
                <w:rFonts w:ascii="宋体" w:hAnsi="宋体"/>
                <w:sz w:val="24"/>
                <w:u w:val="single"/>
              </w:rPr>
              <w:t xml:space="preserve"> </w:t>
            </w:r>
            <w:r>
              <w:rPr>
                <w:rFonts w:hint="eastAsia" w:ascii="宋体" w:hAnsi="宋体"/>
                <w:sz w:val="24"/>
                <w:u w:val="single"/>
              </w:rPr>
              <w:t>房间空调器应满足现行国家标准《房间空调器》GB/T 7725的有关规定；</w:t>
            </w:r>
          </w:p>
          <w:p>
            <w:pPr>
              <w:spacing w:line="360" w:lineRule="auto"/>
              <w:ind w:firstLine="470" w:firstLineChars="196"/>
              <w:rPr>
                <w:rFonts w:ascii="宋体" w:hAnsi="宋体"/>
                <w:sz w:val="24"/>
                <w:u w:val="single"/>
              </w:rPr>
            </w:pPr>
            <w:r>
              <w:rPr>
                <w:rFonts w:hint="eastAsia" w:ascii="宋体" w:hAnsi="宋体"/>
                <w:sz w:val="24"/>
                <w:u w:val="single"/>
              </w:rPr>
              <w:t>2</w:t>
            </w:r>
            <w:r>
              <w:rPr>
                <w:rFonts w:ascii="宋体" w:hAnsi="宋体"/>
                <w:sz w:val="24"/>
                <w:u w:val="single"/>
              </w:rPr>
              <w:t xml:space="preserve"> </w:t>
            </w:r>
            <w:r>
              <w:rPr>
                <w:rFonts w:hint="eastAsia" w:ascii="宋体" w:hAnsi="宋体"/>
                <w:sz w:val="24"/>
                <w:u w:val="single"/>
              </w:rPr>
              <w:t>多联机系统应满足现行国家标准《</w:t>
            </w:r>
            <w:r>
              <w:rPr>
                <w:rFonts w:ascii="宋体" w:hAnsi="宋体"/>
                <w:sz w:val="24"/>
                <w:u w:val="single"/>
              </w:rPr>
              <w:t>多联式空调（热泵）机组</w:t>
            </w:r>
            <w:r>
              <w:rPr>
                <w:rFonts w:hint="eastAsia" w:ascii="宋体" w:hAnsi="宋体"/>
                <w:sz w:val="24"/>
                <w:u w:val="single"/>
              </w:rPr>
              <w:t>》</w:t>
            </w:r>
            <w:r>
              <w:rPr>
                <w:rFonts w:ascii="宋体" w:hAnsi="宋体"/>
                <w:sz w:val="24"/>
                <w:u w:val="single"/>
              </w:rPr>
              <w:t>GB/T 18837</w:t>
            </w:r>
            <w:r>
              <w:rPr>
                <w:rFonts w:hint="eastAsia" w:ascii="宋体" w:hAnsi="宋体"/>
                <w:sz w:val="24"/>
                <w:u w:val="single"/>
              </w:rPr>
              <w:t>的有关规定；</w:t>
            </w:r>
          </w:p>
          <w:p>
            <w:pPr>
              <w:spacing w:line="360" w:lineRule="auto"/>
              <w:ind w:firstLine="470" w:firstLineChars="196"/>
              <w:rPr>
                <w:rFonts w:ascii="宋体" w:hAnsi="宋体"/>
                <w:sz w:val="24"/>
                <w:u w:val="single"/>
              </w:rPr>
            </w:pPr>
            <w:r>
              <w:rPr>
                <w:rFonts w:ascii="宋体" w:hAnsi="宋体"/>
                <w:sz w:val="24"/>
                <w:u w:val="single"/>
              </w:rPr>
              <w:t xml:space="preserve">3 </w:t>
            </w:r>
            <w:r>
              <w:rPr>
                <w:rFonts w:hint="eastAsia" w:ascii="宋体" w:hAnsi="宋体"/>
                <w:sz w:val="24"/>
                <w:u w:val="single"/>
              </w:rPr>
              <w:t>热泵热水机应满足现行国家标准《</w:t>
            </w:r>
            <w:r>
              <w:rPr>
                <w:rFonts w:ascii="宋体" w:hAnsi="宋体"/>
                <w:sz w:val="24"/>
                <w:u w:val="single"/>
              </w:rPr>
              <w:t>家用和类似用途热泵热水器</w:t>
            </w:r>
            <w:r>
              <w:rPr>
                <w:rFonts w:hint="eastAsia" w:ascii="宋体" w:hAnsi="宋体"/>
                <w:sz w:val="24"/>
                <w:u w:val="single"/>
              </w:rPr>
              <w:t>》</w:t>
            </w:r>
            <w:r>
              <w:rPr>
                <w:rFonts w:ascii="宋体" w:hAnsi="宋体"/>
                <w:sz w:val="24"/>
                <w:u w:val="single"/>
              </w:rPr>
              <w:t>GB/T 23137</w:t>
            </w:r>
            <w:r>
              <w:rPr>
                <w:rFonts w:hint="eastAsia" w:ascii="宋体" w:hAnsi="宋体"/>
                <w:sz w:val="24"/>
                <w:u w:val="single"/>
              </w:rPr>
              <w:t>的有关规定；</w:t>
            </w:r>
          </w:p>
          <w:p>
            <w:pPr>
              <w:spacing w:line="360" w:lineRule="auto"/>
              <w:ind w:firstLine="470" w:firstLineChars="196"/>
              <w:rPr>
                <w:rFonts w:ascii="宋体" w:hAnsi="宋体"/>
                <w:sz w:val="24"/>
                <w:u w:val="single"/>
              </w:rPr>
            </w:pPr>
            <w:r>
              <w:rPr>
                <w:rFonts w:ascii="宋体" w:hAnsi="宋体"/>
                <w:sz w:val="24"/>
                <w:u w:val="single"/>
              </w:rPr>
              <w:t xml:space="preserve">4 </w:t>
            </w:r>
            <w:r>
              <w:rPr>
                <w:rFonts w:hint="eastAsia" w:ascii="宋体" w:hAnsi="宋体"/>
                <w:sz w:val="24"/>
                <w:u w:val="single"/>
              </w:rPr>
              <w:t>环境温度不低于-25℃制冷量不大于35kW制取热（冷）水机组应满足现行国家标准《</w:t>
            </w:r>
            <w:r>
              <w:rPr>
                <w:rFonts w:ascii="宋体" w:hAnsi="宋体"/>
                <w:sz w:val="24"/>
                <w:u w:val="single"/>
              </w:rPr>
              <w:t>低环境温度空气源热泵（冷水）机组</w:t>
            </w:r>
            <w:r>
              <w:rPr>
                <w:rFonts w:hint="eastAsia" w:ascii="宋体" w:hAnsi="宋体"/>
                <w:sz w:val="24"/>
                <w:u w:val="single"/>
              </w:rPr>
              <w:t xml:space="preserve"> </w:t>
            </w:r>
            <w:r>
              <w:rPr>
                <w:rFonts w:ascii="宋体" w:hAnsi="宋体"/>
                <w:sz w:val="24"/>
                <w:u w:val="single"/>
              </w:rPr>
              <w:t>第2部分：户用及类似用途的热泵（冷水）机组</w:t>
            </w:r>
            <w:r>
              <w:rPr>
                <w:rFonts w:hint="eastAsia" w:ascii="宋体" w:hAnsi="宋体"/>
                <w:sz w:val="24"/>
                <w:u w:val="single"/>
              </w:rPr>
              <w:t>》</w:t>
            </w:r>
            <w:r>
              <w:rPr>
                <w:rFonts w:ascii="宋体" w:hAnsi="宋体"/>
                <w:sz w:val="24"/>
                <w:u w:val="single"/>
              </w:rPr>
              <w:t>GB/T 25127.2</w:t>
            </w:r>
            <w:r>
              <w:rPr>
                <w:rFonts w:hint="eastAsia" w:ascii="宋体" w:hAnsi="宋体"/>
                <w:sz w:val="24"/>
                <w:u w:val="single"/>
              </w:rPr>
              <w:t>的有关规定；</w:t>
            </w:r>
          </w:p>
          <w:p>
            <w:pPr>
              <w:spacing w:line="360" w:lineRule="auto"/>
              <w:ind w:firstLine="470" w:firstLineChars="196"/>
              <w:rPr>
                <w:rFonts w:ascii="宋体" w:hAnsi="宋体"/>
                <w:sz w:val="24"/>
                <w:u w:val="single"/>
              </w:rPr>
            </w:pPr>
            <w:r>
              <w:rPr>
                <w:rFonts w:ascii="宋体" w:hAnsi="宋体"/>
                <w:sz w:val="24"/>
                <w:u w:val="single"/>
              </w:rPr>
              <w:t xml:space="preserve">5 </w:t>
            </w:r>
            <w:r>
              <w:rPr>
                <w:rFonts w:hint="eastAsia" w:ascii="宋体" w:hAnsi="宋体"/>
                <w:sz w:val="24"/>
                <w:u w:val="single"/>
              </w:rPr>
              <w:t>环境温度不低于-25℃制冷量不大于14kW的分体式空气源热泵热风机应满足现行行业标准《</w:t>
            </w:r>
            <w:r>
              <w:rPr>
                <w:rFonts w:ascii="宋体" w:hAnsi="宋体"/>
                <w:sz w:val="24"/>
                <w:u w:val="single"/>
              </w:rPr>
              <w:t>低环境温度空气源热泵热风机</w:t>
            </w:r>
            <w:r>
              <w:rPr>
                <w:rFonts w:hint="eastAsia" w:ascii="宋体" w:hAnsi="宋体"/>
                <w:sz w:val="24"/>
                <w:u w:val="single"/>
              </w:rPr>
              <w:t>》</w:t>
            </w:r>
            <w:r>
              <w:rPr>
                <w:rFonts w:ascii="宋体" w:hAnsi="宋体"/>
                <w:sz w:val="24"/>
                <w:u w:val="single"/>
              </w:rPr>
              <w:t>JB/T 13573</w:t>
            </w:r>
            <w:r>
              <w:rPr>
                <w:rFonts w:hint="eastAsia" w:ascii="宋体" w:hAnsi="宋体"/>
                <w:sz w:val="24"/>
                <w:u w:val="single"/>
              </w:rPr>
              <w:t>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b/>
                <w:bCs/>
                <w:sz w:val="24"/>
                <w:lang w:val="zh-CN"/>
              </w:rPr>
            </w:pPr>
            <w:r>
              <w:rPr>
                <w:rFonts w:ascii="宋体" w:hAnsi="宋体"/>
                <w:b/>
                <w:bCs/>
                <w:sz w:val="24"/>
                <w:lang w:val="zh-CN"/>
              </w:rPr>
              <w:t>8.4  地热能利用</w:t>
            </w:r>
          </w:p>
        </w:tc>
        <w:tc>
          <w:tcPr>
            <w:tcW w:w="4753" w:type="dxa"/>
          </w:tcPr>
          <w:p>
            <w:pPr>
              <w:autoSpaceDE w:val="0"/>
              <w:autoSpaceDN w:val="0"/>
              <w:adjustRightInd w:val="0"/>
              <w:spacing w:line="360" w:lineRule="auto"/>
              <w:jc w:val="center"/>
              <w:rPr>
                <w:rFonts w:ascii="宋体" w:hAnsi="宋体"/>
                <w:b/>
                <w:bCs/>
                <w:sz w:val="24"/>
                <w:lang w:val="zh-CN"/>
              </w:rPr>
            </w:pPr>
            <w:r>
              <w:rPr>
                <w:rFonts w:hint="eastAsia" w:ascii="宋体" w:hAnsi="宋体"/>
                <w:b/>
                <w:bCs/>
                <w:sz w:val="24"/>
                <w:lang w:val="zh-CN"/>
              </w:rPr>
              <w:t>6.2B  地源热泵供暖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left"/>
              <w:rPr>
                <w:rFonts w:ascii="宋体" w:hAnsi="宋体"/>
                <w:b/>
                <w:bCs/>
                <w:sz w:val="24"/>
                <w:lang w:val="zh-CN"/>
              </w:rPr>
            </w:pPr>
            <w:r>
              <w:rPr>
                <w:rFonts w:hint="eastAsia" w:ascii="宋体" w:hAnsi="宋体"/>
                <w:b/>
                <w:bCs/>
                <w:sz w:val="24"/>
              </w:rPr>
              <w:t xml:space="preserve">8.4.1  </w:t>
            </w:r>
            <w:r>
              <w:rPr>
                <w:rFonts w:hint="eastAsia" w:ascii="宋体" w:hAnsi="宋体"/>
                <w:bCs/>
                <w:sz w:val="24"/>
              </w:rPr>
              <w:t>有条件时，寒冷地区或夏热冬冷地区农村居住建筑可采用地源热泵系统进行供暖空调或地热直接供暖。</w:t>
            </w:r>
          </w:p>
        </w:tc>
        <w:tc>
          <w:tcPr>
            <w:tcW w:w="4753" w:type="dxa"/>
          </w:tcPr>
          <w:p>
            <w:pPr>
              <w:autoSpaceDE w:val="0"/>
              <w:autoSpaceDN w:val="0"/>
              <w:adjustRightInd w:val="0"/>
              <w:spacing w:line="360" w:lineRule="auto"/>
              <w:jc w:val="left"/>
              <w:rPr>
                <w:rFonts w:ascii="宋体" w:hAnsi="宋体"/>
                <w:bCs/>
                <w:sz w:val="24"/>
              </w:rPr>
            </w:pPr>
            <w:r>
              <w:rPr>
                <w:rFonts w:hint="eastAsia" w:ascii="宋体" w:hAnsi="宋体"/>
                <w:b/>
                <w:bCs/>
                <w:sz w:val="24"/>
                <w:lang w:val="zh-CN"/>
              </w:rPr>
              <w:t>6.2B</w:t>
            </w:r>
            <w:r>
              <w:rPr>
                <w:rFonts w:hint="eastAsia" w:ascii="宋体" w:hAnsi="宋体"/>
                <w:b/>
                <w:bCs/>
                <w:sz w:val="24"/>
              </w:rPr>
              <w:t>.1</w:t>
            </w:r>
            <w:r>
              <w:rPr>
                <w:rFonts w:hint="eastAsia" w:ascii="宋体" w:hAnsi="宋体"/>
                <w:bCs/>
                <w:sz w:val="24"/>
              </w:rPr>
              <w:t xml:space="preserve">  有条件时，寒冷地区或夏热冬冷地区农村居住建筑可采用地源热泵系统进行供暖空调或地热直接供暖。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left"/>
              <w:rPr>
                <w:rFonts w:ascii="宋体" w:hAnsi="宋体"/>
                <w:b/>
                <w:bCs/>
                <w:sz w:val="24"/>
                <w:lang w:val="zh-CN"/>
              </w:rPr>
            </w:pPr>
          </w:p>
        </w:tc>
        <w:tc>
          <w:tcPr>
            <w:tcW w:w="4753" w:type="dxa"/>
          </w:tcPr>
          <w:p>
            <w:pPr>
              <w:autoSpaceDE w:val="0"/>
              <w:autoSpaceDN w:val="0"/>
              <w:adjustRightInd w:val="0"/>
              <w:spacing w:line="360" w:lineRule="auto"/>
              <w:jc w:val="left"/>
              <w:rPr>
                <w:rFonts w:ascii="宋体" w:hAnsi="宋体"/>
                <w:b/>
                <w:bCs/>
                <w:sz w:val="24"/>
                <w:u w:val="single"/>
                <w:lang w:val="zh-CN"/>
              </w:rPr>
            </w:pPr>
            <w:r>
              <w:rPr>
                <w:rFonts w:hint="eastAsia" w:ascii="宋体" w:hAnsi="宋体"/>
                <w:b/>
                <w:bCs/>
                <w:sz w:val="24"/>
                <w:u w:val="single"/>
                <w:lang w:val="zh-CN"/>
              </w:rPr>
              <w:t>6.2B</w:t>
            </w:r>
            <w:r>
              <w:rPr>
                <w:rFonts w:hint="eastAsia" w:ascii="宋体" w:hAnsi="宋体"/>
                <w:b/>
                <w:bCs/>
                <w:sz w:val="24"/>
                <w:u w:val="single"/>
              </w:rPr>
              <w:t>.</w:t>
            </w:r>
            <w:r>
              <w:rPr>
                <w:rFonts w:ascii="宋体" w:hAnsi="宋体"/>
                <w:b/>
                <w:bCs/>
                <w:sz w:val="24"/>
                <w:u w:val="single"/>
              </w:rPr>
              <w:t>2</w:t>
            </w:r>
            <w:r>
              <w:rPr>
                <w:rFonts w:ascii="宋体" w:hAnsi="宋体"/>
                <w:bCs/>
                <w:sz w:val="24"/>
                <w:u w:val="single"/>
              </w:rPr>
              <w:t xml:space="preserve">  地热能利用方式的选择，应根据当地气候、资源条件、水资源</w:t>
            </w:r>
            <w:r>
              <w:rPr>
                <w:rFonts w:hint="eastAsia" w:ascii="宋体" w:hAnsi="宋体"/>
                <w:bCs/>
                <w:sz w:val="24"/>
                <w:u w:val="single"/>
              </w:rPr>
              <w:t>、地矿</w:t>
            </w:r>
            <w:r>
              <w:rPr>
                <w:rFonts w:ascii="宋体" w:hAnsi="宋体"/>
                <w:bCs/>
                <w:sz w:val="24"/>
                <w:u w:val="single"/>
              </w:rPr>
              <w:t>和环境保护政策、系统能效以及农户对设备投资运行费用的承担能力等因素综合确定。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kern w:val="0"/>
                <w:sz w:val="24"/>
                <w:u w:val="single"/>
              </w:rPr>
            </w:pPr>
            <w:r>
              <w:rPr>
                <w:rFonts w:ascii="宋体" w:hAnsi="宋体"/>
                <w:b/>
                <w:sz w:val="24"/>
              </w:rPr>
              <w:t>8.4.2</w:t>
            </w:r>
            <w:r>
              <w:rPr>
                <w:rFonts w:ascii="宋体" w:hAnsi="宋体"/>
                <w:sz w:val="24"/>
              </w:rPr>
              <w:t xml:space="preserve">  采用较大规模的</w:t>
            </w:r>
            <w:r>
              <w:rPr>
                <w:rFonts w:ascii="宋体" w:hAnsi="宋体"/>
                <w:kern w:val="0"/>
                <w:sz w:val="24"/>
              </w:rPr>
              <w:t>地源热泵系统时，</w:t>
            </w:r>
            <w:r>
              <w:rPr>
                <w:rFonts w:ascii="宋体" w:hAnsi="宋体"/>
                <w:sz w:val="24"/>
              </w:rPr>
              <w:t>应符合现行国家标准</w:t>
            </w:r>
            <w:r>
              <w:rPr>
                <w:rFonts w:ascii="宋体" w:hAnsi="宋体"/>
                <w:kern w:val="0"/>
                <w:sz w:val="24"/>
              </w:rPr>
              <w:t>《地源热泵系统工程技术规范》GB 50366的相关规定。</w:t>
            </w:r>
          </w:p>
        </w:tc>
        <w:tc>
          <w:tcPr>
            <w:tcW w:w="4753" w:type="dxa"/>
          </w:tcPr>
          <w:p>
            <w:pPr>
              <w:autoSpaceDE w:val="0"/>
              <w:autoSpaceDN w:val="0"/>
              <w:spacing w:line="360" w:lineRule="auto"/>
              <w:jc w:val="left"/>
              <w:rPr>
                <w:rFonts w:ascii="宋体" w:hAnsi="宋体"/>
                <w:kern w:val="0"/>
                <w:sz w:val="24"/>
                <w:u w:val="single"/>
              </w:rPr>
            </w:pPr>
            <w:r>
              <w:rPr>
                <w:rFonts w:hint="eastAsia" w:ascii="宋体" w:hAnsi="宋体"/>
                <w:b/>
                <w:bCs/>
                <w:sz w:val="24"/>
                <w:lang w:val="zh-CN"/>
              </w:rPr>
              <w:t>6.2B</w:t>
            </w:r>
            <w:r>
              <w:rPr>
                <w:rFonts w:hint="eastAsia" w:ascii="宋体" w:hAnsi="宋体"/>
                <w:b/>
                <w:bCs/>
                <w:sz w:val="24"/>
              </w:rPr>
              <w:t>.</w:t>
            </w:r>
            <w:r>
              <w:rPr>
                <w:rFonts w:ascii="宋体" w:hAnsi="宋体"/>
                <w:b/>
                <w:bCs/>
                <w:sz w:val="24"/>
              </w:rPr>
              <w:t>3</w:t>
            </w:r>
            <w:r>
              <w:rPr>
                <w:rFonts w:ascii="宋体" w:hAnsi="宋体"/>
                <w:sz w:val="24"/>
              </w:rPr>
              <w:t xml:space="preserve">  采用较大规模的</w:t>
            </w:r>
            <w:r>
              <w:rPr>
                <w:rFonts w:ascii="宋体" w:hAnsi="宋体"/>
                <w:kern w:val="0"/>
                <w:sz w:val="24"/>
              </w:rPr>
              <w:t>地源热泵系统时，</w:t>
            </w:r>
            <w:r>
              <w:rPr>
                <w:rFonts w:ascii="宋体" w:hAnsi="宋体"/>
                <w:sz w:val="24"/>
              </w:rPr>
              <w:t>应符合现行国家标准</w:t>
            </w:r>
            <w:r>
              <w:rPr>
                <w:rFonts w:ascii="宋体" w:hAnsi="宋体"/>
                <w:kern w:val="0"/>
                <w:sz w:val="24"/>
              </w:rPr>
              <w:t>《地源热泵系统工程技术规范》GB 50366的相关规定</w:t>
            </w:r>
            <w:r>
              <w:rPr>
                <w:rFonts w:hint="eastAsia" w:ascii="宋体" w:hAnsi="宋体"/>
                <w:kern w:val="0"/>
                <w:sz w:val="24"/>
              </w:rPr>
              <w:t>；</w:t>
            </w:r>
            <w:r>
              <w:rPr>
                <w:rFonts w:hint="eastAsia" w:ascii="宋体" w:hAnsi="宋体"/>
                <w:kern w:val="0"/>
                <w:sz w:val="24"/>
                <w:u w:val="single"/>
              </w:rPr>
              <w:t>地源热泵</w:t>
            </w:r>
            <w:r>
              <w:rPr>
                <w:rFonts w:hint="eastAsia" w:ascii="宋体" w:hAnsi="宋体"/>
                <w:sz w:val="24"/>
                <w:u w:val="single"/>
              </w:rPr>
              <w:t>机组应符合现行国家标准《</w:t>
            </w:r>
            <w:r>
              <w:rPr>
                <w:rFonts w:ascii="宋体" w:hAnsi="宋体"/>
                <w:sz w:val="24"/>
                <w:u w:val="single"/>
              </w:rPr>
              <w:t>水（地）源热泵机组</w:t>
            </w:r>
            <w:r>
              <w:rPr>
                <w:rFonts w:hint="eastAsia" w:ascii="宋体" w:hAnsi="宋体"/>
                <w:sz w:val="24"/>
                <w:u w:val="single"/>
              </w:rPr>
              <w:t>》</w:t>
            </w:r>
            <w:r>
              <w:rPr>
                <w:rFonts w:ascii="宋体" w:hAnsi="宋体"/>
                <w:sz w:val="24"/>
                <w:u w:val="single"/>
              </w:rPr>
              <w:t>GB/T 19409</w:t>
            </w:r>
            <w:r>
              <w:rPr>
                <w:rFonts w:hint="eastAsia" w:ascii="宋体" w:hAnsi="宋体"/>
                <w:sz w:val="24"/>
                <w:u w:val="single"/>
              </w:rPr>
              <w:t>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left"/>
              <w:rPr>
                <w:rFonts w:ascii="宋体" w:hAnsi="宋体"/>
                <w:bCs/>
                <w:sz w:val="24"/>
              </w:rPr>
            </w:pPr>
            <w:r>
              <w:rPr>
                <w:rFonts w:hint="eastAsia" w:ascii="宋体" w:hAnsi="宋体"/>
                <w:b/>
                <w:sz w:val="24"/>
              </w:rPr>
              <w:t>8.4.3</w:t>
            </w:r>
            <w:r>
              <w:rPr>
                <w:rFonts w:ascii="宋体" w:hAnsi="宋体"/>
                <w:sz w:val="24"/>
              </w:rPr>
              <w:t xml:space="preserve"> </w:t>
            </w:r>
            <w:r>
              <w:rPr>
                <w:rFonts w:hint="eastAsia" w:ascii="宋体" w:hAnsi="宋体"/>
                <w:sz w:val="24"/>
              </w:rPr>
              <w:t>采用地埋管地源热泵系统时，冬季地埋管换热器进口水温宜高于4℃；地埋管宜采用聚乙烯管（PE80或PE40）或聚丁烯管（PB）。</w:t>
            </w:r>
          </w:p>
        </w:tc>
        <w:tc>
          <w:tcPr>
            <w:tcW w:w="4753" w:type="dxa"/>
          </w:tcPr>
          <w:p>
            <w:pPr>
              <w:autoSpaceDE w:val="0"/>
              <w:autoSpaceDN w:val="0"/>
              <w:spacing w:line="360" w:lineRule="auto"/>
              <w:jc w:val="left"/>
              <w:rPr>
                <w:rFonts w:ascii="宋体" w:hAnsi="宋体"/>
                <w:bCs/>
                <w:sz w:val="24"/>
              </w:rPr>
            </w:pPr>
            <w:r>
              <w:rPr>
                <w:rFonts w:hint="eastAsia" w:ascii="宋体" w:hAnsi="宋体"/>
                <w:b/>
                <w:bCs/>
                <w:sz w:val="24"/>
                <w:lang w:val="zh-CN"/>
              </w:rPr>
              <w:t>6.2B</w:t>
            </w:r>
            <w:r>
              <w:rPr>
                <w:rFonts w:hint="eastAsia" w:ascii="宋体" w:hAnsi="宋体"/>
                <w:b/>
                <w:bCs/>
                <w:sz w:val="24"/>
              </w:rPr>
              <w:t>.</w:t>
            </w:r>
            <w:r>
              <w:rPr>
                <w:rFonts w:ascii="宋体" w:hAnsi="宋体"/>
                <w:b/>
                <w:bCs/>
                <w:sz w:val="24"/>
              </w:rPr>
              <w:t>4</w:t>
            </w:r>
            <w:r>
              <w:rPr>
                <w:rFonts w:ascii="宋体" w:hAnsi="宋体"/>
                <w:b/>
                <w:sz w:val="24"/>
              </w:rPr>
              <w:t xml:space="preserve">  </w:t>
            </w:r>
            <w:r>
              <w:rPr>
                <w:rFonts w:ascii="宋体" w:hAnsi="宋体"/>
                <w:sz w:val="24"/>
              </w:rPr>
              <w:t>采用地埋管地源热泵系统时，冬季地埋管换热器进口水温宜高于4℃；地埋管宜采用聚乙烯管（PE80或PE40）或聚丁烯管（PB）。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b/>
                <w:bCs/>
                <w:sz w:val="24"/>
                <w:lang w:val="zh-CN"/>
              </w:rPr>
            </w:pPr>
            <w:r>
              <w:rPr>
                <w:rFonts w:ascii="宋体" w:hAnsi="宋体"/>
                <w:b/>
                <w:bCs/>
                <w:sz w:val="24"/>
                <w:lang w:val="zh-CN"/>
              </w:rPr>
              <w:t>8.3  生物质能利用</w:t>
            </w:r>
          </w:p>
        </w:tc>
        <w:tc>
          <w:tcPr>
            <w:tcW w:w="4753" w:type="dxa"/>
          </w:tcPr>
          <w:p>
            <w:pPr>
              <w:autoSpaceDE w:val="0"/>
              <w:autoSpaceDN w:val="0"/>
              <w:adjustRightInd w:val="0"/>
              <w:spacing w:line="360" w:lineRule="auto"/>
              <w:jc w:val="center"/>
              <w:rPr>
                <w:rFonts w:ascii="宋体" w:hAnsi="宋体"/>
                <w:b/>
                <w:bCs/>
                <w:sz w:val="24"/>
                <w:u w:val="single"/>
                <w:lang w:val="zh-CN"/>
              </w:rPr>
            </w:pPr>
            <w:r>
              <w:rPr>
                <w:rFonts w:hint="eastAsia" w:ascii="宋体" w:hAnsi="宋体"/>
                <w:b/>
                <w:bCs/>
                <w:sz w:val="24"/>
                <w:u w:val="single"/>
                <w:lang w:val="zh-CN"/>
              </w:rPr>
              <w:t>6.2C  生物质能供暖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bCs/>
                <w:sz w:val="24"/>
              </w:rPr>
              <w:t xml:space="preserve">8.3.1 </w:t>
            </w:r>
            <w:r>
              <w:rPr>
                <w:rFonts w:ascii="宋体" w:hAnsi="宋体"/>
                <w:sz w:val="24"/>
              </w:rPr>
              <w:t xml:space="preserve"> 在具备生物质转换技术条件的地区，宜采用生物质转换技术将生物质资源转化为清洁、便利的燃料后加以使用。</w:t>
            </w:r>
          </w:p>
        </w:tc>
        <w:tc>
          <w:tcPr>
            <w:tcW w:w="4753" w:type="dxa"/>
          </w:tcPr>
          <w:p>
            <w:pPr>
              <w:spacing w:line="360" w:lineRule="auto"/>
              <w:rPr>
                <w:rFonts w:ascii="宋体" w:hAnsi="宋体"/>
                <w:sz w:val="24"/>
                <w:u w:val="single"/>
              </w:rPr>
            </w:pPr>
            <w:r>
              <w:rPr>
                <w:rFonts w:hint="eastAsia" w:ascii="宋体" w:hAnsi="宋体"/>
                <w:b/>
                <w:bCs/>
                <w:sz w:val="24"/>
                <w:u w:val="single"/>
                <w:lang w:val="zh-CN"/>
              </w:rPr>
              <w:t>6.2C</w:t>
            </w:r>
            <w:r>
              <w:rPr>
                <w:rFonts w:ascii="宋体" w:hAnsi="宋体"/>
                <w:b/>
                <w:bCs/>
                <w:sz w:val="24"/>
                <w:u w:val="single"/>
              </w:rPr>
              <w:t>.1</w:t>
            </w:r>
            <w:r>
              <w:rPr>
                <w:sz w:val="24"/>
                <w:szCs w:val="21"/>
              </w:rPr>
              <w:t>在</w:t>
            </w:r>
            <w:r>
              <w:rPr>
                <w:sz w:val="24"/>
                <w:szCs w:val="21"/>
                <w:bdr w:val="single" w:color="auto" w:sz="4" w:space="0"/>
              </w:rPr>
              <w:t>具备</w:t>
            </w:r>
            <w:r>
              <w:rPr>
                <w:sz w:val="24"/>
                <w:szCs w:val="21"/>
              </w:rPr>
              <w:t>生物质</w:t>
            </w:r>
            <w:r>
              <w:rPr>
                <w:sz w:val="24"/>
                <w:szCs w:val="21"/>
                <w:bdr w:val="single" w:color="auto" w:sz="4" w:space="0"/>
              </w:rPr>
              <w:t>转换技术条件</w:t>
            </w:r>
            <w:r>
              <w:rPr>
                <w:rFonts w:hint="eastAsia" w:ascii="宋体" w:hAnsi="宋体"/>
                <w:sz w:val="24"/>
                <w:szCs w:val="21"/>
                <w:u w:val="single"/>
              </w:rPr>
              <w:t>较为丰富</w:t>
            </w:r>
            <w:r>
              <w:rPr>
                <w:sz w:val="24"/>
                <w:szCs w:val="21"/>
              </w:rPr>
              <w:t>的地区，宜采用生物质转换技术将生物质资源转化为清洁、便利的燃料后加以使用。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b/>
                <w:bCs/>
                <w:sz w:val="24"/>
              </w:rPr>
            </w:pPr>
          </w:p>
        </w:tc>
        <w:tc>
          <w:tcPr>
            <w:tcW w:w="4753" w:type="dxa"/>
          </w:tcPr>
          <w:p>
            <w:pPr>
              <w:spacing w:line="360" w:lineRule="auto"/>
              <w:rPr>
                <w:rFonts w:hint="eastAsia" w:ascii="宋体" w:hAnsi="宋体"/>
                <w:b/>
                <w:bCs/>
                <w:sz w:val="24"/>
                <w:u w:val="single"/>
                <w:lang w:val="zh-CN"/>
              </w:rPr>
            </w:pPr>
            <w:r>
              <w:rPr>
                <w:rFonts w:hint="eastAsia" w:ascii="宋体" w:hAnsi="宋体"/>
                <w:b/>
                <w:bCs/>
                <w:sz w:val="24"/>
                <w:u w:val="single"/>
                <w:lang w:val="zh-CN"/>
              </w:rPr>
              <w:t>6.2C</w:t>
            </w:r>
            <w:r>
              <w:rPr>
                <w:rFonts w:ascii="宋体" w:hAnsi="宋体"/>
                <w:b/>
                <w:bCs/>
                <w:sz w:val="24"/>
                <w:u w:val="single"/>
              </w:rPr>
              <w:t>.2</w:t>
            </w:r>
            <w:r>
              <w:rPr>
                <w:rFonts w:hint="eastAsia" w:ascii="宋体" w:hAnsi="宋体"/>
                <w:b/>
                <w:bCs/>
                <w:sz w:val="24"/>
                <w:u w:val="single"/>
              </w:rPr>
              <w:t xml:space="preserve"> </w:t>
            </w:r>
            <w:r>
              <w:rPr>
                <w:rFonts w:hint="eastAsia" w:ascii="宋体" w:hAnsi="宋体"/>
                <w:bCs/>
                <w:sz w:val="24"/>
                <w:u w:val="single"/>
              </w:rPr>
              <w:t xml:space="preserve"> 生物质能利用方式的选择，应根据所在地区生物质资源条件、气候条件、投资规模等因素综合确定。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bCs/>
                <w:sz w:val="24"/>
              </w:rPr>
            </w:pPr>
            <w:r>
              <w:rPr>
                <w:rFonts w:hint="eastAsia" w:ascii="宋体" w:hAnsi="宋体"/>
                <w:b/>
                <w:bCs/>
                <w:sz w:val="24"/>
              </w:rPr>
              <w:t>8.3.2</w:t>
            </w:r>
            <w:r>
              <w:rPr>
                <w:rFonts w:hint="eastAsia" w:ascii="宋体" w:hAnsi="宋体"/>
                <w:bCs/>
                <w:sz w:val="24"/>
              </w:rPr>
              <w:t xml:space="preserve">  沼气利用应符合下列规定：</w:t>
            </w:r>
          </w:p>
          <w:p>
            <w:pPr>
              <w:autoSpaceDE w:val="0"/>
              <w:autoSpaceDN w:val="0"/>
              <w:adjustRightInd w:val="0"/>
              <w:spacing w:line="360" w:lineRule="auto"/>
              <w:jc w:val="left"/>
              <w:rPr>
                <w:rFonts w:ascii="宋体" w:hAnsi="宋体"/>
                <w:bCs/>
                <w:sz w:val="24"/>
              </w:rPr>
            </w:pPr>
            <w:r>
              <w:rPr>
                <w:rFonts w:hint="eastAsia" w:ascii="宋体" w:hAnsi="宋体"/>
                <w:bCs/>
                <w:sz w:val="24"/>
              </w:rPr>
              <w:t>1  应确保整套系统的气密性；</w:t>
            </w:r>
          </w:p>
          <w:p>
            <w:pPr>
              <w:autoSpaceDE w:val="0"/>
              <w:autoSpaceDN w:val="0"/>
              <w:adjustRightInd w:val="0"/>
              <w:spacing w:line="360" w:lineRule="auto"/>
              <w:jc w:val="left"/>
              <w:rPr>
                <w:rFonts w:ascii="宋体" w:hAnsi="宋体"/>
                <w:bCs/>
                <w:sz w:val="24"/>
              </w:rPr>
            </w:pPr>
            <w:r>
              <w:rPr>
                <w:rFonts w:hint="eastAsia" w:ascii="宋体" w:hAnsi="宋体"/>
                <w:bCs/>
                <w:sz w:val="24"/>
              </w:rPr>
              <w:t>2  应选取沼气专用灶具，</w:t>
            </w:r>
            <w:r>
              <w:rPr>
                <w:rFonts w:ascii="宋体" w:hAnsi="宋体"/>
                <w:bCs/>
                <w:sz w:val="24"/>
              </w:rPr>
              <w:t>沼气灶具及零部件质量应符合国家现行有关</w:t>
            </w:r>
            <w:r>
              <w:rPr>
                <w:rFonts w:hint="eastAsia" w:ascii="宋体" w:hAnsi="宋体"/>
                <w:bCs/>
                <w:sz w:val="24"/>
              </w:rPr>
              <w:t>沼气灶具及零部件</w:t>
            </w:r>
            <w:r>
              <w:rPr>
                <w:rFonts w:ascii="宋体" w:hAnsi="宋体"/>
                <w:bCs/>
                <w:sz w:val="24"/>
              </w:rPr>
              <w:t>标准</w:t>
            </w:r>
            <w:r>
              <w:rPr>
                <w:rFonts w:hint="eastAsia" w:ascii="宋体" w:hAnsi="宋体"/>
                <w:bCs/>
                <w:sz w:val="24"/>
              </w:rPr>
              <w:t>的规定；</w:t>
            </w:r>
          </w:p>
          <w:p>
            <w:pPr>
              <w:autoSpaceDE w:val="0"/>
              <w:autoSpaceDN w:val="0"/>
              <w:adjustRightInd w:val="0"/>
              <w:spacing w:line="360" w:lineRule="auto"/>
              <w:jc w:val="left"/>
              <w:rPr>
                <w:rFonts w:ascii="宋体" w:hAnsi="宋体"/>
                <w:bCs/>
                <w:sz w:val="24"/>
              </w:rPr>
            </w:pPr>
            <w:r>
              <w:rPr>
                <w:rFonts w:hint="eastAsia" w:ascii="宋体" w:hAnsi="宋体"/>
                <w:bCs/>
                <w:sz w:val="24"/>
              </w:rPr>
              <w:t xml:space="preserve">3  </w:t>
            </w:r>
            <w:r>
              <w:rPr>
                <w:rFonts w:ascii="宋体" w:hAnsi="宋体"/>
                <w:bCs/>
                <w:sz w:val="24"/>
              </w:rPr>
              <w:t>沼气管道施工安装、试压、验收应符合</w:t>
            </w:r>
            <w:r>
              <w:rPr>
                <w:rFonts w:hint="eastAsia" w:ascii="宋体" w:hAnsi="宋体"/>
                <w:bCs/>
                <w:sz w:val="24"/>
              </w:rPr>
              <w:t>现行</w:t>
            </w:r>
            <w:r>
              <w:rPr>
                <w:rFonts w:ascii="宋体" w:hAnsi="宋体"/>
                <w:bCs/>
                <w:sz w:val="24"/>
              </w:rPr>
              <w:t>国家标准《农村家用沼气管路施工安装操作规程》GB</w:t>
            </w:r>
            <w:r>
              <w:rPr>
                <w:rFonts w:hint="eastAsia" w:ascii="宋体" w:hAnsi="宋体"/>
                <w:bCs/>
                <w:sz w:val="24"/>
              </w:rPr>
              <w:t xml:space="preserve"> </w:t>
            </w:r>
            <w:r>
              <w:rPr>
                <w:rFonts w:ascii="宋体" w:hAnsi="宋体"/>
                <w:bCs/>
                <w:sz w:val="24"/>
              </w:rPr>
              <w:t>7637的</w:t>
            </w:r>
            <w:r>
              <w:rPr>
                <w:rFonts w:hint="eastAsia" w:ascii="宋体" w:hAnsi="宋体"/>
                <w:bCs/>
                <w:sz w:val="24"/>
              </w:rPr>
              <w:t>有关规定；</w:t>
            </w:r>
          </w:p>
          <w:p>
            <w:pPr>
              <w:autoSpaceDE w:val="0"/>
              <w:autoSpaceDN w:val="0"/>
              <w:adjustRightInd w:val="0"/>
              <w:spacing w:line="360" w:lineRule="auto"/>
              <w:jc w:val="left"/>
              <w:rPr>
                <w:rFonts w:ascii="宋体" w:hAnsi="宋体"/>
                <w:bCs/>
                <w:sz w:val="24"/>
              </w:rPr>
            </w:pPr>
            <w:r>
              <w:rPr>
                <w:rFonts w:hint="eastAsia" w:ascii="宋体" w:hAnsi="宋体"/>
                <w:bCs/>
                <w:sz w:val="24"/>
              </w:rPr>
              <w:t xml:space="preserve">4  </w:t>
            </w:r>
            <w:r>
              <w:rPr>
                <w:rFonts w:ascii="宋体" w:hAnsi="宋体"/>
                <w:bCs/>
                <w:sz w:val="24"/>
              </w:rPr>
              <w:t>沼气管道上的开关阀应选用气密性能可靠、经久耐用，并通过鉴定的合格产品</w:t>
            </w:r>
            <w:r>
              <w:rPr>
                <w:rFonts w:hint="eastAsia" w:ascii="宋体" w:hAnsi="宋体"/>
                <w:bCs/>
                <w:sz w:val="24"/>
              </w:rPr>
              <w:t>，</w:t>
            </w:r>
            <w:r>
              <w:rPr>
                <w:rFonts w:ascii="宋体" w:hAnsi="宋体"/>
                <w:bCs/>
                <w:sz w:val="24"/>
              </w:rPr>
              <w:t>且阀孔孔径不</w:t>
            </w:r>
            <w:r>
              <w:rPr>
                <w:rFonts w:hint="eastAsia" w:ascii="宋体" w:hAnsi="宋体"/>
                <w:bCs/>
                <w:sz w:val="24"/>
              </w:rPr>
              <w:t>应</w:t>
            </w:r>
            <w:r>
              <w:rPr>
                <w:rFonts w:ascii="宋体" w:hAnsi="宋体"/>
                <w:bCs/>
                <w:sz w:val="24"/>
              </w:rPr>
              <w:t>小于5mm</w:t>
            </w:r>
            <w:r>
              <w:rPr>
                <w:rFonts w:hint="eastAsia" w:ascii="宋体" w:hAnsi="宋体"/>
                <w:bCs/>
                <w:sz w:val="24"/>
              </w:rPr>
              <w:t>；</w:t>
            </w:r>
          </w:p>
          <w:p>
            <w:pPr>
              <w:autoSpaceDE w:val="0"/>
              <w:autoSpaceDN w:val="0"/>
              <w:spacing w:line="360" w:lineRule="auto"/>
              <w:jc w:val="left"/>
              <w:rPr>
                <w:rFonts w:ascii="宋体" w:hAnsi="宋体"/>
                <w:bCs/>
                <w:sz w:val="24"/>
              </w:rPr>
            </w:pPr>
            <w:r>
              <w:rPr>
                <w:rFonts w:hint="eastAsia" w:ascii="宋体" w:hAnsi="宋体"/>
                <w:bCs/>
                <w:sz w:val="24"/>
              </w:rPr>
              <w:t>5  户用沼气池应做好寒冷季节池体的保温增温措施，发酵温度不应低于8℃；</w:t>
            </w:r>
          </w:p>
          <w:p>
            <w:pPr>
              <w:autoSpaceDE w:val="0"/>
              <w:autoSpaceDN w:val="0"/>
              <w:spacing w:line="360" w:lineRule="auto"/>
              <w:jc w:val="left"/>
              <w:rPr>
                <w:rFonts w:ascii="宋体" w:hAnsi="宋体"/>
                <w:bCs/>
                <w:sz w:val="24"/>
              </w:rPr>
            </w:pPr>
            <w:r>
              <w:rPr>
                <w:rFonts w:hint="eastAsia" w:ascii="宋体" w:hAnsi="宋体"/>
                <w:bCs/>
                <w:sz w:val="24"/>
              </w:rPr>
              <w:t>6  规模化沼气工程应对沼气池体进行保温，保温厚度应经过技术经济比较分析后确定。沼气池应采取加热方式维持所需池温。</w:t>
            </w:r>
          </w:p>
          <w:p>
            <w:pPr>
              <w:spacing w:line="360" w:lineRule="auto"/>
              <w:rPr>
                <w:rFonts w:ascii="宋体" w:hAnsi="宋体"/>
                <w:sz w:val="24"/>
              </w:rPr>
            </w:pPr>
          </w:p>
        </w:tc>
        <w:tc>
          <w:tcPr>
            <w:tcW w:w="4753" w:type="dxa"/>
          </w:tcPr>
          <w:p>
            <w:pPr>
              <w:autoSpaceDE w:val="0"/>
              <w:autoSpaceDN w:val="0"/>
              <w:spacing w:line="360" w:lineRule="auto"/>
              <w:jc w:val="left"/>
              <w:rPr>
                <w:rFonts w:ascii="宋体" w:hAnsi="宋体"/>
                <w:bCs/>
                <w:sz w:val="24"/>
                <w:bdr w:val="single" w:color="auto" w:sz="4" w:space="0"/>
              </w:rPr>
            </w:pPr>
            <w:r>
              <w:rPr>
                <w:rFonts w:hint="eastAsia" w:ascii="宋体" w:hAnsi="宋体"/>
                <w:b/>
                <w:bCs/>
                <w:sz w:val="24"/>
                <w:bdr w:val="single" w:color="auto" w:sz="4" w:space="0"/>
              </w:rPr>
              <w:t>8.3.2</w:t>
            </w:r>
            <w:r>
              <w:rPr>
                <w:rFonts w:hint="eastAsia" w:ascii="宋体" w:hAnsi="宋体"/>
                <w:bCs/>
                <w:sz w:val="24"/>
                <w:bdr w:val="single" w:color="auto" w:sz="4" w:space="0"/>
              </w:rPr>
              <w:t xml:space="preserve">  沼气利用应符合下列规定：</w:t>
            </w:r>
          </w:p>
          <w:p>
            <w:pPr>
              <w:autoSpaceDE w:val="0"/>
              <w:autoSpaceDN w:val="0"/>
              <w:adjustRightInd w:val="0"/>
              <w:spacing w:line="360" w:lineRule="auto"/>
              <w:jc w:val="left"/>
              <w:rPr>
                <w:rFonts w:ascii="宋体" w:hAnsi="宋体"/>
                <w:bCs/>
                <w:sz w:val="24"/>
                <w:bdr w:val="single" w:color="auto" w:sz="4" w:space="0"/>
              </w:rPr>
            </w:pPr>
            <w:r>
              <w:rPr>
                <w:rFonts w:hint="eastAsia" w:ascii="宋体" w:hAnsi="宋体"/>
                <w:bCs/>
                <w:sz w:val="24"/>
                <w:bdr w:val="single" w:color="auto" w:sz="4" w:space="0"/>
              </w:rPr>
              <w:t>1  应确保整套系统的气密性；</w:t>
            </w:r>
          </w:p>
          <w:p>
            <w:pPr>
              <w:autoSpaceDE w:val="0"/>
              <w:autoSpaceDN w:val="0"/>
              <w:adjustRightInd w:val="0"/>
              <w:spacing w:line="360" w:lineRule="auto"/>
              <w:jc w:val="left"/>
              <w:rPr>
                <w:rFonts w:ascii="宋体" w:hAnsi="宋体"/>
                <w:bCs/>
                <w:sz w:val="24"/>
                <w:bdr w:val="single" w:color="auto" w:sz="4" w:space="0"/>
              </w:rPr>
            </w:pPr>
            <w:r>
              <w:rPr>
                <w:rFonts w:hint="eastAsia" w:ascii="宋体" w:hAnsi="宋体"/>
                <w:bCs/>
                <w:sz w:val="24"/>
                <w:bdr w:val="single" w:color="auto" w:sz="4" w:space="0"/>
              </w:rPr>
              <w:t>2  应选取沼气专用灶具，</w:t>
            </w:r>
            <w:r>
              <w:rPr>
                <w:rFonts w:ascii="宋体" w:hAnsi="宋体"/>
                <w:bCs/>
                <w:sz w:val="24"/>
                <w:bdr w:val="single" w:color="auto" w:sz="4" w:space="0"/>
              </w:rPr>
              <w:t>沼气灶具及零部件质量应符合国家现行有关</w:t>
            </w:r>
            <w:r>
              <w:rPr>
                <w:rFonts w:hint="eastAsia" w:ascii="宋体" w:hAnsi="宋体"/>
                <w:bCs/>
                <w:sz w:val="24"/>
                <w:bdr w:val="single" w:color="auto" w:sz="4" w:space="0"/>
              </w:rPr>
              <w:t>沼气灶具及零部件</w:t>
            </w:r>
            <w:r>
              <w:rPr>
                <w:rFonts w:ascii="宋体" w:hAnsi="宋体"/>
                <w:bCs/>
                <w:sz w:val="24"/>
                <w:bdr w:val="single" w:color="auto" w:sz="4" w:space="0"/>
              </w:rPr>
              <w:t>标准</w:t>
            </w:r>
            <w:r>
              <w:rPr>
                <w:rFonts w:hint="eastAsia" w:ascii="宋体" w:hAnsi="宋体"/>
                <w:bCs/>
                <w:sz w:val="24"/>
                <w:bdr w:val="single" w:color="auto" w:sz="4" w:space="0"/>
              </w:rPr>
              <w:t>的规定；</w:t>
            </w:r>
          </w:p>
          <w:p>
            <w:pPr>
              <w:autoSpaceDE w:val="0"/>
              <w:autoSpaceDN w:val="0"/>
              <w:adjustRightInd w:val="0"/>
              <w:spacing w:line="360" w:lineRule="auto"/>
              <w:jc w:val="left"/>
              <w:rPr>
                <w:rFonts w:ascii="宋体" w:hAnsi="宋体"/>
                <w:bCs/>
                <w:sz w:val="24"/>
                <w:bdr w:val="single" w:color="auto" w:sz="4" w:space="0"/>
              </w:rPr>
            </w:pPr>
            <w:r>
              <w:rPr>
                <w:rFonts w:hint="eastAsia" w:ascii="宋体" w:hAnsi="宋体"/>
                <w:bCs/>
                <w:sz w:val="24"/>
                <w:bdr w:val="single" w:color="auto" w:sz="4" w:space="0"/>
              </w:rPr>
              <w:t xml:space="preserve">3  </w:t>
            </w:r>
            <w:r>
              <w:rPr>
                <w:rFonts w:ascii="宋体" w:hAnsi="宋体"/>
                <w:bCs/>
                <w:sz w:val="24"/>
                <w:bdr w:val="single" w:color="auto" w:sz="4" w:space="0"/>
              </w:rPr>
              <w:t>沼气管道施工安装、试压、验收应符合</w:t>
            </w:r>
            <w:r>
              <w:rPr>
                <w:rFonts w:hint="eastAsia" w:ascii="宋体" w:hAnsi="宋体"/>
                <w:bCs/>
                <w:sz w:val="24"/>
                <w:bdr w:val="single" w:color="auto" w:sz="4" w:space="0"/>
              </w:rPr>
              <w:t>现行</w:t>
            </w:r>
            <w:r>
              <w:rPr>
                <w:rFonts w:ascii="宋体" w:hAnsi="宋体"/>
                <w:bCs/>
                <w:sz w:val="24"/>
                <w:bdr w:val="single" w:color="auto" w:sz="4" w:space="0"/>
              </w:rPr>
              <w:t>国家标准《农村家用沼气管路施工安装操作规程》GB</w:t>
            </w:r>
            <w:r>
              <w:rPr>
                <w:rFonts w:hint="eastAsia" w:ascii="宋体" w:hAnsi="宋体"/>
                <w:bCs/>
                <w:sz w:val="24"/>
                <w:bdr w:val="single" w:color="auto" w:sz="4" w:space="0"/>
              </w:rPr>
              <w:t xml:space="preserve"> </w:t>
            </w:r>
            <w:r>
              <w:rPr>
                <w:rFonts w:ascii="宋体" w:hAnsi="宋体"/>
                <w:bCs/>
                <w:sz w:val="24"/>
                <w:bdr w:val="single" w:color="auto" w:sz="4" w:space="0"/>
              </w:rPr>
              <w:t>7637的</w:t>
            </w:r>
            <w:r>
              <w:rPr>
                <w:rFonts w:hint="eastAsia" w:ascii="宋体" w:hAnsi="宋体"/>
                <w:bCs/>
                <w:sz w:val="24"/>
                <w:bdr w:val="single" w:color="auto" w:sz="4" w:space="0"/>
              </w:rPr>
              <w:t>有关规定；</w:t>
            </w:r>
          </w:p>
          <w:p>
            <w:pPr>
              <w:autoSpaceDE w:val="0"/>
              <w:autoSpaceDN w:val="0"/>
              <w:adjustRightInd w:val="0"/>
              <w:spacing w:line="360" w:lineRule="auto"/>
              <w:jc w:val="left"/>
              <w:rPr>
                <w:rFonts w:ascii="宋体" w:hAnsi="宋体"/>
                <w:bCs/>
                <w:sz w:val="24"/>
                <w:bdr w:val="single" w:color="auto" w:sz="4" w:space="0"/>
              </w:rPr>
            </w:pPr>
            <w:r>
              <w:rPr>
                <w:rFonts w:hint="eastAsia" w:ascii="宋体" w:hAnsi="宋体"/>
                <w:bCs/>
                <w:sz w:val="24"/>
                <w:bdr w:val="single" w:color="auto" w:sz="4" w:space="0"/>
              </w:rPr>
              <w:t xml:space="preserve">4  </w:t>
            </w:r>
            <w:r>
              <w:rPr>
                <w:rFonts w:ascii="宋体" w:hAnsi="宋体"/>
                <w:bCs/>
                <w:sz w:val="24"/>
                <w:bdr w:val="single" w:color="auto" w:sz="4" w:space="0"/>
              </w:rPr>
              <w:t>沼气管道上的开关阀应选用气密性能可靠、经久耐用，并通过鉴定的合格产品</w:t>
            </w:r>
            <w:r>
              <w:rPr>
                <w:rFonts w:hint="eastAsia" w:ascii="宋体" w:hAnsi="宋体"/>
                <w:bCs/>
                <w:sz w:val="24"/>
                <w:bdr w:val="single" w:color="auto" w:sz="4" w:space="0"/>
              </w:rPr>
              <w:t>，</w:t>
            </w:r>
            <w:r>
              <w:rPr>
                <w:rFonts w:ascii="宋体" w:hAnsi="宋体"/>
                <w:bCs/>
                <w:sz w:val="24"/>
                <w:bdr w:val="single" w:color="auto" w:sz="4" w:space="0"/>
              </w:rPr>
              <w:t>且阀孔孔径不</w:t>
            </w:r>
            <w:r>
              <w:rPr>
                <w:rFonts w:hint="eastAsia" w:ascii="宋体" w:hAnsi="宋体"/>
                <w:bCs/>
                <w:sz w:val="24"/>
                <w:bdr w:val="single" w:color="auto" w:sz="4" w:space="0"/>
              </w:rPr>
              <w:t>应</w:t>
            </w:r>
            <w:r>
              <w:rPr>
                <w:rFonts w:ascii="宋体" w:hAnsi="宋体"/>
                <w:bCs/>
                <w:sz w:val="24"/>
                <w:bdr w:val="single" w:color="auto" w:sz="4" w:space="0"/>
              </w:rPr>
              <w:t>小于5mm</w:t>
            </w:r>
            <w:r>
              <w:rPr>
                <w:rFonts w:hint="eastAsia" w:ascii="宋体" w:hAnsi="宋体"/>
                <w:bCs/>
                <w:sz w:val="24"/>
                <w:bdr w:val="single" w:color="auto" w:sz="4" w:space="0"/>
              </w:rPr>
              <w:t>；</w:t>
            </w:r>
          </w:p>
          <w:p>
            <w:pPr>
              <w:autoSpaceDE w:val="0"/>
              <w:autoSpaceDN w:val="0"/>
              <w:spacing w:line="360" w:lineRule="auto"/>
              <w:jc w:val="left"/>
              <w:rPr>
                <w:rFonts w:ascii="宋体" w:hAnsi="宋体"/>
                <w:bCs/>
                <w:sz w:val="24"/>
                <w:bdr w:val="single" w:color="auto" w:sz="4" w:space="0"/>
              </w:rPr>
            </w:pPr>
            <w:r>
              <w:rPr>
                <w:rFonts w:hint="eastAsia" w:ascii="宋体" w:hAnsi="宋体"/>
                <w:bCs/>
                <w:sz w:val="24"/>
                <w:bdr w:val="single" w:color="auto" w:sz="4" w:space="0"/>
              </w:rPr>
              <w:t>5  户用沼气池应做好寒冷季节池体的保温增温措施，发酵温度不应低于8℃；</w:t>
            </w:r>
          </w:p>
          <w:p>
            <w:pPr>
              <w:autoSpaceDE w:val="0"/>
              <w:autoSpaceDN w:val="0"/>
              <w:spacing w:line="360" w:lineRule="auto"/>
              <w:jc w:val="left"/>
              <w:rPr>
                <w:rFonts w:ascii="宋体" w:hAnsi="宋体"/>
                <w:bCs/>
                <w:sz w:val="24"/>
                <w:bdr w:val="single" w:color="auto" w:sz="4" w:space="0"/>
              </w:rPr>
            </w:pPr>
            <w:r>
              <w:rPr>
                <w:rFonts w:hint="eastAsia" w:ascii="宋体" w:hAnsi="宋体"/>
                <w:bCs/>
                <w:sz w:val="24"/>
                <w:bdr w:val="single" w:color="auto" w:sz="4" w:space="0"/>
              </w:rPr>
              <w:t>6  规模化沼气工程应对沼气池体进行保温，保温厚度应经过技术经济比较分析后确定。沼气池应采取加热方式维持所需池温。</w:t>
            </w:r>
          </w:p>
          <w:p>
            <w:pPr>
              <w:spacing w:line="360" w:lineRule="auto"/>
              <w:rPr>
                <w:rFonts w:ascii="宋体" w:hAnsi="宋体"/>
                <w:b/>
                <w:bCs/>
                <w:sz w:val="24"/>
                <w:u w:val="single"/>
                <w:bdr w:val="single" w:color="auto" w:sz="4" w:space="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hint="eastAsia" w:ascii="宋体" w:hAnsi="宋体"/>
                <w:b/>
                <w:bCs/>
                <w:sz w:val="24"/>
              </w:rPr>
            </w:pPr>
            <w:r>
              <w:rPr>
                <w:rFonts w:hint="eastAsia" w:ascii="宋体" w:hAnsi="宋体"/>
                <w:b/>
                <w:bCs/>
                <w:sz w:val="24"/>
              </w:rPr>
              <w:t xml:space="preserve">8.3.3 </w:t>
            </w:r>
            <w:r>
              <w:rPr>
                <w:rFonts w:hint="eastAsia" w:ascii="宋体" w:hAnsi="宋体"/>
                <w:bCs/>
                <w:sz w:val="24"/>
              </w:rPr>
              <w:t xml:space="preserve"> 秸秆气化供气系统应符合现行行业标准《秸秆气化供气系统技术条件及验收规范》NY/T 443及《秸秆气化炉质量评价技术规范》NY/T 1417的有关规定。气化机组的气化效率和能量转换率均应大于70%，灶具热效率应大于55%。</w:t>
            </w:r>
          </w:p>
        </w:tc>
        <w:tc>
          <w:tcPr>
            <w:tcW w:w="4753" w:type="dxa"/>
          </w:tcPr>
          <w:p>
            <w:pPr>
              <w:autoSpaceDE w:val="0"/>
              <w:autoSpaceDN w:val="0"/>
              <w:spacing w:line="360" w:lineRule="auto"/>
              <w:jc w:val="left"/>
              <w:rPr>
                <w:rFonts w:hint="eastAsia" w:ascii="宋体" w:hAnsi="宋体"/>
                <w:b/>
                <w:bCs/>
                <w:sz w:val="24"/>
                <w:bdr w:val="single" w:color="auto" w:sz="4" w:space="0"/>
              </w:rPr>
            </w:pPr>
            <w:r>
              <w:rPr>
                <w:rFonts w:hint="eastAsia" w:ascii="宋体" w:hAnsi="宋体"/>
                <w:b/>
                <w:bCs/>
                <w:sz w:val="24"/>
                <w:bdr w:val="single" w:color="auto" w:sz="4" w:space="0"/>
              </w:rPr>
              <w:t xml:space="preserve">8.3.3 </w:t>
            </w:r>
            <w:r>
              <w:rPr>
                <w:rFonts w:hint="eastAsia" w:ascii="宋体" w:hAnsi="宋体"/>
                <w:bCs/>
                <w:sz w:val="24"/>
                <w:bdr w:val="single" w:color="auto" w:sz="4" w:space="0"/>
              </w:rPr>
              <w:t xml:space="preserve"> 秸秆气化供气系统应符合现行行业标准《秸秆气化供气系统技术条件及验收规范》NY/T 443及《秸秆气化炉质量评价技术规范》NY/T 1417的有关规定。气化机组的气化效率和能量转换率均应大于70%，灶具热效率应大于55%。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sz w:val="24"/>
              </w:rPr>
            </w:pPr>
            <w:r>
              <w:rPr>
                <w:rFonts w:ascii="宋体" w:hAnsi="宋体"/>
                <w:b/>
                <w:bCs/>
                <w:sz w:val="24"/>
              </w:rPr>
              <w:t xml:space="preserve">8.3.4  </w:t>
            </w:r>
            <w:r>
              <w:rPr>
                <w:rFonts w:ascii="宋体" w:hAnsi="宋体"/>
                <w:sz w:val="24"/>
              </w:rPr>
              <w:t>以生物质固体成型燃料方式进行生物质能利用时，应根据燃料规格、燃烧方式及用途等，选用合适的生物质固体成型燃料炉。</w:t>
            </w:r>
          </w:p>
        </w:tc>
        <w:tc>
          <w:tcPr>
            <w:tcW w:w="4753" w:type="dxa"/>
          </w:tcPr>
          <w:p>
            <w:pPr>
              <w:autoSpaceDE w:val="0"/>
              <w:autoSpaceDN w:val="0"/>
              <w:spacing w:line="360" w:lineRule="auto"/>
              <w:jc w:val="left"/>
              <w:rPr>
                <w:rFonts w:ascii="宋体" w:hAnsi="宋体"/>
                <w:sz w:val="24"/>
                <w:u w:val="single"/>
              </w:rPr>
            </w:pPr>
            <w:r>
              <w:rPr>
                <w:rFonts w:hint="eastAsia" w:ascii="宋体" w:hAnsi="宋体"/>
                <w:b/>
                <w:bCs/>
                <w:sz w:val="24"/>
                <w:u w:val="single"/>
                <w:lang w:val="zh-CN"/>
              </w:rPr>
              <w:t>6.2C</w:t>
            </w:r>
            <w:r>
              <w:rPr>
                <w:rFonts w:ascii="宋体" w:hAnsi="宋体"/>
                <w:b/>
                <w:bCs/>
                <w:sz w:val="24"/>
                <w:u w:val="single"/>
              </w:rPr>
              <w:t>.3</w:t>
            </w:r>
            <w:r>
              <w:rPr>
                <w:rFonts w:ascii="宋体" w:hAnsi="宋体"/>
                <w:sz w:val="24"/>
              </w:rPr>
              <w:t>以生物质固体成型燃料方式进行生物质能利用时，应根据燃料规格、燃烧方式及用途等，选用合适的生物质固体成型燃料炉</w:t>
            </w:r>
            <w:r>
              <w:rPr>
                <w:rFonts w:ascii="宋体" w:hAnsi="宋体"/>
                <w:sz w:val="24"/>
                <w:bdr w:val="single" w:color="auto" w:sz="4" w:space="0"/>
              </w:rPr>
              <w:t>。</w:t>
            </w:r>
            <w:r>
              <w:rPr>
                <w:rFonts w:hint="eastAsia" w:ascii="宋体" w:hAnsi="宋体"/>
                <w:sz w:val="24"/>
                <w:u w:val="single"/>
              </w:rPr>
              <w:t>，生物质固体成型燃料炉具应符合以下规定：</w:t>
            </w:r>
          </w:p>
          <w:p>
            <w:pPr>
              <w:spacing w:line="360" w:lineRule="auto"/>
              <w:ind w:firstLine="470" w:firstLineChars="196"/>
              <w:rPr>
                <w:rFonts w:ascii="宋体" w:hAnsi="宋体"/>
                <w:sz w:val="24"/>
                <w:u w:val="single"/>
              </w:rPr>
            </w:pPr>
            <w:r>
              <w:rPr>
                <w:rFonts w:hint="eastAsia" w:ascii="宋体" w:hAnsi="宋体"/>
                <w:sz w:val="24"/>
                <w:u w:val="single"/>
              </w:rPr>
              <w:t>1</w:t>
            </w:r>
            <w:r>
              <w:rPr>
                <w:rFonts w:ascii="宋体" w:hAnsi="宋体"/>
                <w:sz w:val="24"/>
                <w:u w:val="single"/>
              </w:rPr>
              <w:t xml:space="preserve"> </w:t>
            </w:r>
            <w:r>
              <w:rPr>
                <w:rFonts w:hint="eastAsia" w:ascii="宋体" w:hAnsi="宋体"/>
                <w:sz w:val="24"/>
                <w:u w:val="single"/>
              </w:rPr>
              <w:t>宜选用兼顾取暖、炊事和生活热水功能的生物质炉具；</w:t>
            </w:r>
          </w:p>
          <w:p>
            <w:pPr>
              <w:spacing w:line="360" w:lineRule="auto"/>
              <w:ind w:firstLine="470" w:firstLineChars="196"/>
              <w:rPr>
                <w:rFonts w:ascii="宋体" w:hAnsi="宋体"/>
                <w:sz w:val="24"/>
                <w:u w:val="single"/>
              </w:rPr>
            </w:pPr>
            <w:r>
              <w:rPr>
                <w:rFonts w:hint="eastAsia" w:ascii="宋体" w:hAnsi="宋体"/>
                <w:sz w:val="24"/>
                <w:u w:val="single"/>
              </w:rPr>
              <w:t>2</w:t>
            </w:r>
            <w:r>
              <w:rPr>
                <w:rFonts w:ascii="宋体" w:hAnsi="宋体"/>
                <w:sz w:val="24"/>
                <w:u w:val="single"/>
              </w:rPr>
              <w:t xml:space="preserve"> </w:t>
            </w:r>
            <w:r>
              <w:rPr>
                <w:rFonts w:hint="eastAsia" w:ascii="宋体" w:hAnsi="宋体"/>
                <w:sz w:val="24"/>
                <w:u w:val="single"/>
              </w:rPr>
              <w:t>宜选用智能型生物质炉具；</w:t>
            </w:r>
          </w:p>
          <w:p>
            <w:pPr>
              <w:spacing w:line="360" w:lineRule="auto"/>
              <w:ind w:firstLine="470" w:firstLineChars="196"/>
              <w:rPr>
                <w:rFonts w:ascii="宋体" w:hAnsi="宋体"/>
                <w:sz w:val="24"/>
                <w:u w:val="single"/>
              </w:rPr>
            </w:pPr>
            <w:r>
              <w:rPr>
                <w:rFonts w:hint="eastAsia" w:ascii="宋体" w:hAnsi="宋体"/>
                <w:sz w:val="24"/>
                <w:u w:val="single"/>
              </w:rPr>
              <w:t xml:space="preserve">3 炉具功率应按照实际用热需求进行选择；   </w:t>
            </w:r>
          </w:p>
          <w:p>
            <w:pPr>
              <w:spacing w:line="360" w:lineRule="auto"/>
              <w:ind w:firstLine="470" w:firstLineChars="196"/>
              <w:rPr>
                <w:rFonts w:ascii="宋体" w:hAnsi="宋体"/>
                <w:sz w:val="24"/>
                <w:u w:val="single"/>
              </w:rPr>
            </w:pPr>
            <w:r>
              <w:rPr>
                <w:rFonts w:hint="eastAsia" w:ascii="宋体" w:hAnsi="宋体"/>
                <w:sz w:val="24"/>
                <w:u w:val="single"/>
              </w:rPr>
              <w:t>4 炉具额定工况采暖热效率应不小于70%；</w:t>
            </w:r>
          </w:p>
          <w:p>
            <w:pPr>
              <w:spacing w:line="360" w:lineRule="auto"/>
              <w:ind w:firstLine="470" w:firstLineChars="196"/>
              <w:rPr>
                <w:rFonts w:ascii="宋体" w:hAnsi="宋体"/>
                <w:sz w:val="24"/>
                <w:u w:val="single"/>
              </w:rPr>
            </w:pPr>
            <w:r>
              <w:rPr>
                <w:rFonts w:ascii="宋体" w:hAnsi="宋体"/>
                <w:sz w:val="24"/>
                <w:u w:val="single"/>
              </w:rPr>
              <w:t>5</w:t>
            </w:r>
            <w:r>
              <w:rPr>
                <w:rFonts w:hint="eastAsia" w:ascii="宋体" w:hAnsi="宋体"/>
                <w:sz w:val="24"/>
                <w:u w:val="single"/>
              </w:rPr>
              <w:t xml:space="preserve"> 炉具污染物排放值不应低于表8</w:t>
            </w:r>
            <w:r>
              <w:rPr>
                <w:rFonts w:ascii="宋体" w:hAnsi="宋体"/>
                <w:sz w:val="24"/>
                <w:u w:val="single"/>
              </w:rPr>
              <w:t>.3.4</w:t>
            </w:r>
            <w:r>
              <w:rPr>
                <w:rFonts w:hint="eastAsia" w:ascii="宋体" w:hAnsi="宋体"/>
                <w:sz w:val="24"/>
                <w:u w:val="single"/>
              </w:rPr>
              <w:t>的有关规定；</w:t>
            </w:r>
          </w:p>
          <w:p>
            <w:pPr>
              <w:snapToGrid w:val="0"/>
              <w:spacing w:line="360" w:lineRule="auto"/>
              <w:jc w:val="center"/>
              <w:rPr>
                <w:rFonts w:ascii="宋体" w:hAnsi="宋体"/>
                <w:b/>
                <w:bCs/>
                <w:sz w:val="24"/>
              </w:rPr>
            </w:pPr>
            <w:r>
              <w:rPr>
                <w:rFonts w:hint="eastAsia" w:ascii="宋体" w:hAnsi="宋体"/>
                <w:b/>
                <w:bCs/>
                <w:sz w:val="24"/>
              </w:rPr>
              <w:t>表</w:t>
            </w:r>
            <w:r>
              <w:rPr>
                <w:rFonts w:ascii="宋体" w:hAnsi="宋体"/>
                <w:b/>
                <w:bCs/>
                <w:sz w:val="24"/>
              </w:rPr>
              <w:t xml:space="preserve">8.3.4 </w:t>
            </w:r>
            <w:r>
              <w:rPr>
                <w:rFonts w:hint="eastAsia" w:ascii="宋体" w:hAnsi="宋体"/>
                <w:b/>
                <w:bCs/>
                <w:sz w:val="24"/>
              </w:rPr>
              <w:t>大气污染物排放限制</w:t>
            </w:r>
          </w:p>
          <w:tbl>
            <w:tblPr>
              <w:tblStyle w:val="17"/>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0" w:type="dxa"/>
                <w:bottom w:w="0" w:type="dxa"/>
                <w:right w:w="0" w:type="dxa"/>
              </w:tblCellMar>
            </w:tblPr>
            <w:tblGrid>
              <w:gridCol w:w="440"/>
              <w:gridCol w:w="905"/>
              <w:gridCol w:w="850"/>
              <w:gridCol w:w="905"/>
              <w:gridCol w:w="905"/>
              <w:gridCol w:w="149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c>
                <w:tcPr>
                  <w:tcW w:w="440" w:type="dxa"/>
                  <w:tcBorders>
                    <w:top w:val="single" w:color="auto" w:sz="12" w:space="0"/>
                    <w:left w:val="single" w:color="auto" w:sz="12" w:space="0"/>
                    <w:bottom w:val="single" w:color="auto" w:sz="4" w:space="0"/>
                    <w:right w:val="single" w:color="auto" w:sz="4" w:space="0"/>
                  </w:tcBorders>
                  <w:shd w:val="clear" w:color="auto" w:fill="auto"/>
                </w:tcPr>
                <w:p>
                  <w:pPr>
                    <w:snapToGrid w:val="0"/>
                    <w:jc w:val="center"/>
                    <w:rPr>
                      <w:rFonts w:ascii="宋体" w:hAnsi="宋体"/>
                      <w:kern w:val="0"/>
                      <w:szCs w:val="21"/>
                    </w:rPr>
                  </w:pPr>
                  <w:r>
                    <w:rPr>
                      <w:rFonts w:hint="eastAsia" w:ascii="宋体" w:hAnsi="宋体"/>
                      <w:kern w:val="0"/>
                      <w:szCs w:val="21"/>
                    </w:rPr>
                    <w:t>类型</w:t>
                  </w:r>
                </w:p>
              </w:tc>
              <w:tc>
                <w:tcPr>
                  <w:tcW w:w="905"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kern w:val="0"/>
                      <w:szCs w:val="21"/>
                    </w:rPr>
                  </w:pPr>
                  <w:r>
                    <w:rPr>
                      <w:rFonts w:hint="eastAsia" w:ascii="宋体" w:hAnsi="宋体"/>
                      <w:kern w:val="0"/>
                      <w:szCs w:val="21"/>
                    </w:rPr>
                    <w:t>颗粒物</w:t>
                  </w:r>
                </w:p>
                <w:p>
                  <w:pPr>
                    <w:snapToGrid w:val="0"/>
                    <w:jc w:val="center"/>
                    <w:rPr>
                      <w:rFonts w:ascii="宋体" w:hAnsi="宋体"/>
                      <w:kern w:val="0"/>
                      <w:szCs w:val="21"/>
                    </w:rPr>
                  </w:pPr>
                  <w:r>
                    <w:rPr>
                      <w:rFonts w:hint="eastAsia" w:ascii="宋体" w:hAnsi="宋体"/>
                      <w:kern w:val="0"/>
                      <w:szCs w:val="21"/>
                    </w:rPr>
                    <w:t>（mg/m</w:t>
                  </w:r>
                  <w:r>
                    <w:rPr>
                      <w:rFonts w:hint="eastAsia" w:ascii="宋体" w:hAnsi="宋体"/>
                      <w:kern w:val="0"/>
                      <w:szCs w:val="21"/>
                      <w:vertAlign w:val="superscript"/>
                    </w:rPr>
                    <w:t>3</w:t>
                  </w:r>
                  <w:r>
                    <w:rPr>
                      <w:rFonts w:hint="eastAsia" w:ascii="宋体" w:hAnsi="宋体"/>
                      <w:kern w:val="0"/>
                      <w:szCs w:val="21"/>
                    </w:rPr>
                    <w:t>）</w:t>
                  </w:r>
                </w:p>
              </w:tc>
              <w:tc>
                <w:tcPr>
                  <w:tcW w:w="850"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kern w:val="0"/>
                      <w:szCs w:val="21"/>
                    </w:rPr>
                  </w:pPr>
                  <w:r>
                    <w:rPr>
                      <w:rFonts w:hint="eastAsia" w:ascii="宋体" w:hAnsi="宋体"/>
                      <w:kern w:val="0"/>
                      <w:szCs w:val="21"/>
                    </w:rPr>
                    <w:t>一氧化碳</w:t>
                  </w:r>
                </w:p>
                <w:p>
                  <w:pPr>
                    <w:snapToGrid w:val="0"/>
                    <w:jc w:val="center"/>
                    <w:rPr>
                      <w:rFonts w:ascii="宋体" w:hAnsi="宋体"/>
                      <w:kern w:val="0"/>
                      <w:szCs w:val="21"/>
                    </w:rPr>
                  </w:pPr>
                  <w:r>
                    <w:rPr>
                      <w:rFonts w:hint="eastAsia" w:ascii="宋体" w:hAnsi="宋体"/>
                      <w:kern w:val="0"/>
                      <w:szCs w:val="21"/>
                    </w:rPr>
                    <w:t>（%）</w:t>
                  </w:r>
                </w:p>
              </w:tc>
              <w:tc>
                <w:tcPr>
                  <w:tcW w:w="905"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kern w:val="0"/>
                      <w:szCs w:val="21"/>
                    </w:rPr>
                  </w:pPr>
                  <w:r>
                    <w:rPr>
                      <w:rFonts w:hint="eastAsia" w:ascii="宋体" w:hAnsi="宋体"/>
                      <w:kern w:val="0"/>
                      <w:szCs w:val="21"/>
                    </w:rPr>
                    <w:t>二氧化硫</w:t>
                  </w:r>
                </w:p>
                <w:p>
                  <w:pPr>
                    <w:snapToGrid w:val="0"/>
                    <w:jc w:val="center"/>
                    <w:rPr>
                      <w:rFonts w:ascii="宋体" w:hAnsi="宋体"/>
                      <w:kern w:val="0"/>
                      <w:szCs w:val="21"/>
                    </w:rPr>
                  </w:pPr>
                  <w:r>
                    <w:rPr>
                      <w:rFonts w:hint="eastAsia" w:ascii="宋体" w:hAnsi="宋体"/>
                      <w:kern w:val="0"/>
                      <w:szCs w:val="21"/>
                    </w:rPr>
                    <w:t>（mg/m</w:t>
                  </w:r>
                  <w:r>
                    <w:rPr>
                      <w:rFonts w:hint="eastAsia" w:ascii="宋体" w:hAnsi="宋体"/>
                      <w:kern w:val="0"/>
                      <w:szCs w:val="21"/>
                      <w:vertAlign w:val="superscript"/>
                    </w:rPr>
                    <w:t>3</w:t>
                  </w:r>
                  <w:r>
                    <w:rPr>
                      <w:rFonts w:hint="eastAsia" w:ascii="宋体" w:hAnsi="宋体"/>
                      <w:kern w:val="0"/>
                      <w:szCs w:val="21"/>
                    </w:rPr>
                    <w:t>）</w:t>
                  </w:r>
                </w:p>
              </w:tc>
              <w:tc>
                <w:tcPr>
                  <w:tcW w:w="905" w:type="dxa"/>
                  <w:tcBorders>
                    <w:top w:val="single" w:color="auto" w:sz="12"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kern w:val="0"/>
                      <w:szCs w:val="21"/>
                    </w:rPr>
                  </w:pPr>
                  <w:r>
                    <w:rPr>
                      <w:rFonts w:hint="eastAsia" w:ascii="宋体" w:hAnsi="宋体"/>
                      <w:kern w:val="0"/>
                      <w:szCs w:val="21"/>
                    </w:rPr>
                    <w:t>氮氧化物</w:t>
                  </w:r>
                </w:p>
                <w:p>
                  <w:pPr>
                    <w:snapToGrid w:val="0"/>
                    <w:jc w:val="center"/>
                    <w:rPr>
                      <w:rFonts w:ascii="宋体" w:hAnsi="宋体"/>
                      <w:kern w:val="0"/>
                      <w:szCs w:val="21"/>
                    </w:rPr>
                  </w:pPr>
                  <w:r>
                    <w:rPr>
                      <w:rFonts w:hint="eastAsia" w:ascii="宋体" w:hAnsi="宋体"/>
                      <w:kern w:val="0"/>
                      <w:szCs w:val="21"/>
                    </w:rPr>
                    <w:t>（mg/m</w:t>
                  </w:r>
                  <w:r>
                    <w:rPr>
                      <w:rFonts w:hint="eastAsia" w:ascii="宋体" w:hAnsi="宋体"/>
                      <w:kern w:val="0"/>
                      <w:szCs w:val="21"/>
                      <w:vertAlign w:val="superscript"/>
                    </w:rPr>
                    <w:t>3</w:t>
                  </w:r>
                  <w:r>
                    <w:rPr>
                      <w:rFonts w:hint="eastAsia" w:ascii="宋体" w:hAnsi="宋体"/>
                      <w:kern w:val="0"/>
                      <w:szCs w:val="21"/>
                    </w:rPr>
                    <w:t>）</w:t>
                  </w:r>
                </w:p>
              </w:tc>
              <w:tc>
                <w:tcPr>
                  <w:tcW w:w="1490" w:type="dxa"/>
                  <w:tcBorders>
                    <w:top w:val="single" w:color="auto" w:sz="12" w:space="0"/>
                    <w:left w:val="single" w:color="auto" w:sz="4" w:space="0"/>
                    <w:bottom w:val="single" w:color="auto" w:sz="4" w:space="0"/>
                    <w:right w:val="single" w:color="auto" w:sz="12" w:space="0"/>
                  </w:tcBorders>
                  <w:shd w:val="clear" w:color="auto" w:fill="auto"/>
                  <w:vAlign w:val="center"/>
                </w:tcPr>
                <w:p>
                  <w:pPr>
                    <w:snapToGrid w:val="0"/>
                    <w:jc w:val="center"/>
                    <w:rPr>
                      <w:rFonts w:ascii="宋体" w:hAnsi="宋体"/>
                      <w:kern w:val="0"/>
                      <w:szCs w:val="21"/>
                    </w:rPr>
                  </w:pPr>
                  <w:r>
                    <w:rPr>
                      <w:rFonts w:hint="eastAsia" w:ascii="宋体" w:hAnsi="宋体"/>
                      <w:kern w:val="0"/>
                      <w:szCs w:val="21"/>
                    </w:rPr>
                    <w:t>烟气林格曼黑度</w:t>
                  </w:r>
                </w:p>
                <w:p>
                  <w:pPr>
                    <w:snapToGrid w:val="0"/>
                    <w:jc w:val="center"/>
                    <w:rPr>
                      <w:rFonts w:ascii="宋体" w:hAnsi="宋体"/>
                      <w:kern w:val="0"/>
                      <w:szCs w:val="21"/>
                    </w:rPr>
                  </w:pPr>
                  <w:r>
                    <w:rPr>
                      <w:rFonts w:hint="eastAsia" w:ascii="宋体" w:hAnsi="宋体"/>
                      <w:kern w:val="0"/>
                      <w:szCs w:val="21"/>
                    </w:rPr>
                    <w:t>（级）</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0" w:type="dxa"/>
                  <w:bottom w:w="0" w:type="dxa"/>
                  <w:right w:w="0" w:type="dxa"/>
                </w:tblCellMar>
              </w:tblPrEx>
              <w:tc>
                <w:tcPr>
                  <w:tcW w:w="440" w:type="dxa"/>
                  <w:tcBorders>
                    <w:top w:val="single" w:color="auto" w:sz="4" w:space="0"/>
                    <w:left w:val="single" w:color="auto" w:sz="12" w:space="0"/>
                    <w:bottom w:val="single" w:color="auto" w:sz="12" w:space="0"/>
                    <w:right w:val="single" w:color="auto" w:sz="4" w:space="0"/>
                  </w:tcBorders>
                  <w:shd w:val="clear" w:color="auto" w:fill="auto"/>
                </w:tcPr>
                <w:p>
                  <w:pPr>
                    <w:snapToGrid w:val="0"/>
                    <w:spacing w:before="62" w:beforeLines="20" w:after="62" w:afterLines="20"/>
                    <w:jc w:val="center"/>
                    <w:rPr>
                      <w:rFonts w:ascii="宋体" w:hAnsi="宋体"/>
                      <w:kern w:val="0"/>
                      <w:szCs w:val="21"/>
                    </w:rPr>
                  </w:pPr>
                  <w:r>
                    <w:rPr>
                      <w:rFonts w:hint="eastAsia" w:ascii="宋体" w:hAnsi="宋体"/>
                      <w:kern w:val="0"/>
                      <w:szCs w:val="21"/>
                    </w:rPr>
                    <w:t>限值</w:t>
                  </w:r>
                </w:p>
              </w:tc>
              <w:tc>
                <w:tcPr>
                  <w:tcW w:w="905"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spacing w:before="62" w:beforeLines="20" w:after="62" w:afterLines="20"/>
                    <w:jc w:val="center"/>
                    <w:rPr>
                      <w:rFonts w:ascii="宋体" w:hAnsi="宋体"/>
                      <w:kern w:val="0"/>
                      <w:szCs w:val="21"/>
                    </w:rPr>
                  </w:pPr>
                  <w:r>
                    <w:rPr>
                      <w:rFonts w:hint="eastAsia" w:ascii="宋体" w:hAnsi="宋体"/>
                      <w:kern w:val="0"/>
                      <w:szCs w:val="21"/>
                    </w:rPr>
                    <w:t>＜</w:t>
                  </w:r>
                  <w:r>
                    <w:rPr>
                      <w:rFonts w:ascii="宋体" w:hAnsi="宋体"/>
                      <w:kern w:val="0"/>
                      <w:szCs w:val="21"/>
                    </w:rPr>
                    <w:t>5</w:t>
                  </w:r>
                  <w:r>
                    <w:rPr>
                      <w:rFonts w:hint="eastAsia" w:ascii="宋体" w:hAnsi="宋体"/>
                      <w:kern w:val="0"/>
                      <w:szCs w:val="21"/>
                    </w:rPr>
                    <w:t>0</w:t>
                  </w: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spacing w:before="62" w:beforeLines="20" w:after="62" w:afterLines="20"/>
                    <w:jc w:val="center"/>
                    <w:rPr>
                      <w:rFonts w:ascii="宋体" w:hAnsi="宋体"/>
                      <w:kern w:val="0"/>
                      <w:szCs w:val="21"/>
                    </w:rPr>
                  </w:pPr>
                  <w:r>
                    <w:rPr>
                      <w:rFonts w:hint="eastAsia" w:ascii="宋体" w:hAnsi="宋体"/>
                      <w:kern w:val="0"/>
                      <w:szCs w:val="21"/>
                    </w:rPr>
                    <w:t>＜0.1</w:t>
                  </w:r>
                  <w:r>
                    <w:rPr>
                      <w:rFonts w:ascii="宋体" w:hAnsi="宋体"/>
                      <w:kern w:val="0"/>
                      <w:szCs w:val="21"/>
                    </w:rPr>
                    <w:t>5</w:t>
                  </w:r>
                </w:p>
              </w:tc>
              <w:tc>
                <w:tcPr>
                  <w:tcW w:w="905"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spacing w:before="62" w:beforeLines="20" w:after="62" w:afterLines="20"/>
                    <w:jc w:val="center"/>
                    <w:rPr>
                      <w:rFonts w:ascii="宋体" w:hAnsi="宋体"/>
                      <w:kern w:val="0"/>
                      <w:szCs w:val="21"/>
                    </w:rPr>
                  </w:pPr>
                  <w:r>
                    <w:rPr>
                      <w:rFonts w:hint="eastAsia" w:ascii="宋体" w:hAnsi="宋体"/>
                      <w:kern w:val="0"/>
                      <w:szCs w:val="21"/>
                    </w:rPr>
                    <w:t>＜</w:t>
                  </w:r>
                  <w:r>
                    <w:rPr>
                      <w:rFonts w:ascii="宋体" w:hAnsi="宋体"/>
                      <w:kern w:val="0"/>
                      <w:szCs w:val="21"/>
                    </w:rPr>
                    <w:t>3</w:t>
                  </w:r>
                  <w:r>
                    <w:rPr>
                      <w:rFonts w:hint="eastAsia" w:ascii="宋体" w:hAnsi="宋体"/>
                      <w:kern w:val="0"/>
                      <w:szCs w:val="21"/>
                    </w:rPr>
                    <w:t>0</w:t>
                  </w:r>
                </w:p>
              </w:tc>
              <w:tc>
                <w:tcPr>
                  <w:tcW w:w="905" w:type="dxa"/>
                  <w:tcBorders>
                    <w:top w:val="single" w:color="auto" w:sz="4" w:space="0"/>
                    <w:left w:val="single" w:color="auto" w:sz="4" w:space="0"/>
                    <w:bottom w:val="single" w:color="auto" w:sz="12" w:space="0"/>
                    <w:right w:val="single" w:color="auto" w:sz="4" w:space="0"/>
                  </w:tcBorders>
                  <w:shd w:val="clear" w:color="auto" w:fill="auto"/>
                  <w:vAlign w:val="center"/>
                </w:tcPr>
                <w:p>
                  <w:pPr>
                    <w:snapToGrid w:val="0"/>
                    <w:spacing w:before="62" w:beforeLines="20" w:after="62" w:afterLines="20"/>
                    <w:jc w:val="center"/>
                    <w:rPr>
                      <w:rFonts w:ascii="宋体" w:hAnsi="宋体"/>
                      <w:kern w:val="0"/>
                      <w:szCs w:val="21"/>
                    </w:rPr>
                  </w:pPr>
                  <w:r>
                    <w:rPr>
                      <w:rFonts w:hint="eastAsia" w:ascii="宋体" w:hAnsi="宋体"/>
                      <w:kern w:val="0"/>
                      <w:szCs w:val="21"/>
                    </w:rPr>
                    <w:t>＜</w:t>
                  </w:r>
                  <w:r>
                    <w:rPr>
                      <w:rFonts w:ascii="宋体" w:hAnsi="宋体"/>
                      <w:kern w:val="0"/>
                      <w:szCs w:val="21"/>
                    </w:rPr>
                    <w:t>200</w:t>
                  </w:r>
                </w:p>
              </w:tc>
              <w:tc>
                <w:tcPr>
                  <w:tcW w:w="1490" w:type="dxa"/>
                  <w:tcBorders>
                    <w:top w:val="single" w:color="auto" w:sz="4" w:space="0"/>
                    <w:left w:val="single" w:color="auto" w:sz="4" w:space="0"/>
                    <w:bottom w:val="single" w:color="auto" w:sz="12" w:space="0"/>
                    <w:right w:val="single" w:color="auto" w:sz="12" w:space="0"/>
                  </w:tcBorders>
                  <w:shd w:val="clear" w:color="auto" w:fill="auto"/>
                  <w:vAlign w:val="center"/>
                </w:tcPr>
                <w:p>
                  <w:pPr>
                    <w:snapToGrid w:val="0"/>
                    <w:spacing w:before="62" w:beforeLines="20" w:after="62" w:afterLines="20"/>
                    <w:jc w:val="center"/>
                    <w:rPr>
                      <w:rFonts w:ascii="宋体" w:hAnsi="宋体"/>
                      <w:kern w:val="0"/>
                      <w:szCs w:val="21"/>
                    </w:rPr>
                  </w:pPr>
                  <w:r>
                    <w:rPr>
                      <w:rFonts w:ascii="宋体" w:hAnsi="宋体"/>
                      <w:kern w:val="0"/>
                      <w:szCs w:val="21"/>
                    </w:rPr>
                    <w:t>≤1</w:t>
                  </w:r>
                </w:p>
              </w:tc>
            </w:tr>
          </w:tbl>
          <w:p>
            <w:pPr>
              <w:spacing w:line="360" w:lineRule="auto"/>
              <w:ind w:firstLine="470" w:firstLineChars="196"/>
              <w:rPr>
                <w:rFonts w:ascii="宋体" w:hAnsi="宋体"/>
                <w:sz w:val="24"/>
                <w:u w:val="single"/>
              </w:rPr>
            </w:pPr>
            <w:r>
              <w:rPr>
                <w:rFonts w:hint="eastAsia" w:ascii="宋体" w:hAnsi="宋体"/>
                <w:sz w:val="24"/>
                <w:u w:val="single"/>
              </w:rPr>
              <w:t>6</w:t>
            </w:r>
            <w:r>
              <w:rPr>
                <w:rFonts w:ascii="宋体" w:hAnsi="宋体"/>
                <w:sz w:val="24"/>
                <w:u w:val="single"/>
              </w:rPr>
              <w:t xml:space="preserve"> </w:t>
            </w:r>
            <w:r>
              <w:rPr>
                <w:rFonts w:hint="eastAsia" w:ascii="宋体" w:hAnsi="宋体"/>
                <w:sz w:val="24"/>
                <w:u w:val="single"/>
              </w:rPr>
              <w:t>炉具最大输入电功率不应超过用户最大电容量的50%，并应有安全用电防护措施。电源应有空气开关可单独通断，不得直接连线接。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b/>
                <w:bCs/>
                <w:sz w:val="24"/>
              </w:rPr>
            </w:pPr>
          </w:p>
        </w:tc>
        <w:tc>
          <w:tcPr>
            <w:tcW w:w="4753" w:type="dxa"/>
          </w:tcPr>
          <w:p>
            <w:pPr>
              <w:spacing w:line="360" w:lineRule="auto"/>
              <w:rPr>
                <w:rFonts w:ascii="宋体" w:hAnsi="宋体"/>
                <w:sz w:val="24"/>
                <w:u w:val="single"/>
              </w:rPr>
            </w:pPr>
            <w:r>
              <w:rPr>
                <w:rFonts w:hint="eastAsia" w:ascii="宋体" w:hAnsi="宋体"/>
                <w:b/>
                <w:bCs/>
                <w:sz w:val="24"/>
                <w:u w:val="single"/>
                <w:lang w:val="zh-CN"/>
              </w:rPr>
              <w:t>6.2C</w:t>
            </w:r>
            <w:r>
              <w:rPr>
                <w:rFonts w:ascii="宋体" w:hAnsi="宋体"/>
                <w:b/>
                <w:bCs/>
                <w:sz w:val="24"/>
                <w:u w:val="single"/>
              </w:rPr>
              <w:t xml:space="preserve">.4 </w:t>
            </w:r>
            <w:r>
              <w:rPr>
                <w:rFonts w:ascii="宋体" w:hAnsi="宋体"/>
                <w:color w:val="000000"/>
                <w:sz w:val="24"/>
                <w:u w:val="single"/>
              </w:rPr>
              <w:t xml:space="preserve"> </w:t>
            </w:r>
            <w:r>
              <w:rPr>
                <w:rFonts w:hint="eastAsia" w:ascii="宋体" w:hAnsi="宋体"/>
                <w:sz w:val="24"/>
                <w:u w:val="single"/>
              </w:rPr>
              <w:t>果木枝条、玉米芯等块状或者木质余料生物质丰富的条件下，宜选用燃料适配性高的节能型生物质柴灶或炉具。对于有采暖需求的地区，宜搭配采用灶连炕的形式充分利用烟气余热，或采用内置集热器的热水供热功能柴灶炉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u w:val="single"/>
              </w:rPr>
            </w:pPr>
          </w:p>
        </w:tc>
        <w:tc>
          <w:tcPr>
            <w:tcW w:w="4753" w:type="dxa"/>
          </w:tcPr>
          <w:p>
            <w:pPr>
              <w:spacing w:line="360" w:lineRule="auto"/>
              <w:jc w:val="center"/>
              <w:rPr>
                <w:rFonts w:ascii="宋体" w:hAnsi="宋体"/>
                <w:b/>
                <w:bCs/>
                <w:sz w:val="24"/>
                <w:u w:val="single"/>
              </w:rPr>
            </w:pPr>
            <w:r>
              <w:rPr>
                <w:rFonts w:ascii="宋体" w:hAnsi="宋体"/>
                <w:b/>
                <w:bCs/>
                <w:sz w:val="24"/>
                <w:u w:val="single"/>
              </w:rPr>
              <w:t xml:space="preserve">6.2D  </w:t>
            </w:r>
            <w:r>
              <w:rPr>
                <w:rFonts w:hint="eastAsia" w:ascii="宋体" w:hAnsi="宋体"/>
                <w:b/>
                <w:bCs/>
                <w:sz w:val="24"/>
                <w:u w:val="single"/>
              </w:rPr>
              <w:t>电加热供暖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rPr>
                <w:rFonts w:ascii="宋体" w:hAnsi="宋体"/>
                <w:sz w:val="24"/>
                <w:u w:val="single"/>
              </w:rPr>
            </w:pPr>
            <w:r>
              <w:rPr>
                <w:rFonts w:hint="eastAsia" w:ascii="宋体" w:hAnsi="宋体"/>
                <w:b/>
                <w:bCs/>
                <w:sz w:val="24"/>
                <w:u w:val="single"/>
              </w:rPr>
              <w:t>6.</w:t>
            </w:r>
            <w:r>
              <w:rPr>
                <w:rFonts w:ascii="宋体" w:hAnsi="宋体"/>
                <w:b/>
                <w:bCs/>
                <w:sz w:val="24"/>
                <w:u w:val="single"/>
              </w:rPr>
              <w:t>2D.1</w:t>
            </w:r>
            <w:r>
              <w:rPr>
                <w:rFonts w:hint="eastAsia" w:ascii="宋体" w:hAnsi="宋体"/>
                <w:b/>
                <w:sz w:val="24"/>
                <w:u w:val="single"/>
              </w:rPr>
              <w:t xml:space="preserve"> </w:t>
            </w:r>
            <w:r>
              <w:rPr>
                <w:rFonts w:hint="eastAsia" w:ascii="宋体" w:hAnsi="宋体"/>
                <w:sz w:val="24"/>
                <w:u w:val="single"/>
              </w:rPr>
              <w:t>对于严寒和寒冷地区农村居住建筑，只有当符合下列条件之一时，应允许采用电直接加热设备作为供暖热源：</w:t>
            </w:r>
          </w:p>
          <w:p>
            <w:pPr>
              <w:spacing w:line="360" w:lineRule="auto"/>
              <w:ind w:firstLine="484" w:firstLineChars="202"/>
              <w:rPr>
                <w:rFonts w:ascii="宋体" w:hAnsi="宋体"/>
                <w:sz w:val="24"/>
                <w:u w:val="single"/>
              </w:rPr>
            </w:pPr>
            <w:r>
              <w:rPr>
                <w:rFonts w:hint="eastAsia" w:ascii="宋体" w:hAnsi="宋体"/>
                <w:sz w:val="24"/>
                <w:u w:val="single"/>
              </w:rPr>
              <w:t>1采用燃气、煤、油等燃料受到环保或消防限制，且无法利用热泵供暖的建筑；</w:t>
            </w:r>
          </w:p>
          <w:p>
            <w:pPr>
              <w:spacing w:line="360" w:lineRule="auto"/>
              <w:ind w:firstLine="484" w:firstLineChars="202"/>
              <w:rPr>
                <w:rFonts w:ascii="宋体" w:hAnsi="宋体"/>
                <w:sz w:val="24"/>
                <w:u w:val="single"/>
              </w:rPr>
            </w:pPr>
            <w:r>
              <w:rPr>
                <w:rFonts w:hint="eastAsia" w:ascii="宋体" w:hAnsi="宋体"/>
                <w:sz w:val="24"/>
                <w:u w:val="single"/>
              </w:rPr>
              <w:t>2利用可再生能源发电，其发电量能满足自身电加热用电量需求的建筑；</w:t>
            </w:r>
          </w:p>
          <w:p>
            <w:pPr>
              <w:spacing w:line="360" w:lineRule="auto"/>
              <w:ind w:firstLine="484" w:firstLineChars="202"/>
              <w:rPr>
                <w:rFonts w:ascii="宋体" w:hAnsi="宋体"/>
                <w:sz w:val="24"/>
                <w:u w:val="single"/>
              </w:rPr>
            </w:pPr>
            <w:r>
              <w:rPr>
                <w:rFonts w:hint="eastAsia" w:ascii="宋体" w:hAnsi="宋体"/>
                <w:sz w:val="24"/>
                <w:u w:val="single"/>
              </w:rPr>
              <w:t>3利用蓄热式电热设备在夜间低谷电进行供暖或蓄热，且不在用电高峰和平段时间启用的建筑；</w:t>
            </w:r>
          </w:p>
          <w:p>
            <w:pPr>
              <w:spacing w:line="360" w:lineRule="auto"/>
              <w:ind w:firstLine="484" w:firstLineChars="202"/>
              <w:rPr>
                <w:rFonts w:ascii="宋体" w:hAnsi="宋体"/>
                <w:sz w:val="24"/>
                <w:u w:val="single"/>
              </w:rPr>
            </w:pPr>
            <w:r>
              <w:rPr>
                <w:rFonts w:hint="eastAsia" w:ascii="宋体" w:hAnsi="宋体"/>
                <w:sz w:val="24"/>
                <w:u w:val="single"/>
              </w:rPr>
              <w:t>4电力供应充足，且当地电力政策鼓励用电供暖时。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6.2D.2</w:t>
            </w:r>
            <w:r>
              <w:rPr>
                <w:rFonts w:hint="eastAsia" w:ascii="宋体" w:hAnsi="宋体"/>
                <w:bCs/>
                <w:sz w:val="24"/>
                <w:u w:val="single"/>
              </w:rPr>
              <w:t xml:space="preserve"> 电加热供暖系统设置应符合《民用建筑供暖通风与空气调节设计规范》GB 50736的相关要求。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6.2D.3</w:t>
            </w:r>
            <w:r>
              <w:rPr>
                <w:rFonts w:hint="eastAsia" w:ascii="宋体" w:hAnsi="宋体"/>
                <w:bCs/>
                <w:sz w:val="24"/>
                <w:u w:val="single"/>
              </w:rPr>
              <w:t xml:space="preserve">  为电加热供暖提供电力的电源或变电站设计电力容量，应能满足供暖用电负荷需求。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6.2D.4</w:t>
            </w:r>
            <w:r>
              <w:rPr>
                <w:rFonts w:hint="eastAsia" w:ascii="宋体" w:hAnsi="宋体"/>
                <w:bCs/>
                <w:sz w:val="24"/>
                <w:u w:val="single"/>
              </w:rPr>
              <w:t xml:space="preserve">  蓄热式电加热供暖系统的设计，应根据建筑物供暖需求、用热特点和峰谷电时段进行计算，主要包括以下内容：</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1 确定典型日供暖热负荷变化曲线；</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2 选取设备形式、运行模式和控制策略；</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3 确定设备功率与容量；</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4 分析全年运行能耗与经济性。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6.2D.5</w:t>
            </w:r>
            <w:r>
              <w:rPr>
                <w:rFonts w:hint="eastAsia" w:ascii="宋体" w:hAnsi="宋体"/>
                <w:bCs/>
                <w:sz w:val="24"/>
                <w:u w:val="single"/>
              </w:rPr>
              <w:t xml:space="preserve"> 全负荷蓄热式系统的设计还应满足以下要求：</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1 电加热功率在蓄热时段应能保证完成全部蓄热量存储要求基础上，兼顾供热负荷需求；</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2 蓄热设备的热存储量应满足建筑用热量需求，放热功率应满足建筑负荷曲线要求。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6.2D.6</w:t>
            </w:r>
            <w:r>
              <w:rPr>
                <w:rFonts w:hint="eastAsia" w:ascii="宋体" w:hAnsi="宋体"/>
                <w:bCs/>
                <w:sz w:val="24"/>
                <w:u w:val="single"/>
              </w:rPr>
              <w:t xml:space="preserve"> 电热供暖设备应满足下列要求：</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1 蓄热型电加热装置应满足《供冷供热用蓄能设备技术条件》JG/T 299的要求。</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2 电加热锅炉产品性能应符合《电加热锅炉技术条件》JB/T 10393的规定，运行性能应满足《电加热锅炉系统经济运行》GB/T 19065的要求。</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3 电采暖散热器应符合《建筑用电采暖散热器》JG/T 236的规定。</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4 低温辐射电热膜应符合《低温辐射电热膜》JG/T 286的规定，其应用应满足《低温辐射电热膜供暖系统应用技术规程》JGJ 319的要求。</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5 自限温电热片应符合《自限温电热片》GB/T 29470的规定。</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6 加热电缆应符合《额定电压300／500V生活设施加热和防结冰用加热电缆》GB/T 20841的规定。</w:t>
            </w:r>
          </w:p>
          <w:p>
            <w:pPr>
              <w:autoSpaceDE w:val="0"/>
              <w:autoSpaceDN w:val="0"/>
              <w:adjustRightInd w:val="0"/>
              <w:spacing w:line="360" w:lineRule="auto"/>
              <w:ind w:firstLine="484" w:firstLineChars="202"/>
              <w:rPr>
                <w:rFonts w:ascii="宋体" w:hAnsi="宋体"/>
                <w:bCs/>
                <w:sz w:val="24"/>
                <w:u w:val="single"/>
              </w:rPr>
            </w:pPr>
            <w:r>
              <w:rPr>
                <w:rFonts w:hint="eastAsia" w:ascii="宋体" w:hAnsi="宋体"/>
                <w:bCs/>
                <w:sz w:val="24"/>
                <w:u w:val="single"/>
              </w:rPr>
              <w:t>7 电加热型辐射供暖应符合《民用建筑供暖通风与空气调节设计规范》GB 50736和《辐射供暖供冷技术规程》JGJ 142的规定。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6.2D.7</w:t>
            </w:r>
            <w:r>
              <w:rPr>
                <w:rFonts w:ascii="宋体" w:hAnsi="宋体"/>
                <w:bCs/>
                <w:sz w:val="24"/>
                <w:u w:val="single"/>
              </w:rPr>
              <w:t xml:space="preserve"> </w:t>
            </w:r>
            <w:r>
              <w:rPr>
                <w:rFonts w:hint="eastAsia" w:ascii="宋体" w:hAnsi="宋体"/>
                <w:bCs/>
                <w:sz w:val="24"/>
                <w:u w:val="single"/>
              </w:rPr>
              <w:t>电加热锅炉供暖系统效率不应低于90%，当选用相变蓄热设备时，蓄热设备在寿命期内，其效率应无显著降低。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6.2D.8</w:t>
            </w:r>
            <w:r>
              <w:rPr>
                <w:rFonts w:ascii="宋体" w:hAnsi="宋体"/>
                <w:bCs/>
                <w:sz w:val="24"/>
                <w:u w:val="single"/>
              </w:rPr>
              <w:t xml:space="preserve"> </w:t>
            </w:r>
            <w:r>
              <w:rPr>
                <w:rFonts w:hint="eastAsia" w:ascii="宋体" w:hAnsi="宋体"/>
                <w:bCs/>
                <w:sz w:val="24"/>
                <w:u w:val="single"/>
              </w:rPr>
              <w:t>电热供暖的设备及管道保温应良好保温，保温设计应符合《设备及管道保温设计导则》GB/T 8175的规定。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6.2D.9</w:t>
            </w:r>
            <w:r>
              <w:rPr>
                <w:rFonts w:hint="eastAsia" w:ascii="宋体" w:hAnsi="宋体"/>
                <w:bCs/>
                <w:sz w:val="24"/>
                <w:u w:val="single"/>
              </w:rPr>
              <w:t xml:space="preserve"> 电气线路周围应采取不燃隔热材料进行防火隔离等防火保护措施。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6.2D.10</w:t>
            </w:r>
            <w:r>
              <w:rPr>
                <w:rFonts w:ascii="宋体" w:hAnsi="宋体"/>
                <w:bCs/>
                <w:sz w:val="24"/>
                <w:u w:val="single"/>
              </w:rPr>
              <w:t xml:space="preserve"> </w:t>
            </w:r>
            <w:r>
              <w:rPr>
                <w:rFonts w:hint="eastAsia" w:ascii="宋体" w:hAnsi="宋体"/>
                <w:bCs/>
                <w:sz w:val="24"/>
                <w:u w:val="single"/>
              </w:rPr>
              <w:t>电热供暖系统所选用的设备和材料等，应物理化学性能稳定，安全可靠，运行过程中不产生对人体有害的物质。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6.2D.11</w:t>
            </w:r>
            <w:r>
              <w:rPr>
                <w:rFonts w:hint="eastAsia" w:ascii="宋体" w:hAnsi="宋体"/>
                <w:bCs/>
                <w:sz w:val="24"/>
                <w:u w:val="single"/>
              </w:rPr>
              <w:t xml:space="preserve"> 布置在同一热力站的电加热锅炉宜采用同一技术形式、同一储热方式。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6.2D.12</w:t>
            </w:r>
            <w:r>
              <w:rPr>
                <w:rFonts w:hint="eastAsia" w:ascii="宋体" w:hAnsi="宋体"/>
                <w:bCs/>
                <w:sz w:val="24"/>
                <w:u w:val="single"/>
              </w:rPr>
              <w:t xml:space="preserve"> 系统的设计及设备布置应考虑维修和操作方便，设备与建筑物的净距，应能满足操作要求和电热元件更换要求。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6.2D.13</w:t>
            </w:r>
            <w:r>
              <w:rPr>
                <w:rFonts w:hint="eastAsia" w:ascii="宋体" w:hAnsi="宋体"/>
                <w:bCs/>
                <w:sz w:val="24"/>
                <w:u w:val="single"/>
              </w:rPr>
              <w:t xml:space="preserve"> 电热供暖系统应具备温度调节功能，能够分级调温，并具有高温断电保护措施。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6.2D.14</w:t>
            </w:r>
            <w:r>
              <w:rPr>
                <w:rFonts w:hint="eastAsia" w:ascii="宋体" w:hAnsi="宋体"/>
                <w:bCs/>
                <w:sz w:val="24"/>
                <w:u w:val="single"/>
              </w:rPr>
              <w:t xml:space="preserve"> 系统的供配电设计应符合《供配电系统设计规范》GB 50052和《低压配电设计规范》GB 50054的有关规定。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6.2D.15</w:t>
            </w:r>
            <w:r>
              <w:rPr>
                <w:rFonts w:ascii="宋体" w:hAnsi="宋体"/>
                <w:bCs/>
                <w:sz w:val="24"/>
                <w:u w:val="single"/>
              </w:rPr>
              <w:t xml:space="preserve"> </w:t>
            </w:r>
            <w:r>
              <w:rPr>
                <w:rFonts w:hint="eastAsia" w:ascii="宋体" w:hAnsi="宋体"/>
                <w:bCs/>
                <w:sz w:val="24"/>
                <w:u w:val="single"/>
              </w:rPr>
              <w:t>系统的电气设计应符合《民用建筑电气设计规范》JGJ 16和《住宅建筑电气设计规范》JGJ 242的有关规定。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
                <w:bCs/>
                <w:sz w:val="24"/>
                <w:u w:val="single"/>
              </w:rPr>
              <w:t>6.2D.16</w:t>
            </w:r>
            <w:r>
              <w:rPr>
                <w:rFonts w:ascii="宋体" w:hAnsi="宋体"/>
                <w:bCs/>
                <w:sz w:val="24"/>
                <w:u w:val="single"/>
              </w:rPr>
              <w:t xml:space="preserve"> </w:t>
            </w:r>
            <w:r>
              <w:rPr>
                <w:rFonts w:hint="eastAsia" w:ascii="宋体" w:hAnsi="宋体"/>
                <w:bCs/>
                <w:sz w:val="24"/>
                <w:u w:val="single"/>
              </w:rPr>
              <w:t>系统用电设备应采取接地和剩余电流保护措施，接地装置应符合《交流电气装置的接地设计规范》GB/T 50065的有关规定。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pStyle w:val="3"/>
              <w:spacing w:line="360" w:lineRule="auto"/>
              <w:jc w:val="center"/>
              <w:outlineLvl w:val="1"/>
              <w:rPr>
                <w:rFonts w:ascii="宋体" w:hAnsi="宋体" w:eastAsia="宋体"/>
                <w:sz w:val="24"/>
                <w:szCs w:val="24"/>
                <w:u w:val="single"/>
              </w:rPr>
            </w:pPr>
            <w:bookmarkStart w:id="85" w:name="_Toc119425262"/>
            <w:r>
              <w:rPr>
                <w:rFonts w:ascii="宋体" w:hAnsi="宋体" w:eastAsia="宋体"/>
                <w:sz w:val="24"/>
                <w:szCs w:val="24"/>
                <w:u w:val="single"/>
              </w:rPr>
              <w:t xml:space="preserve">6.2E  </w:t>
            </w:r>
            <w:r>
              <w:rPr>
                <w:rFonts w:hint="eastAsia" w:ascii="宋体" w:hAnsi="宋体" w:eastAsia="宋体"/>
                <w:sz w:val="24"/>
                <w:szCs w:val="24"/>
                <w:u w:val="single"/>
              </w:rPr>
              <w:t>户式燃气炉供暖</w:t>
            </w:r>
            <w:bookmarkEnd w:id="8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Cs/>
                <w:sz w:val="24"/>
                <w:u w:val="single"/>
              </w:rPr>
              <w:t>6.</w:t>
            </w:r>
            <w:r>
              <w:rPr>
                <w:rFonts w:ascii="宋体" w:hAnsi="宋体"/>
                <w:sz w:val="24"/>
                <w:u w:val="single"/>
              </w:rPr>
              <w:t>2E</w:t>
            </w:r>
            <w:r>
              <w:rPr>
                <w:rFonts w:ascii="宋体" w:hAnsi="宋体"/>
                <w:bCs/>
                <w:sz w:val="24"/>
                <w:u w:val="single"/>
              </w:rPr>
              <w:t xml:space="preserve">.1 </w:t>
            </w:r>
            <w:r>
              <w:rPr>
                <w:rFonts w:hint="eastAsia" w:ascii="宋体" w:hAnsi="宋体"/>
                <w:bCs/>
                <w:sz w:val="24"/>
                <w:u w:val="single"/>
              </w:rPr>
              <w:t>燃气管网覆盖全面，且燃气供应有保障的乡镇及农村新型社区可采用燃气供暖。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Cs/>
                <w:sz w:val="24"/>
                <w:u w:val="single"/>
              </w:rPr>
              <w:t>6.</w:t>
            </w:r>
            <w:r>
              <w:rPr>
                <w:rFonts w:ascii="宋体" w:hAnsi="宋体"/>
                <w:sz w:val="24"/>
                <w:u w:val="single"/>
              </w:rPr>
              <w:t>2E</w:t>
            </w:r>
            <w:r>
              <w:rPr>
                <w:rFonts w:ascii="宋体" w:hAnsi="宋体"/>
                <w:bCs/>
                <w:sz w:val="24"/>
                <w:u w:val="single"/>
              </w:rPr>
              <w:t>.2</w:t>
            </w:r>
            <w:r>
              <w:rPr>
                <w:rFonts w:hint="eastAsia" w:ascii="宋体" w:hAnsi="宋体"/>
                <w:bCs/>
                <w:sz w:val="24"/>
                <w:u w:val="single"/>
              </w:rPr>
              <w:t xml:space="preserve"> 户式燃气供暖热水炉的</w:t>
            </w:r>
            <w:r>
              <w:rPr>
                <w:rFonts w:ascii="宋体" w:hAnsi="宋体"/>
                <w:sz w:val="24"/>
                <w:u w:val="single"/>
              </w:rPr>
              <w:t>选择与布置应符合下列规定</w:t>
            </w:r>
            <w:r>
              <w:rPr>
                <w:rFonts w:hint="eastAsia" w:ascii="宋体" w:hAnsi="宋体"/>
                <w:bCs/>
                <w:sz w:val="24"/>
                <w:u w:val="single"/>
              </w:rPr>
              <w:t>：</w:t>
            </w:r>
            <w:r>
              <w:rPr>
                <w:rFonts w:ascii="宋体" w:hAnsi="宋体"/>
                <w:bCs/>
                <w:sz w:val="24"/>
                <w:u w:val="single"/>
              </w:rPr>
              <w:t xml:space="preserve"> </w:t>
            </w:r>
          </w:p>
          <w:p>
            <w:pPr>
              <w:autoSpaceDE w:val="0"/>
              <w:autoSpaceDN w:val="0"/>
              <w:adjustRightInd w:val="0"/>
              <w:spacing w:line="360" w:lineRule="auto"/>
              <w:ind w:firstLine="480" w:firstLineChars="200"/>
              <w:rPr>
                <w:rFonts w:ascii="宋体" w:hAnsi="宋体"/>
                <w:bCs/>
                <w:sz w:val="24"/>
                <w:u w:val="single"/>
                <w:lang w:val="zh-CN"/>
              </w:rPr>
            </w:pPr>
            <w:r>
              <w:rPr>
                <w:rFonts w:ascii="宋体" w:hAnsi="宋体"/>
                <w:bCs/>
                <w:sz w:val="24"/>
                <w:u w:val="single"/>
                <w:lang w:val="zh-CN"/>
              </w:rPr>
              <w:t xml:space="preserve">1  </w:t>
            </w:r>
            <w:r>
              <w:rPr>
                <w:rFonts w:hint="eastAsia" w:ascii="宋体" w:hAnsi="宋体"/>
                <w:bCs/>
                <w:sz w:val="24"/>
                <w:u w:val="single"/>
                <w:lang w:val="zh-CN"/>
              </w:rPr>
              <w:t>户式燃气供暖热水炉应符合国家现行标准《燃气采暖热水炉》GB 25034、《燃气取暖器》CJ/T 113、《冷凝式燃气暖浴两用炉》CJ/T 395及《家用燃气快速热水器和燃气采暖热水炉能效限定值及能效等级》GB 20665的规定；</w:t>
            </w:r>
          </w:p>
          <w:p>
            <w:pPr>
              <w:autoSpaceDE w:val="0"/>
              <w:autoSpaceDN w:val="0"/>
              <w:adjustRightInd w:val="0"/>
              <w:spacing w:line="360" w:lineRule="auto"/>
              <w:ind w:firstLine="480" w:firstLineChars="200"/>
              <w:rPr>
                <w:rFonts w:ascii="宋体" w:hAnsi="宋体"/>
                <w:bCs/>
                <w:sz w:val="24"/>
                <w:u w:val="single"/>
                <w:lang w:val="zh-CN"/>
              </w:rPr>
            </w:pPr>
            <w:r>
              <w:rPr>
                <w:rFonts w:hint="eastAsia" w:ascii="宋体" w:hAnsi="宋体"/>
                <w:bCs/>
                <w:sz w:val="24"/>
                <w:u w:val="single"/>
                <w:lang w:val="zh-CN"/>
              </w:rPr>
              <w:t>2</w:t>
            </w:r>
            <w:r>
              <w:rPr>
                <w:rFonts w:ascii="宋体" w:hAnsi="宋体"/>
                <w:bCs/>
                <w:sz w:val="24"/>
                <w:u w:val="single"/>
                <w:lang w:val="zh-CN"/>
              </w:rPr>
              <w:t xml:space="preserve">  </w:t>
            </w:r>
            <w:r>
              <w:rPr>
                <w:rFonts w:hint="eastAsia" w:ascii="宋体" w:hAnsi="宋体"/>
                <w:bCs/>
                <w:sz w:val="24"/>
                <w:u w:val="single"/>
                <w:lang w:val="zh-CN"/>
              </w:rPr>
              <w:t>户式燃气供暖热水炉应选用强制给排气式，并应设置在通风良好的厨房或非居住房间内，房间应直接与室外相通，严禁设置在卧室、起居室和浴室等生活房间；</w:t>
            </w:r>
            <w:r>
              <w:rPr>
                <w:rFonts w:ascii="宋体" w:hAnsi="宋体"/>
                <w:bCs/>
                <w:sz w:val="24"/>
                <w:u w:val="single"/>
                <w:lang w:val="zh-CN"/>
              </w:rPr>
              <w:t xml:space="preserve"> </w:t>
            </w:r>
          </w:p>
          <w:p>
            <w:pPr>
              <w:autoSpaceDE w:val="0"/>
              <w:autoSpaceDN w:val="0"/>
              <w:adjustRightInd w:val="0"/>
              <w:spacing w:line="360" w:lineRule="auto"/>
              <w:ind w:firstLine="480" w:firstLineChars="200"/>
              <w:rPr>
                <w:rFonts w:ascii="宋体" w:hAnsi="宋体"/>
                <w:bCs/>
                <w:sz w:val="24"/>
                <w:u w:val="single"/>
                <w:lang w:val="zh-CN"/>
              </w:rPr>
            </w:pPr>
            <w:r>
              <w:rPr>
                <w:rFonts w:ascii="宋体" w:hAnsi="宋体"/>
                <w:bCs/>
                <w:sz w:val="24"/>
                <w:u w:val="single"/>
                <w:lang w:val="zh-CN"/>
              </w:rPr>
              <w:t xml:space="preserve">3  </w:t>
            </w:r>
            <w:r>
              <w:rPr>
                <w:rFonts w:hint="eastAsia" w:ascii="宋体" w:hAnsi="宋体"/>
                <w:bCs/>
                <w:sz w:val="24"/>
                <w:u w:val="single"/>
                <w:lang w:val="zh-CN"/>
              </w:rPr>
              <w:t>安装户式燃气供暖热水炉的房间净高宜不小于</w:t>
            </w:r>
            <w:r>
              <w:rPr>
                <w:rFonts w:ascii="宋体" w:hAnsi="宋体"/>
                <w:bCs/>
                <w:sz w:val="24"/>
                <w:u w:val="single"/>
                <w:lang w:val="zh-CN"/>
              </w:rPr>
              <w:t>2.2m</w:t>
            </w:r>
            <w:r>
              <w:rPr>
                <w:rFonts w:hint="eastAsia" w:ascii="宋体" w:hAnsi="宋体"/>
                <w:bCs/>
                <w:sz w:val="24"/>
                <w:u w:val="single"/>
                <w:lang w:val="zh-CN"/>
              </w:rPr>
              <w:t>；</w:t>
            </w:r>
          </w:p>
          <w:p>
            <w:pPr>
              <w:autoSpaceDE w:val="0"/>
              <w:autoSpaceDN w:val="0"/>
              <w:adjustRightInd w:val="0"/>
              <w:spacing w:line="360" w:lineRule="auto"/>
              <w:ind w:firstLine="480" w:firstLineChars="200"/>
              <w:rPr>
                <w:rFonts w:ascii="宋体" w:hAnsi="宋体"/>
                <w:bCs/>
                <w:sz w:val="24"/>
                <w:u w:val="single"/>
                <w:lang w:val="zh-CN"/>
              </w:rPr>
            </w:pPr>
            <w:r>
              <w:rPr>
                <w:rFonts w:hint="eastAsia" w:ascii="宋体" w:hAnsi="宋体"/>
                <w:bCs/>
                <w:sz w:val="24"/>
                <w:u w:val="single"/>
                <w:lang w:val="zh-CN"/>
              </w:rPr>
              <w:t>4</w:t>
            </w:r>
            <w:r>
              <w:rPr>
                <w:rFonts w:ascii="宋体" w:hAnsi="宋体"/>
                <w:bCs/>
                <w:sz w:val="24"/>
                <w:u w:val="single"/>
                <w:lang w:val="zh-CN"/>
              </w:rPr>
              <w:t xml:space="preserve">  </w:t>
            </w:r>
            <w:r>
              <w:rPr>
                <w:rFonts w:hint="eastAsia" w:ascii="宋体" w:hAnsi="宋体"/>
                <w:bCs/>
                <w:sz w:val="24"/>
                <w:u w:val="single"/>
                <w:lang w:val="zh-CN"/>
              </w:rPr>
              <w:t>户式燃气供暖热水炉与相邻灶具的水平净距应不小于</w:t>
            </w:r>
            <w:r>
              <w:rPr>
                <w:rFonts w:ascii="宋体" w:hAnsi="宋体"/>
                <w:bCs/>
                <w:sz w:val="24"/>
                <w:u w:val="single"/>
                <w:lang w:val="zh-CN"/>
              </w:rPr>
              <w:t>0.3m</w:t>
            </w:r>
            <w:r>
              <w:rPr>
                <w:rFonts w:hint="eastAsia" w:ascii="宋体" w:hAnsi="宋体"/>
                <w:bCs/>
                <w:sz w:val="24"/>
                <w:u w:val="single"/>
                <w:lang w:val="zh-CN"/>
              </w:rPr>
              <w:t>；</w:t>
            </w:r>
          </w:p>
          <w:p>
            <w:pPr>
              <w:autoSpaceDE w:val="0"/>
              <w:autoSpaceDN w:val="0"/>
              <w:adjustRightInd w:val="0"/>
              <w:spacing w:line="360" w:lineRule="auto"/>
              <w:ind w:firstLine="480" w:firstLineChars="200"/>
              <w:rPr>
                <w:rFonts w:ascii="宋体" w:hAnsi="宋体"/>
                <w:bCs/>
                <w:sz w:val="24"/>
                <w:u w:val="single"/>
                <w:lang w:val="zh-CN"/>
              </w:rPr>
            </w:pPr>
            <w:r>
              <w:rPr>
                <w:rFonts w:hint="eastAsia" w:ascii="宋体" w:hAnsi="宋体"/>
                <w:bCs/>
                <w:sz w:val="24"/>
                <w:u w:val="single"/>
                <w:lang w:val="zh-CN"/>
              </w:rPr>
              <w:t>5</w:t>
            </w:r>
            <w:r>
              <w:rPr>
                <w:rFonts w:ascii="宋体" w:hAnsi="宋体"/>
                <w:bCs/>
                <w:sz w:val="24"/>
                <w:u w:val="single"/>
                <w:lang w:val="zh-CN"/>
              </w:rPr>
              <w:t xml:space="preserve">  </w:t>
            </w:r>
            <w:r>
              <w:rPr>
                <w:rFonts w:hint="eastAsia" w:ascii="宋体" w:hAnsi="宋体"/>
                <w:bCs/>
                <w:sz w:val="24"/>
                <w:u w:val="single"/>
                <w:lang w:val="zh-CN"/>
              </w:rPr>
              <w:t>户式燃气供暖热水炉布置应留有必要的操作和维修空间，左右两侧应留出不小于50mm的空间，下方应留出不少于200mm空间；</w:t>
            </w:r>
            <w:r>
              <w:rPr>
                <w:rFonts w:ascii="宋体" w:hAnsi="宋体"/>
                <w:bCs/>
                <w:sz w:val="24"/>
                <w:u w:val="single"/>
                <w:lang w:val="zh-CN"/>
              </w:rPr>
              <w:t xml:space="preserve"> </w:t>
            </w:r>
          </w:p>
          <w:p>
            <w:pPr>
              <w:autoSpaceDE w:val="0"/>
              <w:autoSpaceDN w:val="0"/>
              <w:adjustRightInd w:val="0"/>
              <w:spacing w:line="360" w:lineRule="auto"/>
              <w:ind w:firstLine="480" w:firstLineChars="200"/>
              <w:rPr>
                <w:rFonts w:ascii="宋体" w:hAnsi="宋体"/>
                <w:bCs/>
                <w:sz w:val="24"/>
                <w:u w:val="single"/>
              </w:rPr>
            </w:pPr>
            <w:r>
              <w:rPr>
                <w:rFonts w:ascii="宋体" w:hAnsi="宋体"/>
                <w:bCs/>
                <w:sz w:val="24"/>
                <w:u w:val="single"/>
              </w:rPr>
              <w:t xml:space="preserve">6  </w:t>
            </w:r>
            <w:r>
              <w:rPr>
                <w:rFonts w:hint="eastAsia" w:ascii="宋体" w:hAnsi="宋体"/>
                <w:bCs/>
                <w:sz w:val="24"/>
                <w:u w:val="single"/>
                <w:lang w:val="zh-CN"/>
              </w:rPr>
              <w:t>户式燃气供暖热水炉</w:t>
            </w:r>
            <w:r>
              <w:rPr>
                <w:rFonts w:hint="eastAsia" w:ascii="宋体" w:hAnsi="宋体"/>
                <w:bCs/>
                <w:sz w:val="24"/>
                <w:u w:val="single"/>
              </w:rPr>
              <w:t>上部不应有明敷的电线和电器设备。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Cs/>
                <w:sz w:val="24"/>
                <w:u w:val="single"/>
              </w:rPr>
              <w:t>6.</w:t>
            </w:r>
            <w:r>
              <w:rPr>
                <w:rFonts w:ascii="宋体" w:hAnsi="宋体"/>
                <w:sz w:val="24"/>
                <w:u w:val="single"/>
              </w:rPr>
              <w:t>2E</w:t>
            </w:r>
            <w:r>
              <w:rPr>
                <w:rFonts w:ascii="宋体" w:hAnsi="宋体"/>
                <w:bCs/>
                <w:sz w:val="24"/>
                <w:u w:val="single"/>
              </w:rPr>
              <w:t>.3</w:t>
            </w:r>
            <w:r>
              <w:rPr>
                <w:rFonts w:hint="eastAsia" w:ascii="宋体" w:hAnsi="宋体"/>
                <w:bCs/>
                <w:sz w:val="24"/>
                <w:u w:val="single"/>
              </w:rPr>
              <w:t xml:space="preserve"> 户式燃气供暖热水炉的附件设置</w:t>
            </w:r>
            <w:r>
              <w:rPr>
                <w:rFonts w:ascii="宋体" w:hAnsi="宋体"/>
                <w:sz w:val="24"/>
                <w:u w:val="single"/>
              </w:rPr>
              <w:t>应符合下列规定</w:t>
            </w:r>
            <w:r>
              <w:rPr>
                <w:rFonts w:hint="eastAsia" w:ascii="宋体" w:hAnsi="宋体"/>
                <w:bCs/>
                <w:sz w:val="24"/>
                <w:u w:val="single"/>
              </w:rPr>
              <w:t>：</w:t>
            </w:r>
          </w:p>
          <w:p>
            <w:pPr>
              <w:spacing w:line="360" w:lineRule="auto"/>
              <w:ind w:firstLine="480"/>
              <w:rPr>
                <w:rFonts w:ascii="宋体" w:hAnsi="宋体"/>
                <w:sz w:val="24"/>
                <w:u w:val="single"/>
              </w:rPr>
            </w:pPr>
            <w:r>
              <w:rPr>
                <w:rFonts w:ascii="宋体" w:hAnsi="宋体"/>
                <w:bCs/>
                <w:sz w:val="24"/>
                <w:u w:val="single"/>
              </w:rPr>
              <w:t>1</w:t>
            </w:r>
            <w:r>
              <w:rPr>
                <w:rFonts w:ascii="宋体" w:hAnsi="宋体"/>
                <w:b/>
                <w:sz w:val="24"/>
                <w:u w:val="single"/>
              </w:rPr>
              <w:t xml:space="preserve">  </w:t>
            </w:r>
            <w:r>
              <w:rPr>
                <w:rFonts w:hint="eastAsia" w:ascii="宋体" w:hAnsi="宋体"/>
                <w:sz w:val="24"/>
                <w:u w:val="single"/>
              </w:rPr>
              <w:t>设置</w:t>
            </w:r>
            <w:r>
              <w:rPr>
                <w:rFonts w:hint="eastAsia" w:ascii="宋体" w:hAnsi="宋体"/>
                <w:bCs/>
                <w:sz w:val="24"/>
                <w:u w:val="single"/>
              </w:rPr>
              <w:t>户式</w:t>
            </w:r>
            <w:r>
              <w:rPr>
                <w:rFonts w:hint="eastAsia" w:ascii="宋体" w:hAnsi="宋体"/>
                <w:sz w:val="24"/>
                <w:u w:val="single"/>
              </w:rPr>
              <w:t>燃气供暖热水炉的房间应设燃气泄漏报警装置和紧急自动切断阀；</w:t>
            </w:r>
          </w:p>
          <w:p>
            <w:pPr>
              <w:spacing w:line="360" w:lineRule="auto"/>
              <w:ind w:firstLine="480"/>
              <w:rPr>
                <w:rFonts w:ascii="宋体" w:hAnsi="宋体"/>
                <w:sz w:val="24"/>
                <w:u w:val="single"/>
              </w:rPr>
            </w:pPr>
            <w:r>
              <w:rPr>
                <w:rFonts w:hint="eastAsia" w:ascii="宋体" w:hAnsi="宋体"/>
                <w:sz w:val="24"/>
                <w:u w:val="single"/>
              </w:rPr>
              <w:t>2</w:t>
            </w:r>
            <w:r>
              <w:rPr>
                <w:rFonts w:ascii="宋体" w:hAnsi="宋体"/>
                <w:sz w:val="24"/>
                <w:u w:val="single"/>
              </w:rPr>
              <w:t xml:space="preserve">  </w:t>
            </w:r>
            <w:r>
              <w:rPr>
                <w:rFonts w:hint="eastAsia" w:ascii="宋体" w:hAnsi="宋体"/>
                <w:sz w:val="24"/>
                <w:u w:val="single"/>
              </w:rPr>
              <w:t>应具有熄火保护装置和风压即时监测装置，宜配置点火程序控制装置；</w:t>
            </w:r>
          </w:p>
          <w:p>
            <w:pPr>
              <w:spacing w:line="360" w:lineRule="auto"/>
              <w:ind w:firstLine="480"/>
              <w:rPr>
                <w:rFonts w:ascii="宋体" w:hAnsi="宋体"/>
                <w:sz w:val="24"/>
                <w:u w:val="single"/>
              </w:rPr>
            </w:pPr>
            <w:r>
              <w:rPr>
                <w:rFonts w:ascii="宋体" w:hAnsi="宋体"/>
                <w:sz w:val="24"/>
                <w:u w:val="single"/>
              </w:rPr>
              <w:t xml:space="preserve">3  </w:t>
            </w:r>
            <w:r>
              <w:rPr>
                <w:rFonts w:hint="eastAsia" w:ascii="宋体" w:hAnsi="宋体"/>
                <w:sz w:val="24"/>
                <w:u w:val="single"/>
              </w:rPr>
              <w:t>应设置水压保护装置，应配置安全阀、内置闭式膨胀水箱和水压表；</w:t>
            </w:r>
          </w:p>
          <w:p>
            <w:pPr>
              <w:spacing w:line="360" w:lineRule="auto"/>
              <w:ind w:firstLine="480"/>
              <w:rPr>
                <w:rFonts w:ascii="宋体" w:hAnsi="宋体"/>
                <w:sz w:val="24"/>
                <w:u w:val="single"/>
              </w:rPr>
            </w:pPr>
            <w:r>
              <w:rPr>
                <w:rFonts w:ascii="宋体" w:hAnsi="宋体"/>
                <w:sz w:val="24"/>
                <w:u w:val="single"/>
              </w:rPr>
              <w:t xml:space="preserve">4  </w:t>
            </w:r>
            <w:r>
              <w:rPr>
                <w:rFonts w:hint="eastAsia" w:ascii="宋体" w:hAnsi="宋体"/>
                <w:sz w:val="24"/>
                <w:u w:val="single"/>
              </w:rPr>
              <w:t>在自来水入口和供暖回水口处必须设置过滤装置。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bCs/>
                <w:sz w:val="24"/>
                <w:u w:val="single"/>
              </w:rPr>
            </w:pPr>
            <w:r>
              <w:rPr>
                <w:rFonts w:ascii="宋体" w:hAnsi="宋体"/>
                <w:bCs/>
                <w:sz w:val="24"/>
                <w:u w:val="single"/>
              </w:rPr>
              <w:t>6.</w:t>
            </w:r>
            <w:r>
              <w:rPr>
                <w:rFonts w:ascii="宋体" w:hAnsi="宋体"/>
                <w:sz w:val="24"/>
                <w:u w:val="single"/>
              </w:rPr>
              <w:t>2E</w:t>
            </w:r>
            <w:r>
              <w:rPr>
                <w:rFonts w:ascii="宋体" w:hAnsi="宋体"/>
                <w:bCs/>
                <w:sz w:val="24"/>
                <w:u w:val="single"/>
              </w:rPr>
              <w:t>.4</w:t>
            </w:r>
            <w:r>
              <w:rPr>
                <w:rFonts w:hint="eastAsia" w:ascii="宋体" w:hAnsi="宋体"/>
                <w:bCs/>
                <w:sz w:val="24"/>
                <w:u w:val="single"/>
              </w:rPr>
              <w:t xml:space="preserve"> 户式燃气供暖热水炉排烟管道布置应符合以下规定：</w:t>
            </w:r>
          </w:p>
          <w:p>
            <w:pPr>
              <w:spacing w:line="360" w:lineRule="auto"/>
              <w:ind w:firstLine="480"/>
              <w:rPr>
                <w:rFonts w:ascii="宋体" w:hAnsi="宋体"/>
                <w:sz w:val="24"/>
                <w:u w:val="single"/>
              </w:rPr>
            </w:pPr>
            <w:r>
              <w:rPr>
                <w:rFonts w:hint="eastAsia" w:ascii="宋体" w:hAnsi="宋体"/>
                <w:sz w:val="24"/>
                <w:u w:val="single"/>
              </w:rPr>
              <w:t>1</w:t>
            </w:r>
            <w:r>
              <w:rPr>
                <w:rFonts w:ascii="宋体" w:hAnsi="宋体"/>
                <w:sz w:val="24"/>
                <w:u w:val="single"/>
              </w:rPr>
              <w:t xml:space="preserve"> </w:t>
            </w:r>
            <w:r>
              <w:rPr>
                <w:rFonts w:hint="eastAsia" w:ascii="宋体" w:hAnsi="宋体"/>
                <w:sz w:val="24"/>
                <w:u w:val="single"/>
              </w:rPr>
              <w:t xml:space="preserve"> 排烟管长度应满足安装要求，伸出有效长度不小于100mm；</w:t>
            </w:r>
          </w:p>
          <w:p>
            <w:pPr>
              <w:spacing w:line="360" w:lineRule="auto"/>
              <w:ind w:firstLine="480"/>
              <w:rPr>
                <w:rFonts w:ascii="宋体" w:hAnsi="宋体"/>
                <w:sz w:val="24"/>
                <w:u w:val="single"/>
              </w:rPr>
            </w:pPr>
            <w:r>
              <w:rPr>
                <w:rFonts w:hint="eastAsia" w:ascii="宋体" w:hAnsi="宋体"/>
                <w:sz w:val="24"/>
                <w:u w:val="single"/>
              </w:rPr>
              <w:t>2</w:t>
            </w:r>
            <w:r>
              <w:rPr>
                <w:rFonts w:ascii="宋体" w:hAnsi="宋体"/>
                <w:sz w:val="24"/>
                <w:u w:val="single"/>
              </w:rPr>
              <w:t xml:space="preserve"> </w:t>
            </w:r>
            <w:r>
              <w:rPr>
                <w:rFonts w:hint="eastAsia" w:ascii="宋体" w:hAnsi="宋体"/>
                <w:sz w:val="24"/>
                <w:u w:val="single"/>
              </w:rPr>
              <w:t xml:space="preserve"> </w:t>
            </w:r>
            <w:r>
              <w:rPr>
                <w:rFonts w:hint="eastAsia" w:ascii="宋体" w:hAnsi="宋体"/>
                <w:bCs/>
                <w:sz w:val="24"/>
                <w:u w:val="single"/>
              </w:rPr>
              <w:t>户式燃气供暖热水炉</w:t>
            </w:r>
            <w:r>
              <w:rPr>
                <w:rFonts w:hint="eastAsia" w:ascii="宋体" w:hAnsi="宋体"/>
                <w:sz w:val="24"/>
                <w:u w:val="single"/>
              </w:rPr>
              <w:t>与排烟管连接时，搭接长度应不小于30mm，并应用耐热铝箔胶带密封；</w:t>
            </w:r>
          </w:p>
          <w:p>
            <w:pPr>
              <w:spacing w:line="360" w:lineRule="auto"/>
              <w:ind w:firstLine="480"/>
              <w:rPr>
                <w:rFonts w:ascii="宋体" w:hAnsi="宋体"/>
                <w:sz w:val="24"/>
                <w:u w:val="single"/>
              </w:rPr>
            </w:pPr>
            <w:r>
              <w:rPr>
                <w:rFonts w:hint="eastAsia" w:ascii="宋体" w:hAnsi="宋体"/>
                <w:sz w:val="24"/>
                <w:u w:val="single"/>
              </w:rPr>
              <w:t>3</w:t>
            </w:r>
            <w:r>
              <w:rPr>
                <w:rFonts w:ascii="宋体" w:hAnsi="宋体"/>
                <w:sz w:val="24"/>
                <w:u w:val="single"/>
              </w:rPr>
              <w:t xml:space="preserve"> </w:t>
            </w:r>
            <w:r>
              <w:rPr>
                <w:rFonts w:hint="eastAsia" w:ascii="宋体" w:hAnsi="宋体"/>
                <w:sz w:val="24"/>
                <w:u w:val="single"/>
              </w:rPr>
              <w:t xml:space="preserve"> 排烟管道坡向与应符合产品说明书规定，烟道穿墙孔应密封。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rPr>
                <w:rFonts w:ascii="宋体" w:hAnsi="宋体"/>
                <w:sz w:val="24"/>
                <w:u w:val="single"/>
              </w:rPr>
            </w:pPr>
            <w:r>
              <w:rPr>
                <w:rFonts w:ascii="宋体" w:hAnsi="宋体"/>
                <w:bCs/>
                <w:sz w:val="24"/>
                <w:u w:val="single"/>
              </w:rPr>
              <w:t>6.</w:t>
            </w:r>
            <w:r>
              <w:rPr>
                <w:rFonts w:ascii="宋体" w:hAnsi="宋体"/>
                <w:sz w:val="24"/>
                <w:u w:val="single"/>
              </w:rPr>
              <w:t>2E</w:t>
            </w:r>
            <w:r>
              <w:rPr>
                <w:rFonts w:ascii="宋体" w:hAnsi="宋体"/>
                <w:bCs/>
                <w:sz w:val="24"/>
                <w:u w:val="single"/>
              </w:rPr>
              <w:t>.</w:t>
            </w:r>
            <w:r>
              <w:rPr>
                <w:rFonts w:hint="eastAsia" w:ascii="宋体" w:hAnsi="宋体"/>
                <w:sz w:val="24"/>
                <w:u w:val="single"/>
              </w:rPr>
              <w:t xml:space="preserve">5 </w:t>
            </w:r>
            <w:r>
              <w:rPr>
                <w:rFonts w:hint="eastAsia" w:ascii="宋体" w:hAnsi="宋体"/>
                <w:bCs/>
                <w:sz w:val="24"/>
                <w:u w:val="single"/>
              </w:rPr>
              <w:t>户式燃气供暖热水炉</w:t>
            </w:r>
            <w:bookmarkStart w:id="86" w:name="_Hlk127534138"/>
            <w:r>
              <w:rPr>
                <w:rFonts w:hint="eastAsia" w:ascii="宋体" w:hAnsi="宋体"/>
                <w:sz w:val="24"/>
                <w:u w:val="single"/>
              </w:rPr>
              <w:t>电气设计</w:t>
            </w:r>
            <w:bookmarkEnd w:id="86"/>
            <w:r>
              <w:rPr>
                <w:rFonts w:hint="eastAsia" w:ascii="宋体" w:hAnsi="宋体"/>
                <w:sz w:val="24"/>
                <w:u w:val="single"/>
              </w:rPr>
              <w:t>应符合以下规定：</w:t>
            </w:r>
          </w:p>
          <w:p>
            <w:pPr>
              <w:spacing w:line="360" w:lineRule="auto"/>
              <w:ind w:firstLine="480"/>
              <w:rPr>
                <w:rFonts w:ascii="宋体" w:hAnsi="宋体"/>
                <w:sz w:val="24"/>
                <w:u w:val="single"/>
              </w:rPr>
            </w:pPr>
            <w:r>
              <w:rPr>
                <w:rFonts w:hint="eastAsia" w:ascii="宋体" w:hAnsi="宋体"/>
                <w:sz w:val="24"/>
                <w:u w:val="single"/>
              </w:rPr>
              <w:t>1</w:t>
            </w:r>
            <w:r>
              <w:rPr>
                <w:rFonts w:ascii="宋体" w:hAnsi="宋体"/>
                <w:sz w:val="24"/>
                <w:u w:val="single"/>
              </w:rPr>
              <w:t xml:space="preserve"> </w:t>
            </w:r>
            <w:r>
              <w:rPr>
                <w:rFonts w:hint="eastAsia" w:ascii="宋体" w:hAnsi="宋体"/>
                <w:sz w:val="24"/>
                <w:u w:val="single"/>
              </w:rPr>
              <w:t xml:space="preserve"> 电源插座应设置在</w:t>
            </w:r>
            <w:r>
              <w:rPr>
                <w:rFonts w:hint="eastAsia" w:ascii="宋体" w:hAnsi="宋体"/>
                <w:bCs/>
                <w:sz w:val="24"/>
                <w:u w:val="single"/>
              </w:rPr>
              <w:t>户式燃气供暖热水炉</w:t>
            </w:r>
            <w:r>
              <w:rPr>
                <w:rFonts w:hint="eastAsia" w:ascii="宋体" w:hAnsi="宋体"/>
                <w:sz w:val="24"/>
                <w:u w:val="single"/>
              </w:rPr>
              <w:t>两侧，禁止设置在锅炉下方。</w:t>
            </w:r>
          </w:p>
          <w:p>
            <w:pPr>
              <w:spacing w:line="360" w:lineRule="auto"/>
              <w:ind w:firstLine="480"/>
              <w:rPr>
                <w:rFonts w:ascii="宋体" w:hAnsi="宋体"/>
                <w:sz w:val="24"/>
                <w:u w:val="single"/>
              </w:rPr>
            </w:pPr>
            <w:r>
              <w:rPr>
                <w:rFonts w:hint="eastAsia" w:ascii="宋体" w:hAnsi="宋体"/>
                <w:sz w:val="24"/>
                <w:u w:val="single"/>
              </w:rPr>
              <w:t>2</w:t>
            </w:r>
            <w:r>
              <w:rPr>
                <w:rFonts w:ascii="宋体" w:hAnsi="宋体"/>
                <w:sz w:val="24"/>
                <w:u w:val="single"/>
              </w:rPr>
              <w:t xml:space="preserve"> </w:t>
            </w:r>
            <w:r>
              <w:rPr>
                <w:rFonts w:hint="eastAsia" w:ascii="宋体" w:hAnsi="宋体"/>
                <w:sz w:val="24"/>
                <w:u w:val="single"/>
              </w:rPr>
              <w:t xml:space="preserve"> 电源应为220V、50HZ单相交流电。</w:t>
            </w:r>
          </w:p>
          <w:p>
            <w:pPr>
              <w:spacing w:line="360" w:lineRule="auto"/>
              <w:ind w:firstLine="480"/>
              <w:rPr>
                <w:rFonts w:ascii="宋体" w:hAnsi="宋体"/>
                <w:sz w:val="24"/>
                <w:u w:val="single"/>
              </w:rPr>
            </w:pPr>
            <w:r>
              <w:rPr>
                <w:rFonts w:hint="eastAsia" w:ascii="宋体" w:hAnsi="宋体"/>
                <w:sz w:val="24"/>
                <w:u w:val="single"/>
              </w:rPr>
              <w:t>3</w:t>
            </w:r>
            <w:r>
              <w:rPr>
                <w:rFonts w:ascii="宋体" w:hAnsi="宋体"/>
                <w:sz w:val="24"/>
                <w:u w:val="single"/>
              </w:rPr>
              <w:t xml:space="preserve"> </w:t>
            </w:r>
            <w:r>
              <w:rPr>
                <w:rFonts w:hint="eastAsia" w:ascii="宋体" w:hAnsi="宋体"/>
                <w:sz w:val="24"/>
                <w:u w:val="single"/>
              </w:rPr>
              <w:t xml:space="preserve"> 电源应有良好的接地。</w:t>
            </w:r>
          </w:p>
          <w:p>
            <w:pPr>
              <w:spacing w:line="360" w:lineRule="auto"/>
              <w:ind w:firstLine="480"/>
              <w:rPr>
                <w:rFonts w:ascii="宋体" w:hAnsi="宋体"/>
                <w:sz w:val="24"/>
                <w:u w:val="single"/>
              </w:rPr>
            </w:pPr>
            <w:r>
              <w:rPr>
                <w:rFonts w:hint="eastAsia" w:ascii="宋体" w:hAnsi="宋体"/>
                <w:sz w:val="24"/>
                <w:u w:val="single"/>
              </w:rPr>
              <w:t>4</w:t>
            </w:r>
            <w:r>
              <w:rPr>
                <w:rFonts w:ascii="宋体" w:hAnsi="宋体"/>
                <w:sz w:val="24"/>
                <w:u w:val="single"/>
              </w:rPr>
              <w:t xml:space="preserve"> </w:t>
            </w:r>
            <w:r>
              <w:rPr>
                <w:rFonts w:hint="eastAsia" w:ascii="宋体" w:hAnsi="宋体"/>
                <w:sz w:val="24"/>
                <w:u w:val="single"/>
              </w:rPr>
              <w:t xml:space="preserve"> 电源插头应采用阻燃材料，并应具备相关认证。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spacing w:line="360" w:lineRule="auto"/>
              <w:rPr>
                <w:rFonts w:ascii="宋体" w:hAnsi="宋体"/>
                <w:sz w:val="24"/>
                <w:u w:val="single"/>
              </w:rPr>
            </w:pPr>
            <w:r>
              <w:rPr>
                <w:rFonts w:ascii="宋体" w:hAnsi="宋体"/>
                <w:bCs/>
                <w:sz w:val="24"/>
                <w:u w:val="single"/>
              </w:rPr>
              <w:t>6.</w:t>
            </w:r>
            <w:r>
              <w:rPr>
                <w:rFonts w:ascii="宋体" w:hAnsi="宋体"/>
                <w:sz w:val="24"/>
                <w:u w:val="single"/>
              </w:rPr>
              <w:t>2E</w:t>
            </w:r>
            <w:r>
              <w:rPr>
                <w:rFonts w:ascii="宋体" w:hAnsi="宋体"/>
                <w:bCs/>
                <w:sz w:val="24"/>
                <w:u w:val="single"/>
              </w:rPr>
              <w:t>.6</w:t>
            </w:r>
            <w:r>
              <w:rPr>
                <w:rFonts w:hint="eastAsia" w:ascii="宋体" w:hAnsi="宋体"/>
                <w:sz w:val="24"/>
                <w:u w:val="single"/>
              </w:rPr>
              <w:t xml:space="preserve"> 户内给水系统的供水压力应保证</w:t>
            </w:r>
            <w:r>
              <w:rPr>
                <w:rFonts w:hint="eastAsia" w:ascii="宋体" w:hAnsi="宋体"/>
                <w:bCs/>
                <w:sz w:val="24"/>
                <w:u w:val="single"/>
              </w:rPr>
              <w:t>户式燃气供暖热水炉</w:t>
            </w:r>
            <w:r>
              <w:rPr>
                <w:rFonts w:hint="eastAsia" w:ascii="宋体" w:hAnsi="宋体"/>
                <w:sz w:val="24"/>
                <w:u w:val="single"/>
              </w:rPr>
              <w:t>的炉前压力大于设备的最低工作压力，并应满足热水供应系统最不利配水点所需的工作压力。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bookmarkStart w:id="87" w:name="_Toc308789954"/>
            <w:bookmarkStart w:id="88" w:name="_Toc119425260"/>
            <w:bookmarkStart w:id="89" w:name="_Toc308019523"/>
            <w:bookmarkStart w:id="90" w:name="_Toc311459968"/>
            <w:r>
              <w:rPr>
                <w:rFonts w:ascii="宋体" w:hAnsi="宋体"/>
                <w:b/>
                <w:bCs/>
                <w:sz w:val="24"/>
              </w:rPr>
              <w:t>6.3  重力循环热水供暖系统</w:t>
            </w:r>
            <w:bookmarkEnd w:id="87"/>
            <w:bookmarkEnd w:id="88"/>
            <w:bookmarkEnd w:id="89"/>
            <w:bookmarkEnd w:id="90"/>
          </w:p>
        </w:tc>
        <w:tc>
          <w:tcPr>
            <w:tcW w:w="4753" w:type="dxa"/>
          </w:tcPr>
          <w:p>
            <w:pPr>
              <w:spacing w:line="360" w:lineRule="auto"/>
              <w:jc w:val="center"/>
              <w:rPr>
                <w:rFonts w:ascii="宋体" w:hAnsi="宋体"/>
                <w:b/>
                <w:bCs/>
                <w:sz w:val="24"/>
              </w:rPr>
            </w:pPr>
            <w:r>
              <w:rPr>
                <w:rFonts w:hint="eastAsia" w:ascii="宋体" w:hAnsi="宋体"/>
                <w:b/>
                <w:bCs/>
                <w:sz w:val="24"/>
              </w:rPr>
              <w:t xml:space="preserve">6.3  </w:t>
            </w:r>
            <w:r>
              <w:rPr>
                <w:rFonts w:hint="eastAsia" w:ascii="宋体" w:hAnsi="宋体"/>
                <w:b/>
                <w:bCs/>
                <w:sz w:val="24"/>
                <w:bdr w:val="single" w:color="auto" w:sz="4" w:space="0"/>
              </w:rPr>
              <w:t>重力循环热水供暖系统</w:t>
            </w:r>
            <w:r>
              <w:rPr>
                <w:rFonts w:hint="eastAsia" w:ascii="宋体" w:hAnsi="宋体"/>
                <w:b/>
                <w:bCs/>
                <w:sz w:val="24"/>
                <w:u w:val="single"/>
              </w:rPr>
              <w:t>户式洁净煤供暖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r>
              <w:rPr>
                <w:rFonts w:ascii="宋体" w:hAnsi="宋体"/>
                <w:b/>
                <w:sz w:val="24"/>
              </w:rPr>
              <w:t>6.3.1</w:t>
            </w:r>
            <w:r>
              <w:rPr>
                <w:rFonts w:ascii="宋体" w:hAnsi="宋体"/>
                <w:sz w:val="24"/>
              </w:rPr>
              <w:t xml:space="preserve">  农村居住建筑宜采用重力循环散热器热水供暖系统。</w:t>
            </w:r>
          </w:p>
        </w:tc>
        <w:tc>
          <w:tcPr>
            <w:tcW w:w="4753" w:type="dxa"/>
          </w:tcPr>
          <w:p>
            <w:pPr>
              <w:spacing w:line="360" w:lineRule="auto"/>
              <w:jc w:val="center"/>
              <w:rPr>
                <w:rFonts w:ascii="宋体" w:hAnsi="宋体"/>
                <w:b/>
                <w:bCs/>
                <w:sz w:val="24"/>
              </w:rPr>
            </w:pPr>
            <w:r>
              <w:rPr>
                <w:rFonts w:ascii="宋体" w:hAnsi="宋体"/>
                <w:b/>
                <w:sz w:val="24"/>
              </w:rPr>
              <w:t>6.3.1</w:t>
            </w:r>
            <w:r>
              <w:rPr>
                <w:rFonts w:ascii="宋体" w:hAnsi="宋体"/>
                <w:sz w:val="24"/>
              </w:rPr>
              <w:t xml:space="preserve">  </w:t>
            </w:r>
            <w:r>
              <w:rPr>
                <w:rFonts w:ascii="宋体" w:hAnsi="宋体"/>
                <w:sz w:val="24"/>
                <w:bdr w:val="single" w:color="auto" w:sz="4" w:space="0"/>
              </w:rPr>
              <w:t>农村居住建筑</w:t>
            </w:r>
            <w:r>
              <w:rPr>
                <w:rFonts w:hint="eastAsia" w:ascii="宋体" w:hAnsi="宋体"/>
                <w:sz w:val="24"/>
                <w:u w:val="single"/>
              </w:rPr>
              <w:t>户式</w:t>
            </w:r>
            <w:r>
              <w:rPr>
                <w:rFonts w:ascii="宋体" w:hAnsi="宋体"/>
                <w:sz w:val="24"/>
                <w:u w:val="single"/>
              </w:rPr>
              <w:t>洁净煤供暖</w:t>
            </w:r>
            <w:r>
              <w:rPr>
                <w:rFonts w:ascii="宋体" w:hAnsi="宋体"/>
                <w:sz w:val="24"/>
              </w:rPr>
              <w:t>宜采用重力循环散热器热水供暖系统。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sz w:val="24"/>
              </w:rPr>
              <w:t>6.3.4</w:t>
            </w:r>
            <w:r>
              <w:rPr>
                <w:rFonts w:ascii="宋体" w:hAnsi="宋体"/>
                <w:sz w:val="24"/>
              </w:rPr>
              <w:t xml:space="preserve">  供暖炉的选择与布置应符合下列规定： </w:t>
            </w:r>
          </w:p>
          <w:p>
            <w:pPr>
              <w:spacing w:line="360" w:lineRule="auto"/>
              <w:ind w:firstLine="480"/>
              <w:rPr>
                <w:rFonts w:ascii="宋体" w:hAnsi="宋体"/>
                <w:sz w:val="24"/>
              </w:rPr>
            </w:pPr>
            <w:r>
              <w:rPr>
                <w:rFonts w:ascii="宋体" w:hAnsi="宋体"/>
                <w:b/>
                <w:sz w:val="24"/>
              </w:rPr>
              <w:t>1</w:t>
            </w:r>
            <w:r>
              <w:rPr>
                <w:rFonts w:ascii="宋体" w:hAnsi="宋体"/>
                <w:sz w:val="24"/>
              </w:rPr>
              <w:t xml:space="preserve">  应采用正规厂家生产的热效率高、环保型铁制炉具</w:t>
            </w:r>
            <w:r>
              <w:rPr>
                <w:rFonts w:hint="eastAsia" w:ascii="宋体" w:hAnsi="宋体"/>
                <w:sz w:val="24"/>
              </w:rPr>
              <w:t>；</w:t>
            </w:r>
            <w:r>
              <w:rPr>
                <w:rFonts w:ascii="宋体" w:hAnsi="宋体"/>
                <w:sz w:val="24"/>
              </w:rPr>
              <w:t xml:space="preserve"> </w:t>
            </w:r>
          </w:p>
          <w:p>
            <w:pPr>
              <w:spacing w:line="360" w:lineRule="auto"/>
              <w:ind w:firstLine="480"/>
              <w:rPr>
                <w:rFonts w:ascii="宋体" w:hAnsi="宋体"/>
                <w:sz w:val="24"/>
              </w:rPr>
            </w:pPr>
            <w:r>
              <w:rPr>
                <w:rFonts w:ascii="宋体" w:hAnsi="宋体"/>
                <w:b/>
                <w:sz w:val="24"/>
              </w:rPr>
              <w:t>2</w:t>
            </w:r>
            <w:r>
              <w:rPr>
                <w:rFonts w:ascii="宋体" w:hAnsi="宋体"/>
                <w:sz w:val="24"/>
              </w:rPr>
              <w:t xml:space="preserve">  应根据燃料的类型选择适用的供暖炉类型；</w:t>
            </w:r>
          </w:p>
          <w:p>
            <w:pPr>
              <w:spacing w:line="360" w:lineRule="auto"/>
              <w:ind w:firstLine="480"/>
              <w:rPr>
                <w:rFonts w:ascii="宋体" w:hAnsi="宋体"/>
                <w:sz w:val="24"/>
              </w:rPr>
            </w:pPr>
            <w:r>
              <w:rPr>
                <w:rFonts w:ascii="宋体" w:hAnsi="宋体"/>
                <w:b/>
                <w:sz w:val="24"/>
              </w:rPr>
              <w:t xml:space="preserve">3  </w:t>
            </w:r>
            <w:r>
              <w:rPr>
                <w:rFonts w:ascii="宋体" w:hAnsi="宋体"/>
                <w:sz w:val="24"/>
              </w:rPr>
              <w:t>供暖炉的炉体应有良好保温；</w:t>
            </w:r>
          </w:p>
          <w:p>
            <w:pPr>
              <w:spacing w:line="360" w:lineRule="auto"/>
              <w:ind w:firstLine="480"/>
              <w:rPr>
                <w:rFonts w:ascii="宋体" w:hAnsi="宋体"/>
                <w:sz w:val="24"/>
              </w:rPr>
            </w:pPr>
            <w:r>
              <w:rPr>
                <w:rFonts w:ascii="宋体" w:hAnsi="宋体"/>
                <w:b/>
                <w:sz w:val="24"/>
              </w:rPr>
              <w:t xml:space="preserve">4  </w:t>
            </w:r>
            <w:r>
              <w:rPr>
                <w:rFonts w:ascii="宋体" w:hAnsi="宋体"/>
                <w:sz w:val="24"/>
              </w:rPr>
              <w:t>宜选择带排烟热回收装置的燃煤供暖炉排烟温度高时，宜在烟囱下部设置水烟囱等回收排烟余热。</w:t>
            </w:r>
          </w:p>
          <w:p>
            <w:pPr>
              <w:spacing w:line="360" w:lineRule="auto"/>
              <w:ind w:firstLine="480"/>
              <w:rPr>
                <w:rFonts w:ascii="宋体" w:hAnsi="宋体"/>
                <w:sz w:val="24"/>
              </w:rPr>
            </w:pPr>
            <w:r>
              <w:rPr>
                <w:rFonts w:ascii="宋体" w:hAnsi="宋体"/>
                <w:b/>
                <w:sz w:val="24"/>
              </w:rPr>
              <w:t xml:space="preserve">5  </w:t>
            </w:r>
            <w:r>
              <w:rPr>
                <w:rFonts w:ascii="宋体" w:hAnsi="宋体"/>
                <w:sz w:val="24"/>
              </w:rPr>
              <w:t>供暖炉宜布置在专门锅炉间内，不得布置在卧室或与其相通的房间内；供暖炉设置位置宜低于室内地坪0.2m～0.5m。供暖炉应设置烟道。</w:t>
            </w:r>
          </w:p>
        </w:tc>
        <w:tc>
          <w:tcPr>
            <w:tcW w:w="4753" w:type="dxa"/>
          </w:tcPr>
          <w:p>
            <w:pPr>
              <w:spacing w:line="360" w:lineRule="auto"/>
              <w:rPr>
                <w:rFonts w:ascii="宋体" w:hAnsi="宋体"/>
                <w:sz w:val="24"/>
              </w:rPr>
            </w:pPr>
            <w:r>
              <w:rPr>
                <w:rFonts w:ascii="宋体" w:hAnsi="宋体"/>
                <w:b/>
                <w:sz w:val="24"/>
              </w:rPr>
              <w:t>6.3.4</w:t>
            </w:r>
            <w:r>
              <w:rPr>
                <w:rFonts w:ascii="宋体" w:hAnsi="宋体"/>
                <w:sz w:val="24"/>
              </w:rPr>
              <w:t xml:space="preserve">  </w:t>
            </w:r>
            <w:r>
              <w:rPr>
                <w:rFonts w:hint="eastAsia" w:ascii="宋体" w:hAnsi="宋体"/>
                <w:sz w:val="24"/>
                <w:u w:val="single"/>
              </w:rPr>
              <w:t>洁净煤</w:t>
            </w:r>
            <w:r>
              <w:rPr>
                <w:rFonts w:ascii="宋体" w:hAnsi="宋体"/>
                <w:sz w:val="24"/>
              </w:rPr>
              <w:t xml:space="preserve">供暖炉的选择与布置应符合下列规定： </w:t>
            </w:r>
          </w:p>
          <w:p>
            <w:pPr>
              <w:spacing w:line="360" w:lineRule="auto"/>
              <w:ind w:firstLine="480"/>
              <w:rPr>
                <w:rFonts w:ascii="宋体" w:hAnsi="宋体"/>
                <w:sz w:val="24"/>
              </w:rPr>
            </w:pPr>
            <w:r>
              <w:rPr>
                <w:rFonts w:ascii="宋体" w:hAnsi="宋体"/>
                <w:b/>
                <w:sz w:val="24"/>
              </w:rPr>
              <w:t>1</w:t>
            </w:r>
            <w:r>
              <w:rPr>
                <w:rFonts w:ascii="宋体" w:hAnsi="宋体"/>
                <w:sz w:val="24"/>
              </w:rPr>
              <w:t xml:space="preserve"> </w:t>
            </w:r>
            <w:r>
              <w:rPr>
                <w:rFonts w:ascii="宋体" w:hAnsi="宋体"/>
                <w:sz w:val="32"/>
              </w:rPr>
              <w:t xml:space="preserve"> </w:t>
            </w:r>
            <w:r>
              <w:rPr>
                <w:sz w:val="24"/>
                <w:szCs w:val="21"/>
                <w:bdr w:val="single" w:color="auto" w:sz="4" w:space="0"/>
              </w:rPr>
              <w:t>应采用正规厂家生产的热效率高、环保型铁制炉具</w:t>
            </w:r>
            <w:r>
              <w:rPr>
                <w:rFonts w:hint="eastAsia" w:ascii="宋体" w:hAnsi="宋体"/>
                <w:sz w:val="24"/>
                <w:u w:val="single"/>
              </w:rPr>
              <w:t>应</w:t>
            </w:r>
            <w:r>
              <w:rPr>
                <w:rFonts w:ascii="宋体" w:hAnsi="宋体"/>
                <w:sz w:val="24"/>
                <w:u w:val="single"/>
              </w:rPr>
              <w:t>采用列入农村清洁取暖炉具领跑者的相应炉具；</w:t>
            </w:r>
            <w:r>
              <w:rPr>
                <w:rFonts w:ascii="宋体" w:hAnsi="宋体"/>
                <w:sz w:val="24"/>
              </w:rPr>
              <w:t xml:space="preserve"> </w:t>
            </w:r>
          </w:p>
          <w:p>
            <w:pPr>
              <w:spacing w:line="360" w:lineRule="auto"/>
              <w:ind w:firstLine="480"/>
              <w:rPr>
                <w:rFonts w:ascii="宋体" w:hAnsi="宋体"/>
                <w:sz w:val="24"/>
              </w:rPr>
            </w:pPr>
            <w:r>
              <w:rPr>
                <w:rFonts w:ascii="宋体" w:hAnsi="宋体"/>
                <w:b/>
                <w:sz w:val="24"/>
              </w:rPr>
              <w:t>2</w:t>
            </w:r>
            <w:r>
              <w:rPr>
                <w:rFonts w:ascii="宋体" w:hAnsi="宋体"/>
                <w:sz w:val="24"/>
              </w:rPr>
              <w:t xml:space="preserve">  应根据燃料的类型选择适用的供暖炉类型；</w:t>
            </w:r>
          </w:p>
          <w:p>
            <w:pPr>
              <w:spacing w:line="360" w:lineRule="auto"/>
              <w:ind w:firstLine="480"/>
              <w:rPr>
                <w:rFonts w:ascii="宋体" w:hAnsi="宋体"/>
                <w:sz w:val="24"/>
              </w:rPr>
            </w:pPr>
            <w:r>
              <w:rPr>
                <w:rFonts w:ascii="宋体" w:hAnsi="宋体"/>
                <w:b/>
                <w:sz w:val="24"/>
              </w:rPr>
              <w:t xml:space="preserve">3  </w:t>
            </w:r>
            <w:r>
              <w:rPr>
                <w:rFonts w:ascii="宋体" w:hAnsi="宋体"/>
                <w:sz w:val="24"/>
              </w:rPr>
              <w:t>供暖炉的炉体应有良好保温；</w:t>
            </w:r>
          </w:p>
          <w:p>
            <w:pPr>
              <w:spacing w:line="360" w:lineRule="auto"/>
              <w:ind w:firstLine="480"/>
              <w:rPr>
                <w:rFonts w:ascii="宋体" w:hAnsi="宋体"/>
                <w:sz w:val="24"/>
              </w:rPr>
            </w:pPr>
            <w:r>
              <w:rPr>
                <w:rFonts w:ascii="宋体" w:hAnsi="宋体"/>
                <w:b/>
                <w:sz w:val="24"/>
              </w:rPr>
              <w:t xml:space="preserve">4  </w:t>
            </w:r>
            <w:r>
              <w:rPr>
                <w:rFonts w:ascii="宋体" w:hAnsi="宋体"/>
                <w:sz w:val="24"/>
              </w:rPr>
              <w:t>宜</w:t>
            </w:r>
            <w:r>
              <w:rPr>
                <w:sz w:val="24"/>
                <w:szCs w:val="21"/>
              </w:rPr>
              <w:t>选择</w:t>
            </w:r>
            <w:r>
              <w:rPr>
                <w:sz w:val="24"/>
                <w:szCs w:val="21"/>
                <w:bdr w:val="single" w:color="auto" w:sz="4" w:space="0"/>
              </w:rPr>
              <w:t>带排烟热回收装置的燃煤供暖炉</w:t>
            </w:r>
            <w:r>
              <w:rPr>
                <w:rFonts w:hint="eastAsia" w:ascii="宋体" w:hAnsi="宋体"/>
                <w:sz w:val="24"/>
                <w:u w:val="single"/>
              </w:rPr>
              <w:t>洁净</w:t>
            </w:r>
            <w:r>
              <w:rPr>
                <w:rFonts w:ascii="宋体" w:hAnsi="宋体"/>
                <w:sz w:val="24"/>
                <w:u w:val="single"/>
              </w:rPr>
              <w:t>燃煤供暖炉和生物质锅炉，</w:t>
            </w:r>
            <w:r>
              <w:rPr>
                <w:rFonts w:ascii="宋体" w:hAnsi="宋体"/>
                <w:sz w:val="24"/>
              </w:rPr>
              <w:t>排烟温度高时，宜在烟囱下部设置水烟囱等回收排烟余热。</w:t>
            </w:r>
          </w:p>
          <w:p>
            <w:pPr>
              <w:spacing w:line="360" w:lineRule="auto"/>
              <w:ind w:firstLine="480"/>
              <w:rPr>
                <w:rFonts w:ascii="宋体" w:hAnsi="宋体"/>
                <w:sz w:val="24"/>
              </w:rPr>
            </w:pPr>
            <w:r>
              <w:rPr>
                <w:rFonts w:ascii="宋体" w:hAnsi="宋体"/>
                <w:b/>
                <w:sz w:val="24"/>
              </w:rPr>
              <w:t xml:space="preserve">5  </w:t>
            </w:r>
            <w:r>
              <w:rPr>
                <w:rFonts w:ascii="宋体" w:hAnsi="宋体"/>
                <w:sz w:val="24"/>
              </w:rPr>
              <w:t>供暖炉宜布置在专门锅炉间内，不得布置在卧室或与其相通的房间内；供暖炉设置位置宜低于室内地坪0.2m～0.5m。供暖炉应设置烟道。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b/>
                <w:bCs/>
                <w:sz w:val="24"/>
              </w:rPr>
            </w:pPr>
            <w:r>
              <w:rPr>
                <w:rFonts w:hint="eastAsia" w:ascii="宋体" w:hAnsi="宋体"/>
                <w:b/>
                <w:bCs/>
                <w:sz w:val="24"/>
              </w:rPr>
              <w:t>6.4  通风与降温</w:t>
            </w:r>
          </w:p>
        </w:tc>
        <w:tc>
          <w:tcPr>
            <w:tcW w:w="4753" w:type="dxa"/>
          </w:tcPr>
          <w:p>
            <w:pPr>
              <w:spacing w:line="360" w:lineRule="auto"/>
              <w:jc w:val="center"/>
              <w:rPr>
                <w:rFonts w:ascii="宋体" w:hAnsi="宋体"/>
                <w:bCs/>
                <w:sz w:val="24"/>
                <w:u w:val="single"/>
              </w:rPr>
            </w:pPr>
            <w:r>
              <w:rPr>
                <w:rFonts w:hint="eastAsia" w:ascii="宋体" w:hAnsi="宋体"/>
                <w:b/>
                <w:bCs/>
                <w:sz w:val="24"/>
              </w:rPr>
              <w:t>6.4  通风与降温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sz w:val="24"/>
                <w:u w:val="single"/>
              </w:rPr>
            </w:pPr>
            <w:r>
              <w:rPr>
                <w:rFonts w:ascii="宋体" w:hAnsi="宋体"/>
                <w:b/>
                <w:bCs/>
                <w:sz w:val="24"/>
              </w:rPr>
              <w:t xml:space="preserve">6.4.5  </w:t>
            </w:r>
            <w:r>
              <w:rPr>
                <w:rFonts w:ascii="宋体" w:hAnsi="宋体"/>
                <w:sz w:val="24"/>
              </w:rPr>
              <w:t>当被动冷却降温方式不能满足室内热环境需求时，可采用电风扇或分体式空调降温。分体式空调设备宜选用高能效产品。</w:t>
            </w:r>
          </w:p>
        </w:tc>
        <w:tc>
          <w:tcPr>
            <w:tcW w:w="4753" w:type="dxa"/>
          </w:tcPr>
          <w:p>
            <w:pPr>
              <w:autoSpaceDE w:val="0"/>
              <w:autoSpaceDN w:val="0"/>
              <w:adjustRightInd w:val="0"/>
              <w:spacing w:line="360" w:lineRule="auto"/>
              <w:rPr>
                <w:rFonts w:ascii="宋体" w:hAnsi="宋体"/>
                <w:sz w:val="24"/>
                <w:u w:val="single"/>
              </w:rPr>
            </w:pPr>
            <w:r>
              <w:rPr>
                <w:rFonts w:ascii="宋体" w:hAnsi="宋体"/>
                <w:b/>
                <w:bCs/>
                <w:sz w:val="24"/>
              </w:rPr>
              <w:t xml:space="preserve">6.4.5  </w:t>
            </w:r>
            <w:r>
              <w:rPr>
                <w:rFonts w:ascii="宋体" w:hAnsi="宋体"/>
                <w:sz w:val="24"/>
              </w:rPr>
              <w:t>当被动冷却降温方式不能满足室内热环境需求时，可采用电风扇或分体式空调降温。</w:t>
            </w:r>
            <w:r>
              <w:rPr>
                <w:sz w:val="24"/>
                <w:szCs w:val="21"/>
                <w:bdr w:val="single" w:color="auto" w:sz="4" w:space="0"/>
              </w:rPr>
              <w:t>分体式空调设备宜选用高能效产品</w:t>
            </w:r>
            <w:r>
              <w:rPr>
                <w:rFonts w:hint="eastAsia" w:ascii="宋体" w:hAnsi="宋体"/>
                <w:sz w:val="24"/>
                <w:u w:val="single"/>
              </w:rPr>
              <w:t>除严寒地区外，房间空气调节器能效等级不应低于现行国家标准《房间空气调节器能效限定值及能效等级》GB21455-2019中的3级。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sz w:val="24"/>
              </w:rPr>
            </w:pPr>
            <w:r>
              <w:rPr>
                <w:rFonts w:ascii="宋体" w:hAnsi="宋体"/>
                <w:b/>
                <w:bCs/>
                <w:sz w:val="24"/>
              </w:rPr>
              <w:t xml:space="preserve">6.4.6  </w:t>
            </w:r>
            <w:r>
              <w:rPr>
                <w:rFonts w:ascii="宋体" w:hAnsi="宋体"/>
                <w:sz w:val="24"/>
              </w:rPr>
              <w:t>分体式空调安装应符合下列规定：</w:t>
            </w:r>
          </w:p>
          <w:p>
            <w:pPr>
              <w:autoSpaceDE w:val="0"/>
              <w:autoSpaceDN w:val="0"/>
              <w:adjustRightInd w:val="0"/>
              <w:spacing w:line="360" w:lineRule="auto"/>
              <w:ind w:firstLine="482" w:firstLineChars="200"/>
              <w:rPr>
                <w:rFonts w:ascii="宋体" w:hAnsi="宋体"/>
                <w:sz w:val="24"/>
                <w:lang w:val="zh-CN"/>
              </w:rPr>
            </w:pPr>
            <w:r>
              <w:rPr>
                <w:rFonts w:ascii="宋体" w:hAnsi="宋体"/>
                <w:b/>
                <w:sz w:val="24"/>
              </w:rPr>
              <w:t xml:space="preserve">1  </w:t>
            </w:r>
            <w:r>
              <w:rPr>
                <w:rFonts w:ascii="宋体" w:hAnsi="宋体"/>
                <w:sz w:val="24"/>
                <w:lang w:val="zh-CN"/>
              </w:rPr>
              <w:t>室内机应靠近室外机的位置安装，并应减少室内明管的长度；</w:t>
            </w:r>
          </w:p>
          <w:p>
            <w:pPr>
              <w:autoSpaceDE w:val="0"/>
              <w:autoSpaceDN w:val="0"/>
              <w:adjustRightInd w:val="0"/>
              <w:spacing w:line="360" w:lineRule="auto"/>
              <w:ind w:firstLine="472" w:firstLineChars="196"/>
              <w:rPr>
                <w:rFonts w:ascii="宋体" w:hAnsi="宋体"/>
                <w:sz w:val="24"/>
                <w:lang w:val="zh-CN"/>
              </w:rPr>
            </w:pPr>
            <w:r>
              <w:rPr>
                <w:rFonts w:ascii="宋体" w:hAnsi="宋体"/>
                <w:b/>
                <w:sz w:val="24"/>
              </w:rPr>
              <w:t xml:space="preserve">2  </w:t>
            </w:r>
            <w:r>
              <w:rPr>
                <w:rFonts w:ascii="宋体" w:hAnsi="宋体"/>
                <w:sz w:val="24"/>
                <w:lang w:val="zh-CN"/>
              </w:rPr>
              <w:t>室外机安放搁板时，其位置应有利于空调器夏季排放热量，并应防止对室内产生热污染及噪声污染。</w:t>
            </w:r>
          </w:p>
        </w:tc>
        <w:tc>
          <w:tcPr>
            <w:tcW w:w="4753" w:type="dxa"/>
          </w:tcPr>
          <w:p>
            <w:pPr>
              <w:autoSpaceDE w:val="0"/>
              <w:autoSpaceDN w:val="0"/>
              <w:adjustRightInd w:val="0"/>
              <w:spacing w:line="360" w:lineRule="auto"/>
              <w:rPr>
                <w:rFonts w:ascii="宋体" w:hAnsi="宋体"/>
                <w:sz w:val="24"/>
              </w:rPr>
            </w:pPr>
            <w:r>
              <w:rPr>
                <w:rFonts w:ascii="宋体" w:hAnsi="宋体"/>
                <w:b/>
                <w:bCs/>
                <w:sz w:val="24"/>
              </w:rPr>
              <w:t xml:space="preserve">6.4.6  </w:t>
            </w:r>
            <w:r>
              <w:rPr>
                <w:sz w:val="24"/>
                <w:szCs w:val="21"/>
                <w:bdr w:val="single" w:color="auto" w:sz="4" w:space="0"/>
              </w:rPr>
              <w:t>分体式空调</w:t>
            </w:r>
            <w:r>
              <w:rPr>
                <w:rFonts w:hint="eastAsia" w:ascii="宋体" w:hAnsi="宋体"/>
                <w:sz w:val="24"/>
                <w:u w:val="single"/>
              </w:rPr>
              <w:t>房间空气调节器</w:t>
            </w:r>
            <w:r>
              <w:rPr>
                <w:rFonts w:ascii="宋体" w:hAnsi="宋体"/>
                <w:sz w:val="24"/>
              </w:rPr>
              <w:t>安装应符合下列规定：</w:t>
            </w:r>
          </w:p>
          <w:p>
            <w:pPr>
              <w:autoSpaceDE w:val="0"/>
              <w:autoSpaceDN w:val="0"/>
              <w:adjustRightInd w:val="0"/>
              <w:spacing w:line="360" w:lineRule="auto"/>
              <w:ind w:firstLine="482" w:firstLineChars="200"/>
              <w:rPr>
                <w:rFonts w:ascii="宋体" w:hAnsi="宋体"/>
                <w:sz w:val="24"/>
                <w:lang w:val="zh-CN"/>
              </w:rPr>
            </w:pPr>
            <w:r>
              <w:rPr>
                <w:rFonts w:ascii="宋体" w:hAnsi="宋体"/>
                <w:b/>
                <w:sz w:val="24"/>
              </w:rPr>
              <w:t xml:space="preserve">1  </w:t>
            </w:r>
            <w:r>
              <w:rPr>
                <w:rFonts w:ascii="宋体" w:hAnsi="宋体"/>
                <w:sz w:val="24"/>
                <w:lang w:val="zh-CN"/>
              </w:rPr>
              <w:t>室内机应靠近室外机的位置安装，并应减少室内明管的长度；</w:t>
            </w:r>
          </w:p>
          <w:p>
            <w:pPr>
              <w:autoSpaceDE w:val="0"/>
              <w:autoSpaceDN w:val="0"/>
              <w:adjustRightInd w:val="0"/>
              <w:spacing w:line="360" w:lineRule="auto"/>
              <w:ind w:firstLine="472" w:firstLineChars="196"/>
              <w:rPr>
                <w:rFonts w:ascii="宋体" w:hAnsi="宋体"/>
                <w:sz w:val="24"/>
                <w:lang w:val="zh-CN"/>
              </w:rPr>
            </w:pPr>
            <w:r>
              <w:rPr>
                <w:rFonts w:ascii="宋体" w:hAnsi="宋体"/>
                <w:b/>
                <w:sz w:val="24"/>
              </w:rPr>
              <w:t xml:space="preserve">2  </w:t>
            </w:r>
            <w:r>
              <w:rPr>
                <w:rFonts w:ascii="宋体" w:hAnsi="宋体"/>
                <w:sz w:val="24"/>
                <w:lang w:val="zh-CN"/>
              </w:rPr>
              <w:t>室外机安放搁板时，其位置应有利于空调器夏季排放热量，并应防止对室内产生热污染及噪声污染。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b/>
                <w:bCs/>
                <w:sz w:val="24"/>
                <w:lang w:val="zh-CN"/>
              </w:rPr>
            </w:pPr>
            <w:r>
              <w:rPr>
                <w:rFonts w:ascii="宋体" w:hAnsi="宋体"/>
                <w:b/>
                <w:bCs/>
                <w:sz w:val="24"/>
                <w:lang w:val="zh-CN"/>
              </w:rPr>
              <w:t>7  照明</w:t>
            </w:r>
          </w:p>
        </w:tc>
        <w:tc>
          <w:tcPr>
            <w:tcW w:w="4753" w:type="dxa"/>
          </w:tcPr>
          <w:p>
            <w:pPr>
              <w:autoSpaceDE w:val="0"/>
              <w:autoSpaceDN w:val="0"/>
              <w:adjustRightInd w:val="0"/>
              <w:spacing w:line="360" w:lineRule="auto"/>
              <w:jc w:val="center"/>
              <w:rPr>
                <w:rFonts w:ascii="宋体" w:hAnsi="宋体"/>
                <w:b/>
                <w:bCs/>
                <w:sz w:val="24"/>
                <w:lang w:val="zh-CN"/>
              </w:rPr>
            </w:pPr>
            <w:r>
              <w:rPr>
                <w:rFonts w:ascii="宋体" w:hAnsi="宋体"/>
                <w:b/>
                <w:bCs/>
                <w:sz w:val="24"/>
                <w:lang w:val="zh-CN"/>
              </w:rPr>
              <w:t>7  照明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sz w:val="24"/>
                <w:lang w:bidi="en-US"/>
              </w:rPr>
            </w:pPr>
            <w:r>
              <w:rPr>
                <w:rFonts w:ascii="宋体" w:hAnsi="宋体"/>
                <w:b/>
                <w:sz w:val="24"/>
                <w:lang w:bidi="en-US"/>
              </w:rPr>
              <w:t>7.0.1</w:t>
            </w:r>
            <w:r>
              <w:rPr>
                <w:rFonts w:hint="eastAsia" w:ascii="宋体" w:hAnsi="宋体"/>
                <w:sz w:val="24"/>
                <w:lang w:bidi="en-US"/>
              </w:rPr>
              <w:t xml:space="preserve"> </w:t>
            </w:r>
            <w:r>
              <w:rPr>
                <w:rFonts w:ascii="宋体" w:hAnsi="宋体"/>
                <w:sz w:val="24"/>
                <w:lang w:bidi="en-US"/>
              </w:rPr>
              <w:t xml:space="preserve"> 农村居住建筑每户照明功率密度值不宜大于</w:t>
            </w:r>
            <w:r>
              <w:rPr>
                <w:rFonts w:hint="eastAsia" w:ascii="宋体" w:hAnsi="宋体"/>
                <w:sz w:val="24"/>
                <w:u w:val="single"/>
                <w:lang w:bidi="en-US"/>
              </w:rPr>
              <w:t>宜符合</w:t>
            </w:r>
            <w:r>
              <w:rPr>
                <w:rFonts w:ascii="宋体" w:hAnsi="宋体"/>
                <w:sz w:val="24"/>
                <w:lang w:bidi="en-US"/>
              </w:rPr>
              <w:t>表7.0.1的规定。当房间的照度值高于或低于表7.0.1规定的照度时，其照明功率密度值应按比例提高或折减。</w:t>
            </w:r>
          </w:p>
          <w:p>
            <w:pPr>
              <w:spacing w:line="360" w:lineRule="auto"/>
              <w:jc w:val="center"/>
              <w:rPr>
                <w:rFonts w:ascii="宋体" w:hAnsi="宋体"/>
                <w:b/>
                <w:bCs/>
                <w:sz w:val="24"/>
              </w:rPr>
            </w:pPr>
            <w:r>
              <w:rPr>
                <w:rFonts w:ascii="宋体" w:hAnsi="宋体"/>
                <w:b/>
                <w:bCs/>
                <w:sz w:val="24"/>
              </w:rPr>
              <w:t>表7.0.1  每户照明功率密度值</w:t>
            </w:r>
          </w:p>
          <w:tbl>
            <w:tblPr>
              <w:tblStyle w:val="17"/>
              <w:tblW w:w="3843" w:type="dxa"/>
              <w:jc w:val="center"/>
              <w:tblLayout w:type="fixed"/>
              <w:tblCellMar>
                <w:top w:w="0" w:type="dxa"/>
                <w:left w:w="108" w:type="dxa"/>
                <w:bottom w:w="0" w:type="dxa"/>
                <w:right w:w="108" w:type="dxa"/>
              </w:tblCellMar>
            </w:tblPr>
            <w:tblGrid>
              <w:gridCol w:w="1195"/>
              <w:gridCol w:w="1487"/>
              <w:gridCol w:w="1161"/>
            </w:tblGrid>
            <w:tr>
              <w:trPr>
                <w:cantSplit/>
                <w:trHeight w:val="259" w:hRule="atLeast"/>
                <w:jc w:val="center"/>
              </w:trPr>
              <w:tc>
                <w:tcPr>
                  <w:tcW w:w="1195" w:type="dxa"/>
                  <w:tcBorders>
                    <w:top w:val="single" w:color="auto" w:sz="12" w:space="0"/>
                    <w:left w:val="single" w:color="auto" w:sz="12" w:space="0"/>
                    <w:bottom w:val="single" w:color="auto" w:sz="4" w:space="0"/>
                    <w:right w:val="single" w:color="auto" w:sz="4" w:space="0"/>
                  </w:tcBorders>
                  <w:vAlign w:val="center"/>
                </w:tcPr>
                <w:p>
                  <w:pPr>
                    <w:jc w:val="center"/>
                    <w:rPr>
                      <w:rFonts w:ascii="宋体" w:hAnsi="宋体"/>
                      <w:szCs w:val="21"/>
                    </w:rPr>
                  </w:pPr>
                  <w:r>
                    <w:rPr>
                      <w:rFonts w:ascii="宋体" w:hAnsi="宋体"/>
                      <w:szCs w:val="21"/>
                    </w:rPr>
                    <w:t>房间</w:t>
                  </w:r>
                </w:p>
              </w:tc>
              <w:tc>
                <w:tcPr>
                  <w:tcW w:w="1487" w:type="dxa"/>
                  <w:tcBorders>
                    <w:top w:val="single" w:color="auto" w:sz="12"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照明功率密度[Ｗ／㎡]</w:t>
                  </w:r>
                </w:p>
              </w:tc>
              <w:tc>
                <w:tcPr>
                  <w:tcW w:w="1161" w:type="dxa"/>
                  <w:tcBorders>
                    <w:top w:val="single" w:color="auto" w:sz="12" w:space="0"/>
                    <w:left w:val="single" w:color="auto" w:sz="4" w:space="0"/>
                    <w:bottom w:val="single" w:color="auto" w:sz="2" w:space="0"/>
                    <w:right w:val="single" w:color="auto" w:sz="12" w:space="0"/>
                  </w:tcBorders>
                  <w:vAlign w:val="center"/>
                </w:tcPr>
                <w:p>
                  <w:pPr>
                    <w:rPr>
                      <w:rFonts w:ascii="宋体" w:hAnsi="宋体"/>
                      <w:szCs w:val="21"/>
                    </w:rPr>
                  </w:pPr>
                  <w:r>
                    <w:rPr>
                      <w:rFonts w:ascii="宋体" w:hAnsi="宋体"/>
                      <w:szCs w:val="21"/>
                    </w:rPr>
                    <w:t>对应照度值[lx]</w:t>
                  </w:r>
                </w:p>
              </w:tc>
            </w:tr>
            <w:tr>
              <w:tblPrEx>
                <w:tblCellMar>
                  <w:top w:w="0" w:type="dxa"/>
                  <w:left w:w="108" w:type="dxa"/>
                  <w:bottom w:w="0" w:type="dxa"/>
                  <w:right w:w="108" w:type="dxa"/>
                </w:tblCellMar>
              </w:tblPrEx>
              <w:trPr>
                <w:cantSplit/>
                <w:trHeight w:val="354" w:hRule="atLeast"/>
                <w:jc w:val="center"/>
              </w:trPr>
              <w:tc>
                <w:tcPr>
                  <w:tcW w:w="1195" w:type="dxa"/>
                  <w:tcBorders>
                    <w:top w:val="single" w:color="auto" w:sz="4" w:space="0"/>
                    <w:left w:val="single" w:color="auto" w:sz="12" w:space="0"/>
                    <w:bottom w:val="single" w:color="auto" w:sz="4" w:space="0"/>
                    <w:right w:val="single" w:color="auto" w:sz="4" w:space="0"/>
                  </w:tcBorders>
                  <w:vAlign w:val="center"/>
                </w:tcPr>
                <w:p>
                  <w:pPr>
                    <w:jc w:val="center"/>
                    <w:rPr>
                      <w:rFonts w:ascii="宋体" w:hAnsi="宋体"/>
                      <w:szCs w:val="21"/>
                    </w:rPr>
                  </w:pPr>
                  <w:r>
                    <w:rPr>
                      <w:rFonts w:ascii="宋体" w:hAnsi="宋体"/>
                      <w:szCs w:val="21"/>
                    </w:rPr>
                    <w:t>起居室</w:t>
                  </w:r>
                </w:p>
              </w:tc>
              <w:tc>
                <w:tcPr>
                  <w:tcW w:w="1487" w:type="dxa"/>
                  <w:vMerge w:val="restart"/>
                  <w:tcBorders>
                    <w:left w:val="single" w:color="auto" w:sz="4" w:space="0"/>
                    <w:right w:val="single" w:color="auto" w:sz="4" w:space="0"/>
                  </w:tcBorders>
                  <w:vAlign w:val="center"/>
                </w:tcPr>
                <w:p>
                  <w:pPr>
                    <w:jc w:val="center"/>
                    <w:rPr>
                      <w:rFonts w:ascii="宋体" w:hAnsi="宋体"/>
                      <w:szCs w:val="21"/>
                    </w:rPr>
                  </w:pPr>
                  <w:r>
                    <w:rPr>
                      <w:rFonts w:ascii="宋体" w:hAnsi="宋体"/>
                      <w:szCs w:val="21"/>
                    </w:rPr>
                    <w:t>7</w:t>
                  </w:r>
                </w:p>
              </w:tc>
              <w:tc>
                <w:tcPr>
                  <w:tcW w:w="1161" w:type="dxa"/>
                  <w:tcBorders>
                    <w:top w:val="single" w:color="auto" w:sz="2" w:space="0"/>
                    <w:left w:val="single" w:color="auto" w:sz="4" w:space="0"/>
                    <w:bottom w:val="single" w:color="auto" w:sz="4" w:space="0"/>
                    <w:right w:val="single" w:color="auto" w:sz="12" w:space="0"/>
                  </w:tcBorders>
                  <w:vAlign w:val="center"/>
                </w:tcPr>
                <w:p>
                  <w:pPr>
                    <w:jc w:val="center"/>
                    <w:rPr>
                      <w:rFonts w:ascii="宋体" w:hAnsi="宋体"/>
                      <w:szCs w:val="21"/>
                    </w:rPr>
                  </w:pPr>
                  <w:r>
                    <w:rPr>
                      <w:rFonts w:ascii="宋体" w:hAnsi="宋体"/>
                      <w:szCs w:val="21"/>
                    </w:rPr>
                    <w:t>100</w:t>
                  </w:r>
                </w:p>
              </w:tc>
            </w:tr>
            <w:tr>
              <w:tblPrEx>
                <w:tblCellMar>
                  <w:top w:w="0" w:type="dxa"/>
                  <w:left w:w="108" w:type="dxa"/>
                  <w:bottom w:w="0" w:type="dxa"/>
                  <w:right w:w="108" w:type="dxa"/>
                </w:tblCellMar>
              </w:tblPrEx>
              <w:trPr>
                <w:cantSplit/>
                <w:trHeight w:val="354" w:hRule="atLeast"/>
                <w:jc w:val="center"/>
              </w:trPr>
              <w:tc>
                <w:tcPr>
                  <w:tcW w:w="1195" w:type="dxa"/>
                  <w:tcBorders>
                    <w:top w:val="single" w:color="auto" w:sz="4" w:space="0"/>
                    <w:left w:val="single" w:color="auto" w:sz="12" w:space="0"/>
                    <w:bottom w:val="single" w:color="auto" w:sz="4" w:space="0"/>
                    <w:right w:val="single" w:color="auto" w:sz="4" w:space="0"/>
                  </w:tcBorders>
                  <w:vAlign w:val="center"/>
                </w:tcPr>
                <w:p>
                  <w:pPr>
                    <w:jc w:val="center"/>
                    <w:rPr>
                      <w:rFonts w:ascii="宋体" w:hAnsi="宋体"/>
                      <w:szCs w:val="21"/>
                    </w:rPr>
                  </w:pPr>
                  <w:r>
                    <w:rPr>
                      <w:rFonts w:ascii="宋体" w:hAnsi="宋体"/>
                      <w:szCs w:val="21"/>
                    </w:rPr>
                    <w:t>卧  室</w:t>
                  </w:r>
                </w:p>
              </w:tc>
              <w:tc>
                <w:tcPr>
                  <w:tcW w:w="1487" w:type="dxa"/>
                  <w:vMerge w:val="continue"/>
                  <w:tcBorders>
                    <w:left w:val="single" w:color="auto" w:sz="4" w:space="0"/>
                    <w:right w:val="single" w:color="auto" w:sz="4" w:space="0"/>
                  </w:tcBorders>
                  <w:vAlign w:val="center"/>
                </w:tcPr>
                <w:p>
                  <w:pPr>
                    <w:jc w:val="center"/>
                    <w:rPr>
                      <w:rFonts w:ascii="宋体" w:hAnsi="宋体"/>
                      <w:szCs w:val="21"/>
                    </w:rPr>
                  </w:pPr>
                </w:p>
              </w:tc>
              <w:tc>
                <w:tcPr>
                  <w:tcW w:w="1161"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szCs w:val="21"/>
                    </w:rPr>
                  </w:pPr>
                  <w:r>
                    <w:rPr>
                      <w:rFonts w:ascii="宋体" w:hAnsi="宋体"/>
                      <w:szCs w:val="21"/>
                    </w:rPr>
                    <w:t>75</w:t>
                  </w:r>
                </w:p>
              </w:tc>
            </w:tr>
            <w:tr>
              <w:trPr>
                <w:cantSplit/>
                <w:trHeight w:val="354" w:hRule="atLeast"/>
                <w:jc w:val="center"/>
              </w:trPr>
              <w:tc>
                <w:tcPr>
                  <w:tcW w:w="1195" w:type="dxa"/>
                  <w:tcBorders>
                    <w:top w:val="single" w:color="auto" w:sz="4" w:space="0"/>
                    <w:left w:val="single" w:color="auto" w:sz="12" w:space="0"/>
                    <w:bottom w:val="single" w:color="auto" w:sz="4" w:space="0"/>
                    <w:right w:val="single" w:color="auto" w:sz="4" w:space="0"/>
                  </w:tcBorders>
                  <w:vAlign w:val="center"/>
                </w:tcPr>
                <w:p>
                  <w:pPr>
                    <w:jc w:val="center"/>
                    <w:rPr>
                      <w:rFonts w:ascii="宋体" w:hAnsi="宋体"/>
                      <w:szCs w:val="21"/>
                    </w:rPr>
                  </w:pPr>
                  <w:r>
                    <w:rPr>
                      <w:rFonts w:ascii="宋体" w:hAnsi="宋体"/>
                      <w:szCs w:val="21"/>
                    </w:rPr>
                    <w:t>餐  厅</w:t>
                  </w:r>
                </w:p>
              </w:tc>
              <w:tc>
                <w:tcPr>
                  <w:tcW w:w="1487" w:type="dxa"/>
                  <w:vMerge w:val="continue"/>
                  <w:tcBorders>
                    <w:left w:val="single" w:color="auto" w:sz="4" w:space="0"/>
                    <w:right w:val="single" w:color="auto" w:sz="4" w:space="0"/>
                  </w:tcBorders>
                  <w:vAlign w:val="center"/>
                </w:tcPr>
                <w:p>
                  <w:pPr>
                    <w:jc w:val="center"/>
                    <w:rPr>
                      <w:rFonts w:ascii="宋体" w:hAnsi="宋体"/>
                      <w:szCs w:val="21"/>
                    </w:rPr>
                  </w:pPr>
                </w:p>
              </w:tc>
              <w:tc>
                <w:tcPr>
                  <w:tcW w:w="1161"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szCs w:val="21"/>
                    </w:rPr>
                  </w:pPr>
                  <w:r>
                    <w:rPr>
                      <w:rFonts w:ascii="宋体" w:hAnsi="宋体"/>
                      <w:szCs w:val="21"/>
                    </w:rPr>
                    <w:t>150</w:t>
                  </w:r>
                </w:p>
              </w:tc>
            </w:tr>
            <w:tr>
              <w:tblPrEx>
                <w:tblCellMar>
                  <w:top w:w="0" w:type="dxa"/>
                  <w:left w:w="108" w:type="dxa"/>
                  <w:bottom w:w="0" w:type="dxa"/>
                  <w:right w:w="108" w:type="dxa"/>
                </w:tblCellMar>
              </w:tblPrEx>
              <w:trPr>
                <w:cantSplit/>
                <w:trHeight w:val="354" w:hRule="atLeast"/>
                <w:jc w:val="center"/>
              </w:trPr>
              <w:tc>
                <w:tcPr>
                  <w:tcW w:w="1195" w:type="dxa"/>
                  <w:tcBorders>
                    <w:top w:val="single" w:color="auto" w:sz="4" w:space="0"/>
                    <w:left w:val="single" w:color="auto" w:sz="12" w:space="0"/>
                    <w:bottom w:val="single" w:color="auto" w:sz="4" w:space="0"/>
                    <w:right w:val="single" w:color="auto" w:sz="4" w:space="0"/>
                  </w:tcBorders>
                  <w:vAlign w:val="center"/>
                </w:tcPr>
                <w:p>
                  <w:pPr>
                    <w:jc w:val="center"/>
                    <w:rPr>
                      <w:rFonts w:ascii="宋体" w:hAnsi="宋体"/>
                      <w:szCs w:val="21"/>
                    </w:rPr>
                  </w:pPr>
                  <w:r>
                    <w:rPr>
                      <w:rFonts w:ascii="宋体" w:hAnsi="宋体"/>
                      <w:szCs w:val="21"/>
                    </w:rPr>
                    <w:t>厨  房</w:t>
                  </w:r>
                </w:p>
              </w:tc>
              <w:tc>
                <w:tcPr>
                  <w:tcW w:w="1487" w:type="dxa"/>
                  <w:vMerge w:val="continue"/>
                  <w:tcBorders>
                    <w:left w:val="single" w:color="auto" w:sz="4" w:space="0"/>
                    <w:right w:val="single" w:color="auto" w:sz="4" w:space="0"/>
                  </w:tcBorders>
                  <w:vAlign w:val="center"/>
                </w:tcPr>
                <w:p>
                  <w:pPr>
                    <w:jc w:val="center"/>
                    <w:rPr>
                      <w:rFonts w:ascii="宋体" w:hAnsi="宋体"/>
                      <w:szCs w:val="21"/>
                    </w:rPr>
                  </w:pPr>
                </w:p>
              </w:tc>
              <w:tc>
                <w:tcPr>
                  <w:tcW w:w="1161"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szCs w:val="21"/>
                    </w:rPr>
                  </w:pPr>
                  <w:r>
                    <w:rPr>
                      <w:rFonts w:ascii="宋体" w:hAnsi="宋体"/>
                      <w:szCs w:val="21"/>
                    </w:rPr>
                    <w:t>100</w:t>
                  </w:r>
                </w:p>
              </w:tc>
            </w:tr>
            <w:tr>
              <w:tblPrEx>
                <w:tblCellMar>
                  <w:top w:w="0" w:type="dxa"/>
                  <w:left w:w="108" w:type="dxa"/>
                  <w:bottom w:w="0" w:type="dxa"/>
                  <w:right w:w="108" w:type="dxa"/>
                </w:tblCellMar>
              </w:tblPrEx>
              <w:trPr>
                <w:cantSplit/>
                <w:trHeight w:val="354" w:hRule="atLeast"/>
                <w:jc w:val="center"/>
              </w:trPr>
              <w:tc>
                <w:tcPr>
                  <w:tcW w:w="1195" w:type="dxa"/>
                  <w:tcBorders>
                    <w:top w:val="single" w:color="auto" w:sz="4" w:space="0"/>
                    <w:left w:val="single" w:color="auto" w:sz="12" w:space="0"/>
                    <w:bottom w:val="single" w:color="auto" w:sz="12" w:space="0"/>
                    <w:right w:val="single" w:color="auto" w:sz="4" w:space="0"/>
                  </w:tcBorders>
                  <w:vAlign w:val="center"/>
                </w:tcPr>
                <w:p>
                  <w:pPr>
                    <w:jc w:val="center"/>
                    <w:rPr>
                      <w:rFonts w:ascii="宋体" w:hAnsi="宋体"/>
                      <w:szCs w:val="21"/>
                      <w:lang w:bidi="en-US"/>
                    </w:rPr>
                  </w:pPr>
                  <w:r>
                    <w:rPr>
                      <w:rFonts w:ascii="宋体" w:hAnsi="宋体"/>
                      <w:szCs w:val="21"/>
                    </w:rPr>
                    <w:t>卫生间</w:t>
                  </w:r>
                </w:p>
              </w:tc>
              <w:tc>
                <w:tcPr>
                  <w:tcW w:w="1487" w:type="dxa"/>
                  <w:vMerge w:val="continue"/>
                  <w:tcBorders>
                    <w:left w:val="single" w:color="auto" w:sz="4" w:space="0"/>
                    <w:bottom w:val="single" w:color="auto" w:sz="12" w:space="0"/>
                    <w:right w:val="single" w:color="auto" w:sz="4" w:space="0"/>
                  </w:tcBorders>
                  <w:vAlign w:val="center"/>
                </w:tcPr>
                <w:p>
                  <w:pPr>
                    <w:autoSpaceDE w:val="0"/>
                    <w:autoSpaceDN w:val="0"/>
                    <w:jc w:val="center"/>
                    <w:rPr>
                      <w:rFonts w:ascii="宋体" w:hAnsi="宋体"/>
                      <w:szCs w:val="21"/>
                      <w:lang w:bidi="en-US"/>
                    </w:rPr>
                  </w:pPr>
                </w:p>
              </w:tc>
              <w:tc>
                <w:tcPr>
                  <w:tcW w:w="1161" w:type="dxa"/>
                  <w:tcBorders>
                    <w:top w:val="single" w:color="auto" w:sz="4" w:space="0"/>
                    <w:left w:val="single" w:color="auto" w:sz="4" w:space="0"/>
                    <w:bottom w:val="single" w:color="auto" w:sz="12" w:space="0"/>
                    <w:right w:val="single" w:color="auto" w:sz="12" w:space="0"/>
                  </w:tcBorders>
                  <w:vAlign w:val="center"/>
                </w:tcPr>
                <w:p>
                  <w:pPr>
                    <w:jc w:val="center"/>
                    <w:rPr>
                      <w:rFonts w:ascii="宋体" w:hAnsi="宋体"/>
                      <w:szCs w:val="21"/>
                      <w:lang w:bidi="en-US"/>
                    </w:rPr>
                  </w:pPr>
                  <w:r>
                    <w:rPr>
                      <w:rFonts w:ascii="宋体" w:hAnsi="宋体"/>
                      <w:szCs w:val="21"/>
                    </w:rPr>
                    <w:t>100</w:t>
                  </w:r>
                </w:p>
              </w:tc>
            </w:tr>
          </w:tbl>
          <w:p>
            <w:pPr>
              <w:autoSpaceDE w:val="0"/>
              <w:autoSpaceDN w:val="0"/>
              <w:adjustRightInd w:val="0"/>
              <w:spacing w:line="360" w:lineRule="auto"/>
              <w:rPr>
                <w:rFonts w:ascii="宋体" w:hAnsi="宋体"/>
                <w:sz w:val="24"/>
                <w:u w:val="single"/>
                <w:lang w:bidi="en-US"/>
              </w:rPr>
            </w:pPr>
          </w:p>
        </w:tc>
        <w:tc>
          <w:tcPr>
            <w:tcW w:w="4753" w:type="dxa"/>
          </w:tcPr>
          <w:p>
            <w:pPr>
              <w:autoSpaceDE w:val="0"/>
              <w:autoSpaceDN w:val="0"/>
              <w:adjustRightInd w:val="0"/>
              <w:spacing w:line="360" w:lineRule="auto"/>
              <w:rPr>
                <w:rFonts w:ascii="宋体" w:hAnsi="宋体"/>
                <w:bCs/>
                <w:color w:val="000000"/>
                <w:sz w:val="24"/>
                <w:u w:val="single"/>
              </w:rPr>
            </w:pPr>
            <w:r>
              <w:rPr>
                <w:rFonts w:ascii="宋体" w:hAnsi="宋体"/>
                <w:b/>
                <w:sz w:val="24"/>
                <w:lang w:bidi="en-US"/>
              </w:rPr>
              <w:t>7.0.1</w:t>
            </w:r>
            <w:r>
              <w:rPr>
                <w:rFonts w:hint="eastAsia" w:ascii="宋体" w:hAnsi="宋体"/>
                <w:sz w:val="24"/>
                <w:lang w:bidi="en-US"/>
              </w:rPr>
              <w:t xml:space="preserve"> </w:t>
            </w:r>
            <w:r>
              <w:rPr>
                <w:rFonts w:ascii="宋体" w:hAnsi="宋体"/>
                <w:sz w:val="32"/>
                <w:lang w:bidi="en-US"/>
              </w:rPr>
              <w:t xml:space="preserve"> </w:t>
            </w:r>
            <w:r>
              <w:rPr>
                <w:sz w:val="24"/>
                <w:szCs w:val="21"/>
                <w:lang w:bidi="en-US"/>
              </w:rPr>
              <w:t>农村居住建筑每户照明功率密度值</w:t>
            </w:r>
            <w:r>
              <w:rPr>
                <w:sz w:val="24"/>
                <w:szCs w:val="21"/>
                <w:bdr w:val="single" w:color="auto" w:sz="4" w:space="0"/>
                <w:lang w:bidi="en-US"/>
              </w:rPr>
              <w:t>不宜大于</w:t>
            </w:r>
            <w:r>
              <w:rPr>
                <w:rFonts w:hint="eastAsia"/>
                <w:sz w:val="24"/>
                <w:szCs w:val="21"/>
                <w:u w:val="single"/>
                <w:lang w:bidi="en-US"/>
              </w:rPr>
              <w:t>宜符合</w:t>
            </w:r>
            <w:r>
              <w:rPr>
                <w:sz w:val="24"/>
                <w:szCs w:val="21"/>
                <w:lang w:bidi="en-US"/>
              </w:rPr>
              <w:t>表7.0.1的规定。当房间的照度值高于或低于表7.0.1规定的照度</w:t>
            </w:r>
            <w:r>
              <w:rPr>
                <w:bCs/>
                <w:sz w:val="24"/>
                <w:szCs w:val="21"/>
                <w:u w:val="single"/>
              </w:rPr>
              <w:t>标准值一级</w:t>
            </w:r>
            <w:r>
              <w:rPr>
                <w:sz w:val="24"/>
                <w:szCs w:val="21"/>
                <w:lang w:bidi="en-US"/>
              </w:rPr>
              <w:t>时，其照明功率密度值应按比例提高或折减</w:t>
            </w:r>
            <w:r>
              <w:rPr>
                <w:sz w:val="24"/>
                <w:szCs w:val="21"/>
                <w:bdr w:val="single" w:color="auto" w:sz="4" w:space="0"/>
                <w:lang w:bidi="en-US"/>
              </w:rPr>
              <w:t>。</w:t>
            </w:r>
            <w:r>
              <w:rPr>
                <w:rFonts w:hint="eastAsia"/>
                <w:sz w:val="24"/>
                <w:szCs w:val="21"/>
                <w:u w:val="single"/>
                <w:lang w:bidi="en-US"/>
              </w:rPr>
              <w:t>；</w:t>
            </w:r>
            <w:r>
              <w:rPr>
                <w:bCs/>
                <w:sz w:val="24"/>
                <w:szCs w:val="21"/>
                <w:u w:val="single"/>
              </w:rPr>
              <w:t>当房间或空间的室形指数值等于或小于1时，其照明功率密度可增加，但增加值不应超过限制的20%。</w:t>
            </w:r>
          </w:p>
          <w:p>
            <w:pPr>
              <w:autoSpaceDE w:val="0"/>
              <w:autoSpaceDN w:val="0"/>
              <w:adjustRightInd w:val="0"/>
              <w:spacing w:line="360" w:lineRule="auto"/>
              <w:jc w:val="center"/>
              <w:rPr>
                <w:rFonts w:ascii="宋体" w:hAnsi="宋体"/>
                <w:b/>
                <w:bCs/>
                <w:sz w:val="24"/>
              </w:rPr>
            </w:pPr>
            <w:r>
              <w:rPr>
                <w:rFonts w:ascii="宋体" w:hAnsi="宋体"/>
                <w:b/>
                <w:bCs/>
                <w:sz w:val="24"/>
              </w:rPr>
              <w:t>表7.0.1  每户照明功率密度值</w:t>
            </w:r>
          </w:p>
          <w:tbl>
            <w:tblPr>
              <w:tblStyle w:val="17"/>
              <w:tblW w:w="3941" w:type="dxa"/>
              <w:jc w:val="center"/>
              <w:tblLayout w:type="fixed"/>
              <w:tblCellMar>
                <w:top w:w="0" w:type="dxa"/>
                <w:left w:w="108" w:type="dxa"/>
                <w:bottom w:w="0" w:type="dxa"/>
                <w:right w:w="108" w:type="dxa"/>
              </w:tblCellMar>
            </w:tblPr>
            <w:tblGrid>
              <w:gridCol w:w="1102"/>
              <w:gridCol w:w="1081"/>
              <w:gridCol w:w="917"/>
              <w:gridCol w:w="841"/>
            </w:tblGrid>
            <w:tr>
              <w:tblPrEx>
                <w:tblCellMar>
                  <w:top w:w="0" w:type="dxa"/>
                  <w:left w:w="108" w:type="dxa"/>
                  <w:bottom w:w="0" w:type="dxa"/>
                  <w:right w:w="108" w:type="dxa"/>
                </w:tblCellMar>
              </w:tblPrEx>
              <w:trPr>
                <w:cantSplit/>
                <w:trHeight w:val="293" w:hRule="atLeast"/>
                <w:jc w:val="center"/>
              </w:trPr>
              <w:tc>
                <w:tcPr>
                  <w:tcW w:w="1102" w:type="dxa"/>
                  <w:vMerge w:val="restart"/>
                  <w:tcBorders>
                    <w:top w:val="single" w:color="auto" w:sz="12" w:space="0"/>
                    <w:left w:val="single" w:color="auto" w:sz="12" w:space="0"/>
                    <w:right w:val="single" w:color="auto" w:sz="4" w:space="0"/>
                  </w:tcBorders>
                  <w:vAlign w:val="center"/>
                </w:tcPr>
                <w:p>
                  <w:pPr>
                    <w:jc w:val="center"/>
                    <w:rPr>
                      <w:rFonts w:ascii="宋体" w:hAnsi="宋体"/>
                      <w:color w:val="000000"/>
                      <w:szCs w:val="21"/>
                      <w:u w:val="single"/>
                    </w:rPr>
                  </w:pPr>
                  <w:r>
                    <w:rPr>
                      <w:rFonts w:ascii="宋体" w:hAnsi="宋体"/>
                      <w:color w:val="000000"/>
                      <w:szCs w:val="21"/>
                      <w:u w:val="single"/>
                    </w:rPr>
                    <w:t>房间或场所</w:t>
                  </w:r>
                </w:p>
              </w:tc>
              <w:tc>
                <w:tcPr>
                  <w:tcW w:w="1081" w:type="dxa"/>
                  <w:vMerge w:val="restart"/>
                  <w:tcBorders>
                    <w:top w:val="single" w:color="auto" w:sz="12" w:space="0"/>
                    <w:left w:val="single" w:color="auto" w:sz="4" w:space="0"/>
                    <w:right w:val="single" w:color="auto" w:sz="4" w:space="0"/>
                  </w:tcBorders>
                  <w:vAlign w:val="center"/>
                </w:tcPr>
                <w:p>
                  <w:pPr>
                    <w:jc w:val="center"/>
                    <w:rPr>
                      <w:rFonts w:ascii="宋体" w:hAnsi="宋体"/>
                      <w:color w:val="000000"/>
                      <w:szCs w:val="21"/>
                      <w:u w:val="single"/>
                    </w:rPr>
                  </w:pPr>
                  <w:r>
                    <w:rPr>
                      <w:rFonts w:ascii="宋体" w:hAnsi="宋体"/>
                      <w:color w:val="000000"/>
                      <w:szCs w:val="21"/>
                      <w:u w:val="single"/>
                    </w:rPr>
                    <w:t>照度标准值[lx]</w:t>
                  </w:r>
                </w:p>
              </w:tc>
              <w:tc>
                <w:tcPr>
                  <w:tcW w:w="1758" w:type="dxa"/>
                  <w:gridSpan w:val="2"/>
                  <w:tcBorders>
                    <w:top w:val="single" w:color="auto" w:sz="12" w:space="0"/>
                    <w:left w:val="single" w:color="auto" w:sz="4" w:space="0"/>
                    <w:bottom w:val="single" w:color="000000" w:sz="4" w:space="0"/>
                    <w:right w:val="single" w:color="auto" w:sz="12" w:space="0"/>
                  </w:tcBorders>
                  <w:vAlign w:val="center"/>
                </w:tcPr>
                <w:p>
                  <w:pPr>
                    <w:jc w:val="center"/>
                    <w:rPr>
                      <w:rFonts w:ascii="宋体" w:hAnsi="宋体"/>
                      <w:color w:val="000000"/>
                      <w:szCs w:val="21"/>
                      <w:u w:val="single"/>
                    </w:rPr>
                  </w:pPr>
                  <w:r>
                    <w:rPr>
                      <w:rFonts w:ascii="宋体" w:hAnsi="宋体"/>
                      <w:color w:val="000000"/>
                      <w:szCs w:val="21"/>
                      <w:u w:val="single"/>
                    </w:rPr>
                    <w:t>照明功率密度[W/m</w:t>
                  </w:r>
                  <w:r>
                    <w:rPr>
                      <w:rFonts w:ascii="宋体" w:hAnsi="宋体"/>
                      <w:color w:val="000000"/>
                      <w:szCs w:val="21"/>
                      <w:u w:val="single"/>
                      <w:vertAlign w:val="superscript"/>
                    </w:rPr>
                    <w:t>2</w:t>
                  </w:r>
                  <w:r>
                    <w:rPr>
                      <w:rFonts w:ascii="宋体" w:hAnsi="宋体"/>
                      <w:color w:val="000000"/>
                      <w:szCs w:val="21"/>
                      <w:u w:val="single"/>
                    </w:rPr>
                    <w:t>]</w:t>
                  </w:r>
                </w:p>
              </w:tc>
            </w:tr>
            <w:tr>
              <w:tblPrEx>
                <w:tblCellMar>
                  <w:top w:w="0" w:type="dxa"/>
                  <w:left w:w="108" w:type="dxa"/>
                  <w:bottom w:w="0" w:type="dxa"/>
                  <w:right w:w="108" w:type="dxa"/>
                </w:tblCellMar>
              </w:tblPrEx>
              <w:trPr>
                <w:cantSplit/>
                <w:trHeight w:val="105" w:hRule="atLeast"/>
                <w:jc w:val="center"/>
              </w:trPr>
              <w:tc>
                <w:tcPr>
                  <w:tcW w:w="1102" w:type="dxa"/>
                  <w:vMerge w:val="continue"/>
                  <w:tcBorders>
                    <w:left w:val="single" w:color="auto" w:sz="12" w:space="0"/>
                    <w:bottom w:val="single" w:color="auto" w:sz="4" w:space="0"/>
                    <w:right w:val="single" w:color="auto" w:sz="4" w:space="0"/>
                  </w:tcBorders>
                  <w:vAlign w:val="center"/>
                </w:tcPr>
                <w:p>
                  <w:pPr>
                    <w:jc w:val="center"/>
                    <w:rPr>
                      <w:rFonts w:ascii="宋体" w:hAnsi="宋体"/>
                      <w:color w:val="000000"/>
                      <w:szCs w:val="21"/>
                      <w:u w:val="single"/>
                    </w:rPr>
                  </w:pPr>
                </w:p>
              </w:tc>
              <w:tc>
                <w:tcPr>
                  <w:tcW w:w="1081" w:type="dxa"/>
                  <w:vMerge w:val="continue"/>
                  <w:tcBorders>
                    <w:left w:val="single" w:color="auto" w:sz="4" w:space="0"/>
                    <w:bottom w:val="single" w:color="auto" w:sz="4" w:space="0"/>
                    <w:right w:val="single" w:color="auto" w:sz="4" w:space="0"/>
                  </w:tcBorders>
                  <w:vAlign w:val="center"/>
                </w:tcPr>
                <w:p>
                  <w:pPr>
                    <w:jc w:val="center"/>
                    <w:rPr>
                      <w:rFonts w:ascii="宋体" w:hAnsi="宋体"/>
                      <w:color w:val="000000"/>
                      <w:szCs w:val="21"/>
                      <w:u w:val="single"/>
                    </w:rPr>
                  </w:pPr>
                </w:p>
              </w:tc>
              <w:tc>
                <w:tcPr>
                  <w:tcW w:w="917" w:type="dxa"/>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color w:val="000000"/>
                      <w:szCs w:val="21"/>
                      <w:u w:val="single"/>
                    </w:rPr>
                  </w:pPr>
                  <w:r>
                    <w:rPr>
                      <w:rFonts w:ascii="宋体" w:hAnsi="宋体"/>
                      <w:color w:val="000000"/>
                      <w:szCs w:val="21"/>
                      <w:u w:val="single"/>
                    </w:rPr>
                    <w:t>现行值</w:t>
                  </w:r>
                </w:p>
              </w:tc>
              <w:tc>
                <w:tcPr>
                  <w:tcW w:w="841" w:type="dxa"/>
                  <w:tcBorders>
                    <w:top w:val="single" w:color="000000" w:sz="4" w:space="0"/>
                    <w:left w:val="single" w:color="000000" w:sz="4" w:space="0"/>
                    <w:bottom w:val="single" w:color="auto" w:sz="4" w:space="0"/>
                    <w:right w:val="single" w:color="auto" w:sz="12" w:space="0"/>
                  </w:tcBorders>
                  <w:vAlign w:val="center"/>
                </w:tcPr>
                <w:p>
                  <w:pPr>
                    <w:jc w:val="center"/>
                    <w:rPr>
                      <w:rFonts w:ascii="宋体" w:hAnsi="宋体"/>
                      <w:color w:val="000000"/>
                      <w:szCs w:val="21"/>
                      <w:u w:val="single"/>
                    </w:rPr>
                  </w:pPr>
                  <w:r>
                    <w:rPr>
                      <w:rFonts w:ascii="宋体" w:hAnsi="宋体"/>
                      <w:color w:val="000000"/>
                      <w:szCs w:val="21"/>
                      <w:u w:val="single"/>
                    </w:rPr>
                    <w:t>目标值</w:t>
                  </w:r>
                </w:p>
              </w:tc>
            </w:tr>
            <w:tr>
              <w:tblPrEx>
                <w:tblCellMar>
                  <w:top w:w="0" w:type="dxa"/>
                  <w:left w:w="108" w:type="dxa"/>
                  <w:bottom w:w="0" w:type="dxa"/>
                  <w:right w:w="108" w:type="dxa"/>
                </w:tblCellMar>
              </w:tblPrEx>
              <w:trPr>
                <w:cantSplit/>
                <w:trHeight w:val="324" w:hRule="atLeast"/>
                <w:jc w:val="center"/>
              </w:trPr>
              <w:tc>
                <w:tcPr>
                  <w:tcW w:w="1102" w:type="dxa"/>
                  <w:tcBorders>
                    <w:top w:val="single" w:color="auto" w:sz="4" w:space="0"/>
                    <w:left w:val="single" w:color="auto" w:sz="12" w:space="0"/>
                    <w:bottom w:val="single" w:color="auto" w:sz="4" w:space="0"/>
                    <w:right w:val="single" w:color="auto" w:sz="4" w:space="0"/>
                  </w:tcBorders>
                  <w:vAlign w:val="center"/>
                </w:tcPr>
                <w:p>
                  <w:pPr>
                    <w:jc w:val="center"/>
                    <w:rPr>
                      <w:rFonts w:ascii="宋体" w:hAnsi="宋体"/>
                      <w:color w:val="000000"/>
                      <w:szCs w:val="21"/>
                      <w:u w:val="single"/>
                    </w:rPr>
                  </w:pPr>
                  <w:r>
                    <w:rPr>
                      <w:rFonts w:ascii="宋体" w:hAnsi="宋体"/>
                      <w:color w:val="000000"/>
                      <w:szCs w:val="21"/>
                      <w:u w:val="single"/>
                    </w:rPr>
                    <w:t>起居室</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u w:val="single"/>
                    </w:rPr>
                  </w:pPr>
                  <w:r>
                    <w:rPr>
                      <w:rFonts w:ascii="宋体" w:hAnsi="宋体"/>
                      <w:color w:val="000000"/>
                      <w:szCs w:val="21"/>
                      <w:u w:val="single"/>
                    </w:rPr>
                    <w:t>100</w:t>
                  </w:r>
                </w:p>
              </w:tc>
              <w:tc>
                <w:tcPr>
                  <w:tcW w:w="917" w:type="dxa"/>
                  <w:vMerge w:val="restart"/>
                  <w:tcBorders>
                    <w:top w:val="single" w:color="auto" w:sz="4" w:space="0"/>
                    <w:left w:val="single" w:color="auto" w:sz="4" w:space="0"/>
                    <w:right w:val="single" w:color="000000" w:sz="4" w:space="0"/>
                  </w:tcBorders>
                  <w:vAlign w:val="center"/>
                </w:tcPr>
                <w:p>
                  <w:pPr>
                    <w:jc w:val="center"/>
                    <w:rPr>
                      <w:rFonts w:ascii="宋体" w:hAnsi="宋体"/>
                      <w:color w:val="000000"/>
                      <w:szCs w:val="21"/>
                      <w:u w:val="single"/>
                    </w:rPr>
                  </w:pPr>
                  <w:r>
                    <w:rPr>
                      <w:rFonts w:ascii="宋体" w:hAnsi="宋体"/>
                      <w:szCs w:val="21"/>
                      <w:u w:val="single"/>
                    </w:rPr>
                    <w:t>≤5.0</w:t>
                  </w:r>
                </w:p>
              </w:tc>
              <w:tc>
                <w:tcPr>
                  <w:tcW w:w="841" w:type="dxa"/>
                  <w:vMerge w:val="restart"/>
                  <w:tcBorders>
                    <w:top w:val="single" w:color="auto" w:sz="4" w:space="0"/>
                    <w:left w:val="single" w:color="000000" w:sz="4" w:space="0"/>
                    <w:right w:val="single" w:color="auto" w:sz="12" w:space="0"/>
                  </w:tcBorders>
                  <w:vAlign w:val="center"/>
                </w:tcPr>
                <w:p>
                  <w:pPr>
                    <w:jc w:val="center"/>
                    <w:rPr>
                      <w:rFonts w:ascii="宋体" w:hAnsi="宋体"/>
                      <w:color w:val="000000"/>
                      <w:szCs w:val="21"/>
                      <w:u w:val="single"/>
                    </w:rPr>
                  </w:pPr>
                  <w:r>
                    <w:rPr>
                      <w:rFonts w:ascii="宋体" w:hAnsi="宋体"/>
                      <w:szCs w:val="21"/>
                      <w:u w:val="single"/>
                    </w:rPr>
                    <w:t>≤4.0</w:t>
                  </w:r>
                </w:p>
              </w:tc>
            </w:tr>
            <w:tr>
              <w:tblPrEx>
                <w:tblCellMar>
                  <w:top w:w="0" w:type="dxa"/>
                  <w:left w:w="108" w:type="dxa"/>
                  <w:bottom w:w="0" w:type="dxa"/>
                  <w:right w:w="108" w:type="dxa"/>
                </w:tblCellMar>
              </w:tblPrEx>
              <w:trPr>
                <w:cantSplit/>
                <w:trHeight w:val="324" w:hRule="atLeast"/>
                <w:jc w:val="center"/>
              </w:trPr>
              <w:tc>
                <w:tcPr>
                  <w:tcW w:w="1102" w:type="dxa"/>
                  <w:tcBorders>
                    <w:top w:val="single" w:color="auto" w:sz="4" w:space="0"/>
                    <w:left w:val="single" w:color="auto" w:sz="12" w:space="0"/>
                    <w:bottom w:val="single" w:color="auto" w:sz="4" w:space="0"/>
                    <w:right w:val="single" w:color="auto" w:sz="4" w:space="0"/>
                  </w:tcBorders>
                  <w:vAlign w:val="center"/>
                </w:tcPr>
                <w:p>
                  <w:pPr>
                    <w:jc w:val="center"/>
                    <w:rPr>
                      <w:rFonts w:ascii="宋体" w:hAnsi="宋体"/>
                      <w:color w:val="000000"/>
                      <w:szCs w:val="21"/>
                      <w:u w:val="single"/>
                    </w:rPr>
                  </w:pPr>
                  <w:r>
                    <w:rPr>
                      <w:rFonts w:ascii="宋体" w:hAnsi="宋体"/>
                      <w:color w:val="000000"/>
                      <w:szCs w:val="21"/>
                      <w:u w:val="single"/>
                    </w:rPr>
                    <w:t>卧  室</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u w:val="single"/>
                    </w:rPr>
                  </w:pPr>
                  <w:r>
                    <w:rPr>
                      <w:rFonts w:ascii="宋体" w:hAnsi="宋体"/>
                      <w:color w:val="000000"/>
                      <w:szCs w:val="21"/>
                      <w:u w:val="single"/>
                    </w:rPr>
                    <w:t>75</w:t>
                  </w:r>
                </w:p>
              </w:tc>
              <w:tc>
                <w:tcPr>
                  <w:tcW w:w="917" w:type="dxa"/>
                  <w:vMerge w:val="continue"/>
                  <w:tcBorders>
                    <w:left w:val="single" w:color="auto" w:sz="4" w:space="0"/>
                    <w:right w:val="single" w:color="000000" w:sz="4" w:space="0"/>
                  </w:tcBorders>
                  <w:vAlign w:val="center"/>
                </w:tcPr>
                <w:p>
                  <w:pPr>
                    <w:jc w:val="center"/>
                    <w:rPr>
                      <w:rFonts w:ascii="宋体" w:hAnsi="宋体"/>
                      <w:color w:val="000000"/>
                      <w:szCs w:val="21"/>
                      <w:u w:val="single"/>
                    </w:rPr>
                  </w:pPr>
                </w:p>
              </w:tc>
              <w:tc>
                <w:tcPr>
                  <w:tcW w:w="841" w:type="dxa"/>
                  <w:vMerge w:val="continue"/>
                  <w:tcBorders>
                    <w:left w:val="single" w:color="000000" w:sz="4" w:space="0"/>
                    <w:right w:val="single" w:color="auto" w:sz="12" w:space="0"/>
                  </w:tcBorders>
                  <w:vAlign w:val="center"/>
                </w:tcPr>
                <w:p>
                  <w:pPr>
                    <w:jc w:val="center"/>
                    <w:rPr>
                      <w:rFonts w:ascii="宋体" w:hAnsi="宋体"/>
                      <w:color w:val="000000"/>
                      <w:szCs w:val="21"/>
                      <w:u w:val="single"/>
                    </w:rPr>
                  </w:pPr>
                </w:p>
              </w:tc>
            </w:tr>
            <w:tr>
              <w:tblPrEx>
                <w:tblCellMar>
                  <w:top w:w="0" w:type="dxa"/>
                  <w:left w:w="108" w:type="dxa"/>
                  <w:bottom w:w="0" w:type="dxa"/>
                  <w:right w:w="108" w:type="dxa"/>
                </w:tblCellMar>
              </w:tblPrEx>
              <w:trPr>
                <w:cantSplit/>
                <w:trHeight w:val="324" w:hRule="atLeast"/>
                <w:jc w:val="center"/>
              </w:trPr>
              <w:tc>
                <w:tcPr>
                  <w:tcW w:w="1102" w:type="dxa"/>
                  <w:tcBorders>
                    <w:top w:val="single" w:color="auto" w:sz="4" w:space="0"/>
                    <w:left w:val="single" w:color="auto" w:sz="12" w:space="0"/>
                    <w:bottom w:val="single" w:color="auto" w:sz="4" w:space="0"/>
                    <w:right w:val="single" w:color="auto" w:sz="4" w:space="0"/>
                  </w:tcBorders>
                  <w:vAlign w:val="center"/>
                </w:tcPr>
                <w:p>
                  <w:pPr>
                    <w:jc w:val="center"/>
                    <w:rPr>
                      <w:rFonts w:ascii="宋体" w:hAnsi="宋体"/>
                      <w:color w:val="000000"/>
                      <w:szCs w:val="21"/>
                      <w:u w:val="single"/>
                    </w:rPr>
                  </w:pPr>
                  <w:r>
                    <w:rPr>
                      <w:rFonts w:ascii="宋体" w:hAnsi="宋体"/>
                      <w:color w:val="000000"/>
                      <w:szCs w:val="21"/>
                      <w:u w:val="single"/>
                    </w:rPr>
                    <w:t>餐  厅</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u w:val="single"/>
                    </w:rPr>
                  </w:pPr>
                  <w:r>
                    <w:rPr>
                      <w:rFonts w:ascii="宋体" w:hAnsi="宋体"/>
                      <w:color w:val="000000"/>
                      <w:szCs w:val="21"/>
                      <w:u w:val="single"/>
                    </w:rPr>
                    <w:t>150</w:t>
                  </w:r>
                </w:p>
              </w:tc>
              <w:tc>
                <w:tcPr>
                  <w:tcW w:w="917" w:type="dxa"/>
                  <w:vMerge w:val="continue"/>
                  <w:tcBorders>
                    <w:left w:val="single" w:color="auto" w:sz="4" w:space="0"/>
                    <w:right w:val="single" w:color="000000" w:sz="4" w:space="0"/>
                  </w:tcBorders>
                  <w:vAlign w:val="center"/>
                </w:tcPr>
                <w:p>
                  <w:pPr>
                    <w:jc w:val="center"/>
                    <w:rPr>
                      <w:rFonts w:ascii="宋体" w:hAnsi="宋体"/>
                      <w:color w:val="000000"/>
                      <w:szCs w:val="21"/>
                      <w:u w:val="single"/>
                    </w:rPr>
                  </w:pPr>
                </w:p>
              </w:tc>
              <w:tc>
                <w:tcPr>
                  <w:tcW w:w="841" w:type="dxa"/>
                  <w:vMerge w:val="continue"/>
                  <w:tcBorders>
                    <w:left w:val="single" w:color="000000" w:sz="4" w:space="0"/>
                    <w:right w:val="single" w:color="auto" w:sz="12" w:space="0"/>
                  </w:tcBorders>
                  <w:vAlign w:val="center"/>
                </w:tcPr>
                <w:p>
                  <w:pPr>
                    <w:jc w:val="center"/>
                    <w:rPr>
                      <w:rFonts w:ascii="宋体" w:hAnsi="宋体"/>
                      <w:color w:val="000000"/>
                      <w:szCs w:val="21"/>
                      <w:u w:val="single"/>
                    </w:rPr>
                  </w:pPr>
                </w:p>
              </w:tc>
            </w:tr>
            <w:tr>
              <w:tblPrEx>
                <w:tblCellMar>
                  <w:top w:w="0" w:type="dxa"/>
                  <w:left w:w="108" w:type="dxa"/>
                  <w:bottom w:w="0" w:type="dxa"/>
                  <w:right w:w="108" w:type="dxa"/>
                </w:tblCellMar>
              </w:tblPrEx>
              <w:trPr>
                <w:cantSplit/>
                <w:trHeight w:val="324" w:hRule="atLeast"/>
                <w:jc w:val="center"/>
              </w:trPr>
              <w:tc>
                <w:tcPr>
                  <w:tcW w:w="1102" w:type="dxa"/>
                  <w:tcBorders>
                    <w:top w:val="single" w:color="auto" w:sz="4" w:space="0"/>
                    <w:left w:val="single" w:color="auto" w:sz="12" w:space="0"/>
                    <w:bottom w:val="single" w:color="auto" w:sz="4" w:space="0"/>
                    <w:right w:val="single" w:color="auto" w:sz="4" w:space="0"/>
                  </w:tcBorders>
                  <w:vAlign w:val="center"/>
                </w:tcPr>
                <w:p>
                  <w:pPr>
                    <w:jc w:val="center"/>
                    <w:rPr>
                      <w:rFonts w:ascii="宋体" w:hAnsi="宋体"/>
                      <w:color w:val="000000"/>
                      <w:szCs w:val="21"/>
                      <w:u w:val="single"/>
                    </w:rPr>
                  </w:pPr>
                  <w:r>
                    <w:rPr>
                      <w:rFonts w:ascii="宋体" w:hAnsi="宋体"/>
                      <w:color w:val="000000"/>
                      <w:szCs w:val="21"/>
                      <w:u w:val="single"/>
                    </w:rPr>
                    <w:t>厨  房</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Cs w:val="21"/>
                      <w:u w:val="single"/>
                    </w:rPr>
                  </w:pPr>
                  <w:r>
                    <w:rPr>
                      <w:rFonts w:ascii="宋体" w:hAnsi="宋体"/>
                      <w:color w:val="000000"/>
                      <w:szCs w:val="21"/>
                      <w:u w:val="single"/>
                    </w:rPr>
                    <w:t>100</w:t>
                  </w:r>
                </w:p>
              </w:tc>
              <w:tc>
                <w:tcPr>
                  <w:tcW w:w="917" w:type="dxa"/>
                  <w:vMerge w:val="continue"/>
                  <w:tcBorders>
                    <w:left w:val="single" w:color="auto" w:sz="4" w:space="0"/>
                    <w:right w:val="single" w:color="000000" w:sz="4" w:space="0"/>
                  </w:tcBorders>
                  <w:vAlign w:val="center"/>
                </w:tcPr>
                <w:p>
                  <w:pPr>
                    <w:jc w:val="center"/>
                    <w:rPr>
                      <w:rFonts w:ascii="宋体" w:hAnsi="宋体"/>
                      <w:color w:val="000000"/>
                      <w:szCs w:val="21"/>
                      <w:u w:val="single"/>
                    </w:rPr>
                  </w:pPr>
                </w:p>
              </w:tc>
              <w:tc>
                <w:tcPr>
                  <w:tcW w:w="841" w:type="dxa"/>
                  <w:vMerge w:val="continue"/>
                  <w:tcBorders>
                    <w:left w:val="single" w:color="000000" w:sz="4" w:space="0"/>
                    <w:right w:val="single" w:color="auto" w:sz="12" w:space="0"/>
                  </w:tcBorders>
                  <w:vAlign w:val="center"/>
                </w:tcPr>
                <w:p>
                  <w:pPr>
                    <w:jc w:val="center"/>
                    <w:rPr>
                      <w:rFonts w:ascii="宋体" w:hAnsi="宋体"/>
                      <w:color w:val="000000"/>
                      <w:szCs w:val="21"/>
                      <w:u w:val="single"/>
                    </w:rPr>
                  </w:pPr>
                </w:p>
              </w:tc>
            </w:tr>
            <w:tr>
              <w:tblPrEx>
                <w:tblCellMar>
                  <w:top w:w="0" w:type="dxa"/>
                  <w:left w:w="108" w:type="dxa"/>
                  <w:bottom w:w="0" w:type="dxa"/>
                  <w:right w:w="108" w:type="dxa"/>
                </w:tblCellMar>
              </w:tblPrEx>
              <w:trPr>
                <w:cantSplit/>
                <w:trHeight w:val="324" w:hRule="atLeast"/>
                <w:jc w:val="center"/>
              </w:trPr>
              <w:tc>
                <w:tcPr>
                  <w:tcW w:w="1102" w:type="dxa"/>
                  <w:tcBorders>
                    <w:top w:val="single" w:color="auto" w:sz="4" w:space="0"/>
                    <w:left w:val="single" w:color="auto" w:sz="12" w:space="0"/>
                    <w:bottom w:val="single" w:color="auto" w:sz="12" w:space="0"/>
                    <w:right w:val="single" w:color="auto" w:sz="4" w:space="0"/>
                  </w:tcBorders>
                  <w:vAlign w:val="center"/>
                </w:tcPr>
                <w:p>
                  <w:pPr>
                    <w:jc w:val="center"/>
                    <w:rPr>
                      <w:rFonts w:ascii="宋体" w:hAnsi="宋体"/>
                      <w:color w:val="000000"/>
                      <w:szCs w:val="21"/>
                      <w:u w:val="single"/>
                      <w:lang w:bidi="en-US"/>
                    </w:rPr>
                  </w:pPr>
                  <w:r>
                    <w:rPr>
                      <w:rFonts w:ascii="宋体" w:hAnsi="宋体"/>
                      <w:color w:val="000000"/>
                      <w:szCs w:val="21"/>
                      <w:u w:val="single"/>
                    </w:rPr>
                    <w:t>卫生间</w:t>
                  </w:r>
                </w:p>
              </w:tc>
              <w:tc>
                <w:tcPr>
                  <w:tcW w:w="1081" w:type="dxa"/>
                  <w:tcBorders>
                    <w:top w:val="single" w:color="auto" w:sz="4" w:space="0"/>
                    <w:left w:val="single" w:color="auto" w:sz="4" w:space="0"/>
                    <w:bottom w:val="single" w:color="auto" w:sz="12" w:space="0"/>
                    <w:right w:val="single" w:color="auto" w:sz="4" w:space="0"/>
                  </w:tcBorders>
                  <w:vAlign w:val="center"/>
                </w:tcPr>
                <w:p>
                  <w:pPr>
                    <w:jc w:val="center"/>
                    <w:rPr>
                      <w:rFonts w:ascii="宋体" w:hAnsi="宋体"/>
                      <w:color w:val="000000"/>
                      <w:szCs w:val="21"/>
                      <w:u w:val="single"/>
                      <w:lang w:bidi="en-US"/>
                    </w:rPr>
                  </w:pPr>
                  <w:r>
                    <w:rPr>
                      <w:rFonts w:ascii="宋体" w:hAnsi="宋体"/>
                      <w:color w:val="000000"/>
                      <w:szCs w:val="21"/>
                      <w:u w:val="single"/>
                    </w:rPr>
                    <w:t>100</w:t>
                  </w:r>
                </w:p>
              </w:tc>
              <w:tc>
                <w:tcPr>
                  <w:tcW w:w="917" w:type="dxa"/>
                  <w:vMerge w:val="continue"/>
                  <w:tcBorders>
                    <w:left w:val="single" w:color="auto" w:sz="4" w:space="0"/>
                    <w:bottom w:val="single" w:color="auto" w:sz="12" w:space="0"/>
                    <w:right w:val="single" w:color="000000" w:sz="4" w:space="0"/>
                  </w:tcBorders>
                  <w:vAlign w:val="center"/>
                </w:tcPr>
                <w:p>
                  <w:pPr>
                    <w:jc w:val="center"/>
                    <w:rPr>
                      <w:rFonts w:ascii="宋体" w:hAnsi="宋体"/>
                      <w:color w:val="000000"/>
                      <w:szCs w:val="21"/>
                      <w:u w:val="single"/>
                    </w:rPr>
                  </w:pPr>
                </w:p>
              </w:tc>
              <w:tc>
                <w:tcPr>
                  <w:tcW w:w="841" w:type="dxa"/>
                  <w:vMerge w:val="continue"/>
                  <w:tcBorders>
                    <w:left w:val="single" w:color="000000" w:sz="4" w:space="0"/>
                    <w:bottom w:val="single" w:color="auto" w:sz="12" w:space="0"/>
                    <w:right w:val="single" w:color="auto" w:sz="12" w:space="0"/>
                  </w:tcBorders>
                  <w:vAlign w:val="center"/>
                </w:tcPr>
                <w:p>
                  <w:pPr>
                    <w:jc w:val="center"/>
                    <w:rPr>
                      <w:rFonts w:ascii="宋体" w:hAnsi="宋体"/>
                      <w:color w:val="000000"/>
                      <w:szCs w:val="21"/>
                      <w:u w:val="single"/>
                    </w:rPr>
                  </w:pPr>
                </w:p>
              </w:tc>
            </w:tr>
          </w:tbl>
          <w:p>
            <w:pPr>
              <w:autoSpaceDE w:val="0"/>
              <w:autoSpaceDN w:val="0"/>
              <w:adjustRightInd w:val="0"/>
              <w:spacing w:line="360" w:lineRule="auto"/>
              <w:jc w:val="center"/>
              <w:rPr>
                <w:rFonts w:ascii="宋体" w:hAnsi="宋体"/>
                <w:sz w:val="24"/>
                <w:u w:val="single"/>
                <w:lang w:bidi="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sz w:val="24"/>
                <w:lang w:bidi="en-US"/>
              </w:rPr>
            </w:pPr>
            <w:r>
              <w:rPr>
                <w:rFonts w:ascii="宋体" w:hAnsi="宋体"/>
                <w:b/>
                <w:sz w:val="24"/>
                <w:lang w:bidi="en-US"/>
              </w:rPr>
              <w:t>7.0.2</w:t>
            </w:r>
            <w:r>
              <w:rPr>
                <w:rFonts w:ascii="宋体" w:hAnsi="宋体"/>
                <w:sz w:val="24"/>
                <w:lang w:bidi="en-US"/>
              </w:rPr>
              <w:t xml:space="preserve">  农村居住建筑应选用节能高效光源、高效灯具及其电器附件。</w:t>
            </w:r>
          </w:p>
          <w:p>
            <w:pPr>
              <w:autoSpaceDE w:val="0"/>
              <w:autoSpaceDN w:val="0"/>
              <w:adjustRightInd w:val="0"/>
              <w:spacing w:line="360" w:lineRule="auto"/>
              <w:rPr>
                <w:rFonts w:ascii="宋体" w:hAnsi="宋体"/>
                <w:sz w:val="24"/>
              </w:rPr>
            </w:pPr>
          </w:p>
        </w:tc>
        <w:tc>
          <w:tcPr>
            <w:tcW w:w="4753" w:type="dxa"/>
          </w:tcPr>
          <w:p>
            <w:pPr>
              <w:autoSpaceDE w:val="0"/>
              <w:autoSpaceDN w:val="0"/>
              <w:adjustRightInd w:val="0"/>
              <w:spacing w:line="360" w:lineRule="auto"/>
              <w:rPr>
                <w:rFonts w:ascii="宋体" w:hAnsi="宋体"/>
                <w:sz w:val="24"/>
                <w:lang w:bidi="en-US"/>
              </w:rPr>
            </w:pPr>
            <w:r>
              <w:rPr>
                <w:rFonts w:ascii="宋体" w:hAnsi="宋体"/>
                <w:b/>
                <w:sz w:val="24"/>
                <w:lang w:bidi="en-US"/>
              </w:rPr>
              <w:t>7.0.2</w:t>
            </w:r>
            <w:r>
              <w:rPr>
                <w:rFonts w:ascii="宋体" w:hAnsi="宋体"/>
                <w:sz w:val="24"/>
                <w:lang w:bidi="en-US"/>
              </w:rPr>
              <w:t xml:space="preserve">  农村居住建筑应选用节能高效光源、高效灯具及其电器附件。</w:t>
            </w:r>
            <w:r>
              <w:rPr>
                <w:rFonts w:ascii="宋体" w:hAnsi="宋体"/>
                <w:bCs/>
                <w:color w:val="000000"/>
                <w:sz w:val="24"/>
                <w:u w:val="single"/>
                <w:lang w:bidi="en-US"/>
              </w:rPr>
              <w:t>用于农户长期活动或停留场所的一般照明的光源和灯具，一般显色指数不应小于80，LED光源与灯具特殊显色指数R</w:t>
            </w:r>
            <w:r>
              <w:rPr>
                <w:rFonts w:ascii="宋体" w:hAnsi="宋体"/>
                <w:bCs/>
                <w:color w:val="000000"/>
                <w:sz w:val="24"/>
                <w:u w:val="single"/>
                <w:vertAlign w:val="subscript"/>
                <w:lang w:bidi="en-US"/>
              </w:rPr>
              <w:t>9</w:t>
            </w:r>
            <w:r>
              <w:rPr>
                <w:rFonts w:ascii="宋体" w:hAnsi="宋体"/>
                <w:bCs/>
                <w:color w:val="000000"/>
                <w:sz w:val="24"/>
                <w:u w:val="single"/>
                <w:lang w:bidi="en-US"/>
              </w:rPr>
              <w:t>应大于0，色温不宜高于4000K，光源色容差不应大于5SDCM。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color w:val="000000"/>
                <w:sz w:val="24"/>
                <w:u w:val="single"/>
                <w:lang w:bidi="en-US"/>
              </w:rPr>
            </w:pPr>
            <w:r>
              <w:rPr>
                <w:rFonts w:ascii="宋体" w:hAnsi="宋体"/>
                <w:b/>
                <w:color w:val="000000"/>
                <w:sz w:val="24"/>
                <w:u w:val="single"/>
                <w:lang w:bidi="en-US"/>
              </w:rPr>
              <w:t>7.0.2A</w:t>
            </w:r>
            <w:r>
              <w:rPr>
                <w:rFonts w:ascii="宋体" w:hAnsi="宋体"/>
                <w:color w:val="000000"/>
                <w:sz w:val="24"/>
                <w:u w:val="single"/>
                <w:lang w:bidi="en-US"/>
              </w:rPr>
              <w:t xml:space="preserve">  农村居住建筑应选用节能高效光源和灯具，宜选用LED光源和LED灯具。照明光源、灯具、镇流器或驱动电源、LED控制模块控制装置及配电变压器的能效等级不应低于国家现行相关能效标准的节能评价值或2级。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color w:val="000000"/>
                <w:sz w:val="24"/>
                <w:u w:val="single"/>
                <w:lang w:bidi="en-US"/>
              </w:rPr>
            </w:pPr>
            <w:r>
              <w:rPr>
                <w:rFonts w:ascii="宋体" w:hAnsi="宋体"/>
                <w:b/>
                <w:sz w:val="24"/>
                <w:lang w:bidi="en-US"/>
              </w:rPr>
              <w:t>7.0.3</w:t>
            </w:r>
            <w:r>
              <w:rPr>
                <w:rFonts w:ascii="宋体" w:hAnsi="宋体"/>
                <w:sz w:val="24"/>
                <w:lang w:bidi="en-US"/>
              </w:rPr>
              <w:t xml:space="preserve">  农村居住建筑的楼梯间、走道等部位宜采用双控或多控开关。</w:t>
            </w:r>
          </w:p>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color w:val="000000"/>
                <w:sz w:val="24"/>
                <w:u w:val="single"/>
                <w:lang w:bidi="en-US"/>
              </w:rPr>
            </w:pPr>
            <w:r>
              <w:rPr>
                <w:rFonts w:ascii="宋体" w:hAnsi="宋体"/>
                <w:b/>
                <w:sz w:val="24"/>
                <w:lang w:bidi="en-US"/>
              </w:rPr>
              <w:t>7.0.3</w:t>
            </w:r>
            <w:r>
              <w:rPr>
                <w:rFonts w:ascii="宋体" w:hAnsi="宋体"/>
                <w:sz w:val="24"/>
                <w:lang w:bidi="en-US"/>
              </w:rPr>
              <w:t xml:space="preserve">  农村居住建筑的楼梯间、走道等部位宜采用双控或多控开关</w:t>
            </w:r>
            <w:r>
              <w:rPr>
                <w:rFonts w:ascii="宋体" w:hAnsi="宋体"/>
                <w:sz w:val="24"/>
                <w:bdr w:val="single" w:color="auto" w:sz="4" w:space="0"/>
                <w:lang w:bidi="en-US"/>
              </w:rPr>
              <w:t>。</w:t>
            </w:r>
            <w:r>
              <w:rPr>
                <w:rFonts w:hint="eastAsia" w:ascii="宋体" w:hAnsi="宋体"/>
                <w:sz w:val="24"/>
                <w:u w:val="single"/>
                <w:lang w:bidi="en-US"/>
              </w:rPr>
              <w:t>；</w:t>
            </w:r>
            <w:r>
              <w:rPr>
                <w:rFonts w:ascii="宋体" w:hAnsi="宋体"/>
                <w:color w:val="000000"/>
                <w:sz w:val="24"/>
                <w:u w:val="single"/>
                <w:lang w:bidi="en-US"/>
              </w:rPr>
              <w:t>有条件时，宜能够根据照明需求进行节能控制，采取调光或降低照度的自动控制措施。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sz w:val="24"/>
                <w:lang w:bidi="en-US"/>
              </w:rPr>
            </w:pPr>
            <w:r>
              <w:rPr>
                <w:rFonts w:ascii="宋体" w:hAnsi="宋体"/>
                <w:b/>
                <w:sz w:val="24"/>
                <w:lang w:bidi="en-US"/>
              </w:rPr>
              <w:t>7.0.4</w:t>
            </w:r>
            <w:r>
              <w:rPr>
                <w:rFonts w:ascii="宋体" w:hAnsi="宋体"/>
                <w:sz w:val="24"/>
                <w:lang w:bidi="en-US"/>
              </w:rPr>
              <w:t xml:space="preserve">  农村居住建筑应按户设置生活电能计量装置</w:t>
            </w:r>
            <w:r>
              <w:rPr>
                <w:rFonts w:hint="eastAsia" w:ascii="宋体" w:hAnsi="宋体"/>
                <w:sz w:val="24"/>
                <w:lang w:bidi="en-US"/>
              </w:rPr>
              <w:t>，</w:t>
            </w:r>
            <w:r>
              <w:rPr>
                <w:rFonts w:ascii="宋体" w:hAnsi="宋体"/>
                <w:sz w:val="24"/>
                <w:lang w:bidi="en-US"/>
              </w:rPr>
              <w:t>电能计量装置的选取应根据家庭生活用电负荷确定。</w:t>
            </w:r>
          </w:p>
        </w:tc>
        <w:tc>
          <w:tcPr>
            <w:tcW w:w="4753" w:type="dxa"/>
          </w:tcPr>
          <w:p>
            <w:pPr>
              <w:autoSpaceDE w:val="0"/>
              <w:autoSpaceDN w:val="0"/>
              <w:adjustRightInd w:val="0"/>
              <w:spacing w:line="360" w:lineRule="auto"/>
              <w:rPr>
                <w:rFonts w:ascii="宋体" w:hAnsi="宋体"/>
                <w:sz w:val="24"/>
                <w:lang w:bidi="en-US"/>
              </w:rPr>
            </w:pPr>
            <w:r>
              <w:rPr>
                <w:rFonts w:ascii="宋体" w:hAnsi="宋体"/>
                <w:b/>
                <w:sz w:val="24"/>
                <w:lang w:bidi="en-US"/>
              </w:rPr>
              <w:t>7.0.4</w:t>
            </w:r>
            <w:r>
              <w:rPr>
                <w:rFonts w:ascii="宋体" w:hAnsi="宋体"/>
                <w:sz w:val="24"/>
                <w:lang w:bidi="en-US"/>
              </w:rPr>
              <w:t xml:space="preserve">  农村居住建筑应按户设置生活电能计量装置</w:t>
            </w:r>
            <w:r>
              <w:rPr>
                <w:rFonts w:ascii="宋体" w:hAnsi="宋体"/>
                <w:color w:val="000000"/>
                <w:sz w:val="24"/>
                <w:u w:val="single"/>
                <w:lang w:bidi="en-US"/>
              </w:rPr>
              <w:t>和考核照明用电量，</w:t>
            </w:r>
            <w:r>
              <w:rPr>
                <w:rFonts w:ascii="宋体" w:hAnsi="宋体"/>
                <w:sz w:val="24"/>
                <w:lang w:bidi="en-US"/>
              </w:rPr>
              <w:t>电能计量装置的选取</w:t>
            </w:r>
            <w:r>
              <w:rPr>
                <w:rFonts w:ascii="宋体" w:hAnsi="宋体"/>
                <w:color w:val="000000"/>
                <w:sz w:val="24"/>
                <w:u w:val="single"/>
                <w:lang w:bidi="en-US"/>
              </w:rPr>
              <w:t>和照明智能控制系统的设计</w:t>
            </w:r>
            <w:r>
              <w:rPr>
                <w:rFonts w:ascii="宋体" w:hAnsi="宋体"/>
                <w:sz w:val="24"/>
                <w:lang w:bidi="en-US"/>
              </w:rPr>
              <w:t>应根据家庭生活用电负荷确定。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sz w:val="24"/>
                <w:u w:val="single"/>
                <w:lang w:bidi="en-US"/>
              </w:rPr>
            </w:pPr>
            <w:r>
              <w:rPr>
                <w:rFonts w:ascii="宋体" w:hAnsi="宋体"/>
                <w:b/>
                <w:sz w:val="24"/>
                <w:lang w:bidi="en-US"/>
              </w:rPr>
              <w:t xml:space="preserve">7.0.6 </w:t>
            </w:r>
            <w:r>
              <w:rPr>
                <w:rFonts w:ascii="宋体" w:hAnsi="宋体"/>
                <w:sz w:val="24"/>
                <w:lang w:bidi="en-US"/>
              </w:rPr>
              <w:t xml:space="preserve"> 无功功率补偿装置宜根据供配电系统的要求设置</w:t>
            </w:r>
            <w:r>
              <w:rPr>
                <w:rFonts w:hint="eastAsia" w:ascii="宋体" w:hAnsi="宋体"/>
                <w:sz w:val="24"/>
                <w:lang w:bidi="en-US"/>
              </w:rPr>
              <w:t>。</w:t>
            </w:r>
          </w:p>
          <w:p>
            <w:pPr>
              <w:spacing w:line="360" w:lineRule="auto"/>
              <w:jc w:val="center"/>
              <w:rPr>
                <w:rFonts w:ascii="宋体" w:hAnsi="宋体"/>
                <w:sz w:val="24"/>
              </w:rPr>
            </w:pPr>
          </w:p>
        </w:tc>
        <w:tc>
          <w:tcPr>
            <w:tcW w:w="4753" w:type="dxa"/>
          </w:tcPr>
          <w:p>
            <w:pPr>
              <w:autoSpaceDE w:val="0"/>
              <w:autoSpaceDN w:val="0"/>
              <w:adjustRightInd w:val="0"/>
              <w:spacing w:line="360" w:lineRule="auto"/>
              <w:rPr>
                <w:rFonts w:ascii="宋体" w:hAnsi="宋体"/>
                <w:sz w:val="24"/>
                <w:lang w:bidi="en-US"/>
              </w:rPr>
            </w:pPr>
            <w:r>
              <w:rPr>
                <w:rFonts w:ascii="宋体" w:hAnsi="宋体"/>
                <w:b/>
                <w:sz w:val="24"/>
                <w:lang w:bidi="en-US"/>
              </w:rPr>
              <w:t xml:space="preserve">7.0.6 </w:t>
            </w:r>
            <w:r>
              <w:rPr>
                <w:rFonts w:ascii="宋体" w:hAnsi="宋体"/>
                <w:sz w:val="24"/>
                <w:lang w:bidi="en-US"/>
              </w:rPr>
              <w:t xml:space="preserve"> 无功功率补偿装置宜根据供配电系统的要求设置</w:t>
            </w:r>
            <w:r>
              <w:rPr>
                <w:rFonts w:ascii="宋体" w:hAnsi="宋体"/>
                <w:sz w:val="24"/>
                <w:u w:val="single"/>
                <w:lang w:bidi="en-US"/>
              </w:rPr>
              <w:t>；LED光源和筒灯应符合表7.0.6的规定；LED线形灯具、LED平面灯具及LED高天棚灯具实测功率因数应不小于0.9；直管型荧光灯的功率因数应不低于0.9；紧凑型荧光灯应不低于0.55；金属卤化物灯功率因数应不低于0.85</w:t>
            </w:r>
            <w:r>
              <w:rPr>
                <w:rFonts w:ascii="宋体" w:hAnsi="宋体"/>
                <w:sz w:val="24"/>
                <w:lang w:bidi="en-US"/>
              </w:rPr>
              <w:t>。</w:t>
            </w:r>
          </w:p>
          <w:p>
            <w:pPr>
              <w:autoSpaceDE w:val="0"/>
              <w:autoSpaceDN w:val="0"/>
              <w:adjustRightInd w:val="0"/>
              <w:spacing w:line="360" w:lineRule="auto"/>
              <w:jc w:val="center"/>
              <w:rPr>
                <w:rFonts w:ascii="宋体" w:hAnsi="宋体"/>
                <w:b/>
                <w:bCs/>
                <w:sz w:val="24"/>
                <w:u w:val="single"/>
                <w:lang w:bidi="en-US"/>
              </w:rPr>
            </w:pPr>
            <w:r>
              <w:rPr>
                <w:rFonts w:ascii="宋体" w:hAnsi="宋体"/>
                <w:b/>
                <w:bCs/>
                <w:sz w:val="24"/>
                <w:u w:val="single"/>
                <w:lang w:bidi="en-US"/>
              </w:rPr>
              <w:t>表7.0.6 LED光源和筒灯的功率因数</w:t>
            </w:r>
          </w:p>
          <w:tbl>
            <w:tblPr>
              <w:tblStyle w:val="17"/>
              <w:tblW w:w="3242" w:type="dxa"/>
              <w:jc w:val="center"/>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1628"/>
              <w:gridCol w:w="1614"/>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71" w:hRule="atLeast"/>
                <w:jc w:val="center"/>
              </w:trPr>
              <w:tc>
                <w:tcPr>
                  <w:tcW w:w="1628"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rFonts w:ascii="宋体" w:hAnsi="宋体"/>
                      <w:kern w:val="0"/>
                      <w:szCs w:val="21"/>
                      <w:u w:val="single"/>
                    </w:rPr>
                  </w:pPr>
                  <w:r>
                    <w:rPr>
                      <w:rFonts w:ascii="宋体" w:hAnsi="宋体"/>
                      <w:kern w:val="0"/>
                      <w:szCs w:val="21"/>
                      <w:u w:val="single"/>
                    </w:rPr>
                    <w:t>实测功率（W）</w:t>
                  </w:r>
                </w:p>
              </w:tc>
              <w:tc>
                <w:tcPr>
                  <w:tcW w:w="1614"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rFonts w:ascii="宋体" w:hAnsi="宋体"/>
                      <w:kern w:val="0"/>
                      <w:szCs w:val="21"/>
                      <w:u w:val="single"/>
                    </w:rPr>
                  </w:pPr>
                  <w:r>
                    <w:rPr>
                      <w:rFonts w:ascii="宋体" w:hAnsi="宋体"/>
                      <w:kern w:val="0"/>
                      <w:szCs w:val="21"/>
                      <w:u w:val="single"/>
                    </w:rPr>
                    <w:t>功率因数</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82" w:hRule="atLeast"/>
                <w:jc w:val="center"/>
              </w:trPr>
              <w:tc>
                <w:tcPr>
                  <w:tcW w:w="1628"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rFonts w:ascii="宋体" w:hAnsi="宋体"/>
                      <w:kern w:val="0"/>
                      <w:szCs w:val="21"/>
                      <w:u w:val="single"/>
                    </w:rPr>
                  </w:pPr>
                  <w:r>
                    <w:rPr>
                      <w:rFonts w:ascii="宋体" w:hAnsi="宋体"/>
                      <w:kern w:val="0"/>
                      <w:szCs w:val="21"/>
                      <w:u w:val="single"/>
                    </w:rPr>
                    <w:t>≤5</w:t>
                  </w:r>
                </w:p>
              </w:tc>
              <w:tc>
                <w:tcPr>
                  <w:tcW w:w="1614"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rFonts w:ascii="宋体" w:hAnsi="宋体"/>
                      <w:kern w:val="0"/>
                      <w:szCs w:val="21"/>
                      <w:u w:val="single"/>
                    </w:rPr>
                  </w:pPr>
                  <w:r>
                    <w:rPr>
                      <w:rFonts w:ascii="宋体" w:hAnsi="宋体"/>
                      <w:kern w:val="0"/>
                      <w:szCs w:val="21"/>
                      <w:u w:val="single"/>
                    </w:rPr>
                    <w:t>≥0.5</w:t>
                  </w:r>
                </w:p>
              </w:tc>
            </w:tr>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trHeight w:val="82" w:hRule="atLeast"/>
                <w:jc w:val="center"/>
              </w:trPr>
              <w:tc>
                <w:tcPr>
                  <w:tcW w:w="1628"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rFonts w:ascii="宋体" w:hAnsi="宋体"/>
                      <w:kern w:val="0"/>
                      <w:szCs w:val="21"/>
                      <w:u w:val="single"/>
                    </w:rPr>
                  </w:pPr>
                  <w:r>
                    <w:rPr>
                      <w:rFonts w:ascii="宋体" w:hAnsi="宋体"/>
                      <w:kern w:val="0"/>
                      <w:szCs w:val="21"/>
                      <w:u w:val="single"/>
                    </w:rPr>
                    <w:t>＞5</w:t>
                  </w:r>
                </w:p>
              </w:tc>
              <w:tc>
                <w:tcPr>
                  <w:tcW w:w="1614"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jc w:val="center"/>
                    <w:rPr>
                      <w:rFonts w:ascii="宋体" w:hAnsi="宋体"/>
                      <w:kern w:val="0"/>
                      <w:szCs w:val="21"/>
                      <w:u w:val="single"/>
                    </w:rPr>
                  </w:pPr>
                  <w:r>
                    <w:rPr>
                      <w:rFonts w:ascii="宋体" w:hAnsi="宋体"/>
                      <w:kern w:val="0"/>
                      <w:szCs w:val="21"/>
                      <w:u w:val="single"/>
                    </w:rPr>
                    <w:t>≥0.7</w:t>
                  </w:r>
                </w:p>
              </w:tc>
            </w:tr>
          </w:tbl>
          <w:p>
            <w:pPr>
              <w:autoSpaceDE w:val="0"/>
              <w:autoSpaceDN w:val="0"/>
              <w:adjustRightInd w:val="0"/>
              <w:spacing w:line="360" w:lineRule="auto"/>
              <w:rPr>
                <w:rFonts w:ascii="宋体" w:hAnsi="宋体"/>
                <w:sz w:val="24"/>
                <w:u w:val="single"/>
                <w:lang w:bidi="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sz w:val="24"/>
                <w:lang w:bidi="en-US"/>
              </w:rPr>
            </w:pPr>
            <w:r>
              <w:rPr>
                <w:rFonts w:ascii="宋体" w:hAnsi="宋体"/>
                <w:b/>
                <w:sz w:val="24"/>
                <w:lang w:bidi="en-US"/>
              </w:rPr>
              <w:t xml:space="preserve">7.0.8  </w:t>
            </w:r>
            <w:r>
              <w:rPr>
                <w:rFonts w:ascii="宋体" w:hAnsi="宋体"/>
                <w:sz w:val="24"/>
                <w:lang w:bidi="en-US"/>
              </w:rPr>
              <w:t>无电网供电地区的农村居住建筑，有条件时，宜采用太阳能、风能等可再生能源作为照明能源。</w:t>
            </w:r>
          </w:p>
        </w:tc>
        <w:tc>
          <w:tcPr>
            <w:tcW w:w="4753" w:type="dxa"/>
          </w:tcPr>
          <w:p>
            <w:pPr>
              <w:autoSpaceDE w:val="0"/>
              <w:autoSpaceDN w:val="0"/>
              <w:adjustRightInd w:val="0"/>
              <w:spacing w:line="360" w:lineRule="auto"/>
              <w:rPr>
                <w:rFonts w:ascii="宋体" w:hAnsi="宋体"/>
                <w:sz w:val="24"/>
                <w:lang w:bidi="en-US"/>
              </w:rPr>
            </w:pPr>
            <w:r>
              <w:rPr>
                <w:rFonts w:ascii="宋体" w:hAnsi="宋体"/>
                <w:b/>
                <w:sz w:val="24"/>
                <w:lang w:bidi="en-US"/>
              </w:rPr>
              <w:t xml:space="preserve">7.0.8  </w:t>
            </w:r>
            <w:r>
              <w:rPr>
                <w:sz w:val="24"/>
                <w:szCs w:val="21"/>
                <w:bdr w:val="single" w:color="auto" w:sz="4" w:space="0"/>
                <w:lang w:bidi="en-US"/>
              </w:rPr>
              <w:t>无电网供电地区的农村居住建筑，</w:t>
            </w:r>
            <w:r>
              <w:rPr>
                <w:rFonts w:ascii="宋体" w:hAnsi="宋体"/>
                <w:sz w:val="24"/>
                <w:lang w:bidi="en-US"/>
              </w:rPr>
              <w:t>有条件时，宜采用太阳能、风能等可再生能源作为照明能源。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b/>
                <w:bCs/>
                <w:sz w:val="24"/>
                <w:lang w:val="zh-CN"/>
              </w:rPr>
            </w:pPr>
            <w:bookmarkStart w:id="91" w:name="_Toc308789957"/>
            <w:bookmarkStart w:id="92" w:name="_Toc311459971"/>
            <w:bookmarkStart w:id="93" w:name="_Toc307301175"/>
            <w:bookmarkStart w:id="94" w:name="_Toc119425265"/>
            <w:bookmarkStart w:id="95" w:name="_Toc300845646"/>
            <w:bookmarkStart w:id="96" w:name="_Toc308019526"/>
            <w:bookmarkStart w:id="97" w:name="_Toc267575229"/>
            <w:r>
              <w:rPr>
                <w:rFonts w:ascii="宋体" w:hAnsi="宋体"/>
                <w:b/>
                <w:bCs/>
                <w:sz w:val="24"/>
                <w:lang w:val="zh-CN"/>
              </w:rPr>
              <w:t>8  可再生能源利用</w:t>
            </w:r>
            <w:bookmarkEnd w:id="91"/>
            <w:bookmarkEnd w:id="92"/>
            <w:bookmarkEnd w:id="93"/>
            <w:bookmarkEnd w:id="94"/>
            <w:bookmarkEnd w:id="95"/>
            <w:bookmarkEnd w:id="96"/>
            <w:bookmarkEnd w:id="97"/>
          </w:p>
        </w:tc>
        <w:tc>
          <w:tcPr>
            <w:tcW w:w="4753" w:type="dxa"/>
          </w:tcPr>
          <w:p>
            <w:pPr>
              <w:autoSpaceDE w:val="0"/>
              <w:autoSpaceDN w:val="0"/>
              <w:adjustRightInd w:val="0"/>
              <w:spacing w:line="360" w:lineRule="auto"/>
              <w:jc w:val="center"/>
              <w:rPr>
                <w:rFonts w:ascii="宋体" w:hAnsi="宋体"/>
                <w:b/>
                <w:bCs/>
                <w:sz w:val="24"/>
                <w:lang w:val="zh-CN"/>
              </w:rPr>
            </w:pPr>
            <w:r>
              <w:rPr>
                <w:rFonts w:ascii="宋体" w:hAnsi="宋体"/>
                <w:b/>
                <w:bCs/>
                <w:sz w:val="24"/>
                <w:lang w:val="zh-CN"/>
              </w:rPr>
              <w:t xml:space="preserve">8  </w:t>
            </w:r>
            <w:r>
              <w:rPr>
                <w:rFonts w:ascii="宋体" w:hAnsi="宋体"/>
                <w:b/>
                <w:bCs/>
                <w:sz w:val="24"/>
                <w:bdr w:val="single" w:color="auto" w:sz="4" w:space="0"/>
                <w:lang w:val="zh-CN"/>
              </w:rPr>
              <w:t>可再生能源</w:t>
            </w:r>
            <w:r>
              <w:rPr>
                <w:rFonts w:ascii="宋体" w:hAnsi="宋体"/>
                <w:b/>
                <w:bCs/>
                <w:sz w:val="24"/>
                <w:u w:val="single"/>
                <w:lang w:val="zh-CN"/>
              </w:rPr>
              <w:t>太阳能</w:t>
            </w:r>
            <w:r>
              <w:rPr>
                <w:rFonts w:ascii="宋体" w:hAnsi="宋体"/>
                <w:b/>
                <w:bCs/>
                <w:sz w:val="24"/>
                <w:lang w:val="zh-CN"/>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b/>
                <w:bCs/>
                <w:sz w:val="24"/>
                <w:lang w:val="zh-CN"/>
              </w:rPr>
            </w:pPr>
            <w:bookmarkStart w:id="98" w:name="_Toc308019527"/>
            <w:bookmarkStart w:id="99" w:name="_Toc267575230"/>
            <w:bookmarkStart w:id="100" w:name="_Toc308789958"/>
            <w:bookmarkStart w:id="101" w:name="_Toc307301176"/>
            <w:bookmarkStart w:id="102" w:name="_Toc300845647"/>
            <w:bookmarkStart w:id="103" w:name="_Toc119425266"/>
            <w:bookmarkStart w:id="104" w:name="_Toc311459972"/>
            <w:r>
              <w:rPr>
                <w:rFonts w:ascii="宋体" w:hAnsi="宋体"/>
                <w:b/>
                <w:bCs/>
                <w:sz w:val="24"/>
                <w:lang w:val="zh-CN"/>
              </w:rPr>
              <w:t>8.1  一般规定</w:t>
            </w:r>
            <w:bookmarkEnd w:id="98"/>
            <w:bookmarkEnd w:id="99"/>
            <w:bookmarkEnd w:id="100"/>
            <w:bookmarkEnd w:id="101"/>
            <w:bookmarkEnd w:id="102"/>
            <w:bookmarkEnd w:id="103"/>
            <w:bookmarkEnd w:id="104"/>
          </w:p>
        </w:tc>
        <w:tc>
          <w:tcPr>
            <w:tcW w:w="4753" w:type="dxa"/>
          </w:tcPr>
          <w:p>
            <w:pPr>
              <w:autoSpaceDE w:val="0"/>
              <w:autoSpaceDN w:val="0"/>
              <w:adjustRightInd w:val="0"/>
              <w:spacing w:line="360" w:lineRule="auto"/>
              <w:jc w:val="center"/>
              <w:rPr>
                <w:rFonts w:ascii="宋体" w:hAnsi="宋体"/>
                <w:b/>
                <w:bCs/>
                <w:sz w:val="24"/>
                <w:lang w:val="zh-CN"/>
              </w:rPr>
            </w:pPr>
            <w:r>
              <w:rPr>
                <w:rFonts w:ascii="宋体" w:hAnsi="宋体"/>
                <w:b/>
                <w:bCs/>
                <w:sz w:val="24"/>
                <w:lang w:val="zh-CN"/>
              </w:rPr>
              <w:t>8.1  一般规定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left"/>
              <w:rPr>
                <w:rFonts w:ascii="宋体" w:hAnsi="宋体"/>
                <w:b/>
                <w:bCs/>
                <w:sz w:val="24"/>
              </w:rPr>
            </w:pPr>
            <w:r>
              <w:rPr>
                <w:rFonts w:hint="eastAsia" w:ascii="宋体" w:hAnsi="宋体"/>
                <w:b/>
                <w:bCs/>
                <w:sz w:val="24"/>
              </w:rPr>
              <w:t xml:space="preserve">8.1.1  </w:t>
            </w:r>
            <w:r>
              <w:rPr>
                <w:rFonts w:hint="eastAsia" w:ascii="宋体" w:hAnsi="宋体"/>
                <w:bCs/>
                <w:sz w:val="24"/>
              </w:rPr>
              <w:t>农村居住建筑利用可再生能源时，应遵循因地制宜、多能互补、综合利用、安全可靠、讲求效益的原则，选择适宜当地经济和资源条件的技术实施。有条件时，农村居住建筑中应采用可再生能源作为供暖、炊事和生活热水用能。</w:t>
            </w:r>
          </w:p>
        </w:tc>
        <w:tc>
          <w:tcPr>
            <w:tcW w:w="4753" w:type="dxa"/>
          </w:tcPr>
          <w:p>
            <w:pPr>
              <w:autoSpaceDE w:val="0"/>
              <w:autoSpaceDN w:val="0"/>
              <w:adjustRightInd w:val="0"/>
              <w:spacing w:line="360" w:lineRule="auto"/>
              <w:rPr>
                <w:sz w:val="24"/>
              </w:rPr>
            </w:pPr>
            <w:r>
              <w:rPr>
                <w:rFonts w:ascii="宋体" w:hAnsi="宋体"/>
                <w:b/>
                <w:bCs/>
                <w:sz w:val="24"/>
                <w:lang w:val="zh-CN"/>
              </w:rPr>
              <w:tab/>
            </w:r>
            <w:r>
              <w:rPr>
                <w:b/>
                <w:sz w:val="24"/>
              </w:rPr>
              <w:t xml:space="preserve">8.1.1 </w:t>
            </w:r>
            <w:r>
              <w:rPr>
                <w:sz w:val="24"/>
              </w:rPr>
              <w:t xml:space="preserve"> 农村居住建筑利用</w:t>
            </w:r>
            <w:r>
              <w:rPr>
                <w:sz w:val="24"/>
                <w:bdr w:val="single" w:color="auto" w:sz="4" w:space="0"/>
              </w:rPr>
              <w:t>可再生能源</w:t>
            </w:r>
            <w:r>
              <w:rPr>
                <w:sz w:val="24"/>
                <w:u w:val="single"/>
              </w:rPr>
              <w:t>太阳能</w:t>
            </w:r>
            <w:r>
              <w:rPr>
                <w:sz w:val="24"/>
              </w:rPr>
              <w:t>时，应遵循因地制宜、多能互补、综合利用、安全可靠、讲求效益的原则，选择适宜当地经济和资源条件的技术实施。有条件时，农村居住建筑中应采用</w:t>
            </w:r>
            <w:r>
              <w:rPr>
                <w:sz w:val="24"/>
                <w:bdr w:val="single" w:color="auto" w:sz="4" w:space="0"/>
              </w:rPr>
              <w:t>可再生能源</w:t>
            </w:r>
            <w:r>
              <w:rPr>
                <w:sz w:val="24"/>
                <w:u w:val="single"/>
              </w:rPr>
              <w:t>太阳能</w:t>
            </w:r>
            <w:r>
              <w:rPr>
                <w:sz w:val="24"/>
              </w:rPr>
              <w:t>作为供暖、炊事和生活热水用能。</w:t>
            </w:r>
          </w:p>
          <w:p>
            <w:pPr>
              <w:tabs>
                <w:tab w:val="left" w:pos="1485"/>
              </w:tabs>
              <w:autoSpaceDE w:val="0"/>
              <w:autoSpaceDN w:val="0"/>
              <w:adjustRightInd w:val="0"/>
              <w:spacing w:line="360" w:lineRule="auto"/>
              <w:rPr>
                <w:rFonts w:ascii="宋体" w:hAnsi="宋体"/>
                <w:b/>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left"/>
              <w:rPr>
                <w:rFonts w:ascii="宋体" w:hAnsi="宋体"/>
                <w:b/>
                <w:bCs/>
                <w:sz w:val="24"/>
              </w:rPr>
            </w:pPr>
            <w:r>
              <w:rPr>
                <w:rFonts w:hint="eastAsia" w:ascii="宋体" w:hAnsi="宋体"/>
                <w:b/>
                <w:bCs/>
                <w:sz w:val="24"/>
              </w:rPr>
              <w:t xml:space="preserve">8.1.3 </w:t>
            </w:r>
            <w:r>
              <w:rPr>
                <w:rFonts w:hint="eastAsia" w:ascii="宋体" w:hAnsi="宋体"/>
                <w:bCs/>
                <w:sz w:val="24"/>
              </w:rPr>
              <w:t xml:space="preserve"> 生物质能利用方式的选择，应根据所在地区生物质资源条件、气候条件、投资规模等因素综合确定。</w:t>
            </w:r>
          </w:p>
        </w:tc>
        <w:tc>
          <w:tcPr>
            <w:tcW w:w="4753" w:type="dxa"/>
          </w:tcPr>
          <w:p>
            <w:pPr>
              <w:autoSpaceDE w:val="0"/>
              <w:autoSpaceDN w:val="0"/>
              <w:adjustRightInd w:val="0"/>
              <w:spacing w:line="360" w:lineRule="auto"/>
              <w:rPr>
                <w:rFonts w:ascii="宋体" w:hAnsi="宋体"/>
                <w:b/>
                <w:bCs/>
                <w:sz w:val="24"/>
              </w:rPr>
            </w:pPr>
            <w:r>
              <w:rPr>
                <w:rFonts w:hint="eastAsia" w:ascii="宋体" w:hAnsi="宋体"/>
                <w:b/>
                <w:bCs/>
                <w:sz w:val="24"/>
                <w:bdr w:val="single" w:color="auto" w:sz="4" w:space="0"/>
              </w:rPr>
              <w:t xml:space="preserve">8.1.3  </w:t>
            </w:r>
            <w:r>
              <w:rPr>
                <w:rFonts w:hint="eastAsia" w:ascii="宋体" w:hAnsi="宋体"/>
                <w:bCs/>
                <w:sz w:val="24"/>
                <w:bdr w:val="single" w:color="auto" w:sz="4" w:space="0"/>
              </w:rPr>
              <w:t>生物质能利用方式的选择，应根据所在地区生物质资源条件、气候条件、投资规模等因素综合确定。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b/>
                <w:sz w:val="24"/>
                <w:lang w:bidi="en-US"/>
              </w:rPr>
            </w:pPr>
            <w:r>
              <w:rPr>
                <w:rFonts w:ascii="宋体" w:hAnsi="宋体"/>
                <w:b/>
                <w:sz w:val="24"/>
              </w:rPr>
              <w:t xml:space="preserve">8.1.4  </w:t>
            </w:r>
            <w:r>
              <w:rPr>
                <w:rFonts w:ascii="宋体" w:hAnsi="宋体"/>
                <w:sz w:val="24"/>
              </w:rPr>
              <w:t>地热能利用方式的选择，应根据当地气候、资源条件、水资源和环境保护政策、系统能效以及农户对设备投资运行费用的承担能力等因素综合确定。</w:t>
            </w:r>
          </w:p>
        </w:tc>
        <w:tc>
          <w:tcPr>
            <w:tcW w:w="4753" w:type="dxa"/>
          </w:tcPr>
          <w:p>
            <w:pPr>
              <w:autoSpaceDE w:val="0"/>
              <w:autoSpaceDN w:val="0"/>
              <w:adjustRightInd w:val="0"/>
              <w:spacing w:line="360" w:lineRule="auto"/>
              <w:rPr>
                <w:rFonts w:ascii="宋体" w:hAnsi="宋体"/>
                <w:b/>
                <w:sz w:val="24"/>
                <w:lang w:bidi="en-US"/>
              </w:rPr>
            </w:pPr>
            <w:r>
              <w:rPr>
                <w:rFonts w:ascii="宋体" w:hAnsi="宋体"/>
                <w:b/>
                <w:sz w:val="24"/>
                <w:bdr w:val="single" w:color="auto" w:sz="4" w:space="0"/>
              </w:rPr>
              <w:t xml:space="preserve">8.1.4  </w:t>
            </w:r>
            <w:r>
              <w:rPr>
                <w:rFonts w:ascii="宋体" w:hAnsi="宋体"/>
                <w:sz w:val="24"/>
                <w:bdr w:val="single" w:color="auto" w:sz="4" w:space="0"/>
              </w:rPr>
              <w:t>地热能利用方式的选择，应根据当地气候、资源条件、水资源和环境保护政策、系统能效以及农户对设备投资运行费用的承担能力等因素综合确定。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b/>
                <w:bCs/>
                <w:sz w:val="24"/>
                <w:lang w:val="zh-CN"/>
              </w:rPr>
            </w:pPr>
            <w:bookmarkStart w:id="105" w:name="_Toc267575231"/>
            <w:bookmarkStart w:id="106" w:name="_Toc300845648"/>
            <w:bookmarkStart w:id="107" w:name="_Toc119425267"/>
            <w:bookmarkStart w:id="108" w:name="_Toc308789959"/>
            <w:bookmarkStart w:id="109" w:name="_Toc307301177"/>
            <w:bookmarkStart w:id="110" w:name="_Toc308019528"/>
            <w:bookmarkStart w:id="111" w:name="_Toc303242486"/>
            <w:bookmarkStart w:id="112" w:name="_Toc311459973"/>
            <w:r>
              <w:rPr>
                <w:rFonts w:ascii="宋体" w:hAnsi="宋体"/>
                <w:b/>
                <w:bCs/>
                <w:sz w:val="24"/>
                <w:lang w:val="zh-CN"/>
              </w:rPr>
              <w:t>8.2  太阳能热利用</w:t>
            </w:r>
            <w:bookmarkEnd w:id="105"/>
            <w:bookmarkEnd w:id="106"/>
            <w:bookmarkEnd w:id="107"/>
            <w:bookmarkEnd w:id="108"/>
            <w:bookmarkEnd w:id="109"/>
            <w:bookmarkEnd w:id="110"/>
            <w:bookmarkEnd w:id="111"/>
            <w:bookmarkEnd w:id="112"/>
          </w:p>
        </w:tc>
        <w:tc>
          <w:tcPr>
            <w:tcW w:w="4753" w:type="dxa"/>
          </w:tcPr>
          <w:p>
            <w:pPr>
              <w:autoSpaceDE w:val="0"/>
              <w:autoSpaceDN w:val="0"/>
              <w:adjustRightInd w:val="0"/>
              <w:spacing w:line="360" w:lineRule="auto"/>
              <w:jc w:val="center"/>
              <w:rPr>
                <w:rFonts w:ascii="宋体" w:hAnsi="宋体"/>
                <w:b/>
                <w:bCs/>
                <w:sz w:val="24"/>
                <w:lang w:val="zh-CN"/>
              </w:rPr>
            </w:pPr>
            <w:r>
              <w:rPr>
                <w:rFonts w:ascii="宋体" w:hAnsi="宋体"/>
                <w:b/>
                <w:bCs/>
                <w:sz w:val="24"/>
                <w:lang w:val="zh-CN"/>
              </w:rPr>
              <w:t>8.2  太阳能热利用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sz w:val="24"/>
              </w:rPr>
            </w:pPr>
            <w:r>
              <w:rPr>
                <w:rFonts w:ascii="宋体" w:hAnsi="宋体"/>
                <w:b/>
                <w:sz w:val="24"/>
              </w:rPr>
              <w:t>8.2.2</w:t>
            </w:r>
            <w:r>
              <w:rPr>
                <w:rFonts w:ascii="宋体" w:hAnsi="宋体"/>
                <w:sz w:val="24"/>
              </w:rPr>
              <w:t xml:space="preserve">   家用太阳能热水系统应符合现行国家标准《家用太阳热水系统技术条件》GB/T 19141的有关规定，并应符合下列规定：</w:t>
            </w:r>
          </w:p>
          <w:p>
            <w:pPr>
              <w:autoSpaceDE w:val="0"/>
              <w:autoSpaceDN w:val="0"/>
              <w:adjustRightInd w:val="0"/>
              <w:spacing w:line="360" w:lineRule="auto"/>
              <w:ind w:firstLine="482" w:firstLineChars="200"/>
              <w:rPr>
                <w:rFonts w:ascii="宋体" w:hAnsi="宋体"/>
                <w:sz w:val="24"/>
              </w:rPr>
            </w:pPr>
            <w:r>
              <w:rPr>
                <w:rFonts w:ascii="宋体" w:hAnsi="宋体"/>
                <w:b/>
                <w:sz w:val="24"/>
              </w:rPr>
              <w:t>1</w:t>
            </w:r>
            <w:r>
              <w:rPr>
                <w:rFonts w:ascii="宋体" w:hAnsi="宋体"/>
                <w:sz w:val="24"/>
              </w:rPr>
              <w:t xml:space="preserve">  宜选用紧凑式直接加热自然循环的家用太阳能热水系统；</w:t>
            </w:r>
          </w:p>
          <w:p>
            <w:pPr>
              <w:autoSpaceDE w:val="0"/>
              <w:autoSpaceDN w:val="0"/>
              <w:adjustRightInd w:val="0"/>
              <w:spacing w:line="360" w:lineRule="auto"/>
              <w:ind w:firstLine="482" w:firstLineChars="200"/>
              <w:rPr>
                <w:rFonts w:ascii="宋体" w:hAnsi="宋体"/>
                <w:sz w:val="24"/>
              </w:rPr>
            </w:pPr>
            <w:r>
              <w:rPr>
                <w:rFonts w:ascii="宋体" w:hAnsi="宋体"/>
                <w:b/>
                <w:sz w:val="24"/>
              </w:rPr>
              <w:t>2</w:t>
            </w:r>
            <w:r>
              <w:rPr>
                <w:rFonts w:ascii="宋体" w:hAnsi="宋体"/>
                <w:sz w:val="24"/>
              </w:rPr>
              <w:t xml:space="preserve">  当选用分离式或间接式家用太阳能热水系统时，应减少集热器与贮热水箱之间的管路</w:t>
            </w:r>
            <w:r>
              <w:rPr>
                <w:rFonts w:hint="eastAsia" w:ascii="宋体" w:hAnsi="宋体"/>
                <w:color w:val="000000"/>
                <w:sz w:val="24"/>
                <w:u w:val="single"/>
              </w:rPr>
              <w:t>长度</w:t>
            </w:r>
            <w:r>
              <w:rPr>
                <w:rFonts w:ascii="宋体" w:hAnsi="宋体"/>
                <w:sz w:val="24"/>
              </w:rPr>
              <w:t>，并应采取保温措施；</w:t>
            </w:r>
          </w:p>
          <w:p>
            <w:pPr>
              <w:autoSpaceDE w:val="0"/>
              <w:autoSpaceDN w:val="0"/>
              <w:adjustRightInd w:val="0"/>
              <w:spacing w:line="360" w:lineRule="auto"/>
              <w:ind w:firstLine="482" w:firstLineChars="200"/>
              <w:rPr>
                <w:rFonts w:ascii="宋体" w:hAnsi="宋体"/>
                <w:sz w:val="24"/>
              </w:rPr>
            </w:pPr>
            <w:r>
              <w:rPr>
                <w:rFonts w:ascii="宋体" w:hAnsi="宋体"/>
                <w:b/>
                <w:sz w:val="24"/>
              </w:rPr>
              <w:t>3</w:t>
            </w:r>
            <w:r>
              <w:rPr>
                <w:rFonts w:ascii="宋体" w:hAnsi="宋体"/>
                <w:sz w:val="24"/>
              </w:rPr>
              <w:t xml:space="preserve">  当用户无连续供热水要求时，可不设辅助热源；</w:t>
            </w:r>
          </w:p>
          <w:p>
            <w:pPr>
              <w:autoSpaceDE w:val="0"/>
              <w:autoSpaceDN w:val="0"/>
              <w:adjustRightInd w:val="0"/>
              <w:spacing w:line="360" w:lineRule="auto"/>
              <w:ind w:firstLine="482" w:firstLineChars="200"/>
              <w:rPr>
                <w:rFonts w:ascii="宋体" w:hAnsi="宋体"/>
                <w:sz w:val="24"/>
                <w:u w:val="single"/>
              </w:rPr>
            </w:pPr>
            <w:r>
              <w:rPr>
                <w:rFonts w:ascii="宋体" w:hAnsi="宋体"/>
                <w:b/>
                <w:sz w:val="24"/>
              </w:rPr>
              <w:t>4</w:t>
            </w:r>
            <w:r>
              <w:rPr>
                <w:rFonts w:ascii="宋体" w:hAnsi="宋体"/>
                <w:sz w:val="24"/>
              </w:rPr>
              <w:t xml:space="preserve">  辅助热源宜与供暖或炊事系统相结合。</w:t>
            </w:r>
          </w:p>
        </w:tc>
        <w:tc>
          <w:tcPr>
            <w:tcW w:w="4753" w:type="dxa"/>
          </w:tcPr>
          <w:p>
            <w:pPr>
              <w:autoSpaceDE w:val="0"/>
              <w:autoSpaceDN w:val="0"/>
              <w:adjustRightInd w:val="0"/>
              <w:spacing w:line="360" w:lineRule="auto"/>
              <w:rPr>
                <w:rFonts w:ascii="宋体" w:hAnsi="宋体"/>
                <w:sz w:val="24"/>
              </w:rPr>
            </w:pPr>
            <w:r>
              <w:rPr>
                <w:rFonts w:ascii="宋体" w:hAnsi="宋体"/>
                <w:b/>
                <w:sz w:val="24"/>
              </w:rPr>
              <w:t>8.2.2</w:t>
            </w:r>
            <w:r>
              <w:rPr>
                <w:rFonts w:ascii="宋体" w:hAnsi="宋体"/>
                <w:sz w:val="24"/>
              </w:rPr>
              <w:t xml:space="preserve">   家用太阳能热水系统应符合现行国家标准《家用太阳热水系统技术条件》GB/T 19141的有关规定，并应符合下列规定：</w:t>
            </w:r>
          </w:p>
          <w:p>
            <w:pPr>
              <w:autoSpaceDE w:val="0"/>
              <w:autoSpaceDN w:val="0"/>
              <w:adjustRightInd w:val="0"/>
              <w:spacing w:line="360" w:lineRule="auto"/>
              <w:ind w:firstLine="482" w:firstLineChars="200"/>
              <w:rPr>
                <w:sz w:val="24"/>
                <w:szCs w:val="21"/>
              </w:rPr>
            </w:pPr>
            <w:r>
              <w:rPr>
                <w:b/>
                <w:sz w:val="24"/>
                <w:szCs w:val="21"/>
              </w:rPr>
              <w:t>1</w:t>
            </w:r>
            <w:r>
              <w:rPr>
                <w:sz w:val="24"/>
                <w:szCs w:val="21"/>
              </w:rPr>
              <w:t xml:space="preserve">  </w:t>
            </w:r>
            <w:r>
              <w:rPr>
                <w:rFonts w:hint="eastAsia" w:ascii="宋体" w:hAnsi="宋体"/>
                <w:sz w:val="24"/>
                <w:szCs w:val="21"/>
                <w:u w:val="single"/>
              </w:rPr>
              <w:t>家用太阳能热水</w:t>
            </w:r>
            <w:r>
              <w:rPr>
                <w:sz w:val="24"/>
                <w:szCs w:val="21"/>
              </w:rPr>
              <w:t>宜选用紧凑式直接加热自然循环</w:t>
            </w:r>
            <w:r>
              <w:rPr>
                <w:sz w:val="24"/>
                <w:szCs w:val="21"/>
                <w:bdr w:val="single" w:color="auto" w:sz="4" w:space="0"/>
              </w:rPr>
              <w:t>的家用太阳能热水</w:t>
            </w:r>
            <w:r>
              <w:rPr>
                <w:sz w:val="24"/>
                <w:szCs w:val="21"/>
              </w:rPr>
              <w:t>系统；</w:t>
            </w:r>
          </w:p>
          <w:p>
            <w:pPr>
              <w:autoSpaceDE w:val="0"/>
              <w:autoSpaceDN w:val="0"/>
              <w:adjustRightInd w:val="0"/>
              <w:spacing w:line="360" w:lineRule="auto"/>
              <w:ind w:firstLine="482" w:firstLineChars="200"/>
              <w:rPr>
                <w:sz w:val="24"/>
                <w:szCs w:val="21"/>
              </w:rPr>
            </w:pPr>
            <w:r>
              <w:rPr>
                <w:b/>
                <w:sz w:val="24"/>
                <w:szCs w:val="21"/>
              </w:rPr>
              <w:t>2</w:t>
            </w:r>
            <w:r>
              <w:rPr>
                <w:sz w:val="24"/>
                <w:szCs w:val="21"/>
              </w:rPr>
              <w:t xml:space="preserve">  当选用分离式或间接式家用太阳能热水系统时，应</w:t>
            </w:r>
            <w:r>
              <w:rPr>
                <w:sz w:val="24"/>
                <w:szCs w:val="21"/>
                <w:bdr w:val="single" w:color="auto" w:sz="4" w:space="0"/>
              </w:rPr>
              <w:t>减少</w:t>
            </w:r>
            <w:r>
              <w:rPr>
                <w:rFonts w:hint="eastAsia" w:ascii="宋体" w:hAnsi="宋体"/>
                <w:sz w:val="24"/>
                <w:szCs w:val="21"/>
                <w:u w:val="single"/>
              </w:rPr>
              <w:t>缩短</w:t>
            </w:r>
            <w:r>
              <w:rPr>
                <w:sz w:val="24"/>
                <w:szCs w:val="21"/>
              </w:rPr>
              <w:t>集热器与贮热水箱之间的管路</w:t>
            </w:r>
            <w:r>
              <w:rPr>
                <w:rFonts w:hint="eastAsia" w:ascii="宋体" w:hAnsi="宋体"/>
                <w:sz w:val="24"/>
                <w:szCs w:val="21"/>
                <w:u w:val="single"/>
              </w:rPr>
              <w:t>长度</w:t>
            </w:r>
            <w:r>
              <w:rPr>
                <w:sz w:val="24"/>
                <w:szCs w:val="21"/>
              </w:rPr>
              <w:t>，并应采取保温措施；</w:t>
            </w:r>
          </w:p>
          <w:p>
            <w:pPr>
              <w:autoSpaceDE w:val="0"/>
              <w:autoSpaceDN w:val="0"/>
              <w:adjustRightInd w:val="0"/>
              <w:spacing w:line="360" w:lineRule="auto"/>
              <w:ind w:firstLine="482" w:firstLineChars="200"/>
              <w:rPr>
                <w:sz w:val="24"/>
                <w:szCs w:val="21"/>
              </w:rPr>
            </w:pPr>
            <w:r>
              <w:rPr>
                <w:b/>
                <w:sz w:val="24"/>
                <w:szCs w:val="21"/>
              </w:rPr>
              <w:t>3</w:t>
            </w:r>
            <w:r>
              <w:rPr>
                <w:sz w:val="24"/>
                <w:szCs w:val="21"/>
              </w:rPr>
              <w:t xml:space="preserve">  当用户无连续供热水要求时，可不设辅助热源；</w:t>
            </w:r>
          </w:p>
          <w:p>
            <w:pPr>
              <w:autoSpaceDE w:val="0"/>
              <w:autoSpaceDN w:val="0"/>
              <w:adjustRightInd w:val="0"/>
              <w:spacing w:line="360" w:lineRule="auto"/>
              <w:ind w:firstLine="482" w:firstLineChars="200"/>
              <w:rPr>
                <w:sz w:val="24"/>
                <w:szCs w:val="21"/>
                <w:u w:val="single"/>
              </w:rPr>
            </w:pPr>
            <w:r>
              <w:rPr>
                <w:b/>
                <w:sz w:val="24"/>
                <w:szCs w:val="21"/>
              </w:rPr>
              <w:t>4</w:t>
            </w:r>
            <w:r>
              <w:rPr>
                <w:sz w:val="24"/>
                <w:szCs w:val="21"/>
              </w:rPr>
              <w:t xml:space="preserve">  辅助热源宜与供暖或炊事系统相结合</w:t>
            </w:r>
            <w:r>
              <w:rPr>
                <w:sz w:val="24"/>
                <w:szCs w:val="21"/>
                <w:bdr w:val="single" w:color="auto" w:sz="4" w:space="0"/>
              </w:rPr>
              <w:t>。</w:t>
            </w:r>
            <w:r>
              <w:rPr>
                <w:rFonts w:hint="eastAsia"/>
                <w:sz w:val="24"/>
                <w:szCs w:val="21"/>
                <w:u w:val="single"/>
              </w:rPr>
              <w:t>；</w:t>
            </w:r>
          </w:p>
          <w:p>
            <w:pPr>
              <w:autoSpaceDE w:val="0"/>
              <w:autoSpaceDN w:val="0"/>
              <w:adjustRightInd w:val="0"/>
              <w:spacing w:line="360" w:lineRule="auto"/>
              <w:ind w:firstLine="482" w:firstLineChars="200"/>
              <w:rPr>
                <w:rFonts w:ascii="宋体" w:hAnsi="宋体"/>
                <w:color w:val="000000"/>
                <w:sz w:val="24"/>
                <w:u w:val="single"/>
              </w:rPr>
            </w:pPr>
            <w:r>
              <w:rPr>
                <w:rFonts w:hint="eastAsia"/>
                <w:b/>
                <w:sz w:val="24"/>
                <w:szCs w:val="21"/>
                <w:u w:val="single"/>
              </w:rPr>
              <w:t>5</w:t>
            </w:r>
            <w:r>
              <w:rPr>
                <w:sz w:val="24"/>
                <w:szCs w:val="21"/>
                <w:u w:val="single"/>
              </w:rPr>
              <w:t xml:space="preserve">  </w:t>
            </w:r>
            <w:r>
              <w:rPr>
                <w:rFonts w:hint="eastAsia" w:ascii="宋体" w:hAnsi="宋体"/>
                <w:kern w:val="0"/>
                <w:sz w:val="24"/>
                <w:szCs w:val="21"/>
                <w:u w:val="single"/>
              </w:rPr>
              <w:t>当自来水水压不足或不稳定时，宜采用开式太阳能集热系统，并设置回流等冬季防冻措施。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kern w:val="0"/>
                <w:sz w:val="24"/>
                <w:u w:val="single"/>
              </w:rPr>
            </w:pPr>
            <w:r>
              <w:rPr>
                <w:rFonts w:ascii="宋体" w:hAnsi="宋体"/>
                <w:b/>
                <w:kern w:val="0"/>
                <w:sz w:val="24"/>
              </w:rPr>
              <w:t>8.2.3</w:t>
            </w:r>
            <w:r>
              <w:rPr>
                <w:rFonts w:ascii="宋体" w:hAnsi="宋体"/>
                <w:kern w:val="0"/>
                <w:sz w:val="24"/>
              </w:rPr>
              <w:t xml:space="preserve">  在太阳能资源较丰富地区，宜采用太阳能热水供热供暖技术或主被动结合的空气供暖技术。</w:t>
            </w:r>
          </w:p>
        </w:tc>
        <w:tc>
          <w:tcPr>
            <w:tcW w:w="4753" w:type="dxa"/>
          </w:tcPr>
          <w:p>
            <w:pPr>
              <w:autoSpaceDE w:val="0"/>
              <w:autoSpaceDN w:val="0"/>
              <w:adjustRightInd w:val="0"/>
              <w:spacing w:line="360" w:lineRule="auto"/>
              <w:rPr>
                <w:rFonts w:ascii="宋体" w:hAnsi="宋体"/>
                <w:kern w:val="0"/>
                <w:sz w:val="24"/>
                <w:u w:val="single"/>
              </w:rPr>
            </w:pPr>
            <w:r>
              <w:rPr>
                <w:rFonts w:ascii="宋体" w:hAnsi="宋体"/>
                <w:b/>
                <w:kern w:val="0"/>
                <w:sz w:val="24"/>
              </w:rPr>
              <w:t>8.2.3</w:t>
            </w:r>
            <w:r>
              <w:rPr>
                <w:rFonts w:ascii="宋体" w:hAnsi="宋体"/>
                <w:kern w:val="0"/>
                <w:sz w:val="24"/>
              </w:rPr>
              <w:t xml:space="preserve">  在太阳能资源较丰富地区，宜采用太阳能热水供热供暖技术或主被动结合的空气供暖技术。</w:t>
            </w:r>
            <w:r>
              <w:rPr>
                <w:rFonts w:hint="eastAsia" w:ascii="宋体" w:hAnsi="宋体"/>
                <w:kern w:val="0"/>
                <w:sz w:val="24"/>
                <w:u w:val="single"/>
              </w:rPr>
              <w:t>当采用水系统时，应考虑合理冬季防冻措施。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rPr>
                <w:rFonts w:ascii="宋体" w:hAnsi="宋体"/>
                <w:sz w:val="24"/>
              </w:rPr>
            </w:pPr>
            <w:r>
              <w:rPr>
                <w:rFonts w:ascii="宋体" w:hAnsi="宋体"/>
                <w:b/>
                <w:sz w:val="24"/>
              </w:rPr>
              <w:t xml:space="preserve">8.2.6  </w:t>
            </w:r>
            <w:r>
              <w:rPr>
                <w:rFonts w:ascii="宋体" w:hAnsi="宋体"/>
                <w:sz w:val="24"/>
              </w:rPr>
              <w:t>利用太阳能供热供暖时，宜设置其它能源辅助加热设备。</w:t>
            </w:r>
          </w:p>
        </w:tc>
        <w:tc>
          <w:tcPr>
            <w:tcW w:w="4753" w:type="dxa"/>
          </w:tcPr>
          <w:p>
            <w:pPr>
              <w:autoSpaceDE w:val="0"/>
              <w:autoSpaceDN w:val="0"/>
              <w:adjustRightInd w:val="0"/>
              <w:spacing w:line="360" w:lineRule="auto"/>
              <w:rPr>
                <w:rFonts w:ascii="宋体" w:hAnsi="宋体"/>
                <w:sz w:val="24"/>
              </w:rPr>
            </w:pPr>
            <w:r>
              <w:rPr>
                <w:rFonts w:ascii="宋体" w:hAnsi="宋体"/>
                <w:b/>
                <w:sz w:val="24"/>
              </w:rPr>
              <w:t xml:space="preserve">8.2.6  </w:t>
            </w:r>
            <w:r>
              <w:rPr>
                <w:rFonts w:ascii="宋体" w:hAnsi="宋体"/>
                <w:sz w:val="24"/>
              </w:rPr>
              <w:t>利用太阳能供热供暖时，宜设置其它能源辅助</w:t>
            </w:r>
            <w:r>
              <w:rPr>
                <w:sz w:val="24"/>
                <w:szCs w:val="21"/>
                <w:bdr w:val="single" w:color="auto" w:sz="4" w:space="0"/>
              </w:rPr>
              <w:t>加热</w:t>
            </w:r>
            <w:r>
              <w:rPr>
                <w:rFonts w:hint="eastAsia" w:ascii="宋体" w:hAnsi="宋体"/>
                <w:color w:val="000000"/>
                <w:sz w:val="24"/>
                <w:u w:val="single"/>
              </w:rPr>
              <w:t>供暖</w:t>
            </w:r>
            <w:r>
              <w:rPr>
                <w:rFonts w:ascii="宋体" w:hAnsi="宋体"/>
                <w:sz w:val="24"/>
              </w:rPr>
              <w:t>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sz w:val="24"/>
                <w:lang w:val="zh-CN"/>
              </w:rPr>
            </w:pPr>
            <w:r>
              <w:rPr>
                <w:rFonts w:hint="eastAsia" w:ascii="宋体" w:hAnsi="宋体"/>
                <w:sz w:val="24"/>
                <w:lang w:val="zh-CN"/>
              </w:rPr>
              <w:t xml:space="preserve"> </w:t>
            </w:r>
          </w:p>
        </w:tc>
        <w:tc>
          <w:tcPr>
            <w:tcW w:w="4753" w:type="dxa"/>
          </w:tcPr>
          <w:p>
            <w:pPr>
              <w:autoSpaceDE w:val="0"/>
              <w:autoSpaceDN w:val="0"/>
              <w:adjustRightInd w:val="0"/>
              <w:spacing w:line="360" w:lineRule="auto"/>
              <w:jc w:val="center"/>
              <w:rPr>
                <w:rFonts w:ascii="宋体" w:hAnsi="宋体"/>
                <w:b/>
                <w:bCs/>
                <w:sz w:val="24"/>
                <w:u w:val="single"/>
                <w:lang w:val="zh-CN"/>
              </w:rPr>
            </w:pPr>
            <w:r>
              <w:rPr>
                <w:rFonts w:hint="eastAsia" w:ascii="宋体" w:hAnsi="宋体"/>
                <w:b/>
                <w:bCs/>
                <w:sz w:val="24"/>
                <w:u w:val="single"/>
                <w:lang w:val="zh-CN"/>
              </w:rPr>
              <w:t>8.2A 太阳能光伏发电系统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sz w:val="24"/>
                <w:lang w:val="zh-CN"/>
              </w:rPr>
            </w:pPr>
          </w:p>
        </w:tc>
        <w:tc>
          <w:tcPr>
            <w:tcW w:w="4753" w:type="dxa"/>
          </w:tcPr>
          <w:p>
            <w:pPr>
              <w:spacing w:line="360" w:lineRule="auto"/>
              <w:rPr>
                <w:rFonts w:ascii="宋体" w:hAnsi="宋体"/>
                <w:sz w:val="24"/>
                <w:u w:val="single"/>
              </w:rPr>
            </w:pPr>
            <w:r>
              <w:rPr>
                <w:rFonts w:hint="eastAsia" w:ascii="宋体" w:hAnsi="宋体"/>
                <w:b/>
                <w:sz w:val="24"/>
                <w:u w:val="single"/>
              </w:rPr>
              <w:t>8.2A.</w:t>
            </w:r>
            <w:r>
              <w:rPr>
                <w:rFonts w:ascii="宋体" w:hAnsi="宋体"/>
                <w:b/>
                <w:sz w:val="24"/>
                <w:u w:val="single"/>
              </w:rPr>
              <w:t>1</w:t>
            </w:r>
            <w:r>
              <w:rPr>
                <w:rFonts w:ascii="宋体" w:hAnsi="宋体"/>
                <w:sz w:val="24"/>
                <w:u w:val="single"/>
              </w:rPr>
              <w:t xml:space="preserve">  </w:t>
            </w:r>
            <w:r>
              <w:rPr>
                <w:rFonts w:hint="eastAsia" w:ascii="宋体" w:hAnsi="宋体"/>
                <w:sz w:val="24"/>
                <w:u w:val="single"/>
              </w:rPr>
              <w:t>在太阳能资源较丰富区且经济能力可承受范围内，宜设置太阳能光伏发电系统，宜优先选用“自发自用，余电上网”的运营模式。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sz w:val="24"/>
                <w:lang w:val="zh-CN"/>
              </w:rPr>
            </w:pPr>
          </w:p>
        </w:tc>
        <w:tc>
          <w:tcPr>
            <w:tcW w:w="4753" w:type="dxa"/>
          </w:tcPr>
          <w:p>
            <w:pPr>
              <w:spacing w:line="360" w:lineRule="auto"/>
              <w:rPr>
                <w:rFonts w:ascii="宋体" w:hAnsi="宋体"/>
                <w:bCs/>
                <w:color w:val="000000"/>
                <w:sz w:val="24"/>
                <w:u w:val="single"/>
              </w:rPr>
            </w:pPr>
            <w:r>
              <w:rPr>
                <w:rFonts w:hint="eastAsia" w:ascii="宋体" w:hAnsi="宋体"/>
                <w:b/>
                <w:color w:val="000000"/>
                <w:sz w:val="24"/>
                <w:u w:val="single"/>
              </w:rPr>
              <w:t>8.2A</w:t>
            </w:r>
            <w:r>
              <w:rPr>
                <w:rFonts w:ascii="宋体" w:hAnsi="宋体"/>
                <w:b/>
                <w:color w:val="000000"/>
                <w:sz w:val="24"/>
                <w:u w:val="single"/>
              </w:rPr>
              <w:t xml:space="preserve">.2  </w:t>
            </w:r>
            <w:r>
              <w:rPr>
                <w:rFonts w:hint="eastAsia" w:ascii="宋体" w:hAnsi="宋体"/>
                <w:bCs/>
                <w:color w:val="000000"/>
                <w:sz w:val="24"/>
                <w:u w:val="single"/>
              </w:rPr>
              <w:t>光伏系统并网时，应符合现行国家标准《光伏系统并网技术要求》GB/T 19939、《光伏发电系统接入配电网特性评价技术规范》GB/T 31999和《分布式电源并网技术要求》GB/T 33593的有关规定。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sz w:val="24"/>
                <w:lang w:val="zh-CN"/>
              </w:rPr>
            </w:pPr>
          </w:p>
        </w:tc>
        <w:tc>
          <w:tcPr>
            <w:tcW w:w="4753" w:type="dxa"/>
          </w:tcPr>
          <w:p>
            <w:pPr>
              <w:spacing w:line="360" w:lineRule="auto"/>
              <w:rPr>
                <w:rFonts w:ascii="宋体" w:hAnsi="宋体"/>
                <w:sz w:val="24"/>
                <w:u w:val="single"/>
              </w:rPr>
            </w:pPr>
            <w:r>
              <w:rPr>
                <w:rFonts w:hint="eastAsia" w:ascii="宋体" w:hAnsi="宋体"/>
                <w:b/>
                <w:color w:val="000000"/>
                <w:sz w:val="24"/>
                <w:u w:val="single"/>
              </w:rPr>
              <w:t>8.2A.</w:t>
            </w:r>
            <w:r>
              <w:rPr>
                <w:rFonts w:ascii="宋体" w:hAnsi="宋体"/>
                <w:b/>
                <w:color w:val="000000"/>
                <w:sz w:val="24"/>
                <w:u w:val="single"/>
              </w:rPr>
              <w:t xml:space="preserve">3  </w:t>
            </w:r>
            <w:r>
              <w:rPr>
                <w:rFonts w:hint="eastAsia" w:ascii="宋体" w:hAnsi="宋体"/>
                <w:sz w:val="24"/>
                <w:u w:val="single"/>
              </w:rPr>
              <w:t>光伏发电系统应与新建农宅进行一体化设计、一体化施工、同步验收，并应符合《建筑光伏系统应用技术标准》GB/T</w:t>
            </w:r>
            <w:r>
              <w:rPr>
                <w:rFonts w:ascii="宋体" w:hAnsi="宋体"/>
                <w:sz w:val="24"/>
                <w:u w:val="single"/>
              </w:rPr>
              <w:t xml:space="preserve"> 51368</w:t>
            </w:r>
            <w:r>
              <w:rPr>
                <w:rFonts w:hint="eastAsia" w:ascii="宋体" w:hAnsi="宋体"/>
                <w:sz w:val="24"/>
                <w:u w:val="single"/>
              </w:rPr>
              <w:t>的有关规定。既有建筑增设或改造光伏系统时，应对建筑结构安全性、耐久性和电气安全性进行复核。并应满足屋面防水、防风、防雷、防火和防静电等相关功能和建筑节能要求。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sz w:val="24"/>
                <w:lang w:val="zh-CN"/>
              </w:rPr>
            </w:pPr>
          </w:p>
        </w:tc>
        <w:tc>
          <w:tcPr>
            <w:tcW w:w="4753" w:type="dxa"/>
          </w:tcPr>
          <w:p>
            <w:pPr>
              <w:autoSpaceDE w:val="0"/>
              <w:autoSpaceDN w:val="0"/>
              <w:adjustRightInd w:val="0"/>
              <w:spacing w:line="360" w:lineRule="auto"/>
              <w:jc w:val="left"/>
              <w:rPr>
                <w:rFonts w:ascii="宋体" w:hAnsi="宋体"/>
                <w:sz w:val="24"/>
                <w:lang w:val="zh-CN"/>
              </w:rPr>
            </w:pPr>
            <w:r>
              <w:rPr>
                <w:rFonts w:ascii="宋体" w:hAnsi="宋体"/>
                <w:b/>
                <w:bCs/>
                <w:sz w:val="24"/>
                <w:u w:val="single"/>
              </w:rPr>
              <w:t>8</w:t>
            </w:r>
            <w:r>
              <w:rPr>
                <w:rFonts w:hint="eastAsia" w:ascii="宋体" w:hAnsi="宋体"/>
                <w:b/>
                <w:bCs/>
                <w:sz w:val="24"/>
                <w:u w:val="single"/>
              </w:rPr>
              <w:t>.2A.</w:t>
            </w:r>
            <w:r>
              <w:rPr>
                <w:rFonts w:ascii="宋体" w:hAnsi="宋体"/>
                <w:b/>
                <w:bCs/>
                <w:sz w:val="24"/>
                <w:u w:val="single"/>
              </w:rPr>
              <w:t xml:space="preserve">4  </w:t>
            </w:r>
            <w:r>
              <w:rPr>
                <w:rFonts w:hint="eastAsia" w:ascii="宋体" w:hAnsi="宋体"/>
                <w:sz w:val="24"/>
                <w:u w:val="single"/>
              </w:rPr>
              <w:t>农村居住建筑太阳能光伏发电系统的安装容量应根据太阳能资源、建筑条件、安装和运输条件、负荷特点，结合储能装置效率、光伏发电系统效率等因素来确定，安装容量宜小于等于</w:t>
            </w:r>
            <w:r>
              <w:rPr>
                <w:rFonts w:ascii="宋体" w:hAnsi="宋体"/>
                <w:sz w:val="24"/>
                <w:u w:val="single"/>
              </w:rPr>
              <w:t>30</w:t>
            </w:r>
            <w:r>
              <w:rPr>
                <w:rFonts w:hint="eastAsia" w:ascii="宋体" w:hAnsi="宋体"/>
                <w:sz w:val="24"/>
                <w:u w:val="single"/>
              </w:rPr>
              <w:t>kW，当采用220V单相接入时，每个并网点容量不宜超过8kW。</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sz w:val="24"/>
                <w:lang w:val="zh-CN"/>
              </w:rPr>
            </w:pPr>
          </w:p>
        </w:tc>
        <w:tc>
          <w:tcPr>
            <w:tcW w:w="4753" w:type="dxa"/>
          </w:tcPr>
          <w:p>
            <w:pPr>
              <w:spacing w:line="360" w:lineRule="auto"/>
              <w:rPr>
                <w:rFonts w:ascii="宋体" w:hAnsi="宋体"/>
                <w:sz w:val="24"/>
                <w:u w:val="single"/>
              </w:rPr>
            </w:pPr>
            <w:r>
              <w:rPr>
                <w:rFonts w:hint="eastAsia" w:ascii="宋体" w:hAnsi="宋体"/>
                <w:sz w:val="24"/>
                <w:u w:val="single"/>
              </w:rPr>
              <w:t>8.2A.5 太阳能光伏发电系统中主要部件的技术要求应符合国家现行相关标准规定。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b/>
                <w:bCs/>
                <w:sz w:val="24"/>
                <w:lang w:val="zh-CN"/>
              </w:rPr>
            </w:pPr>
            <w:r>
              <w:rPr>
                <w:rFonts w:ascii="宋体" w:hAnsi="宋体"/>
                <w:b/>
                <w:bCs/>
                <w:sz w:val="24"/>
                <w:lang w:val="zh-CN"/>
              </w:rPr>
              <w:t>8.3  生物质能利用</w:t>
            </w:r>
          </w:p>
        </w:tc>
        <w:tc>
          <w:tcPr>
            <w:tcW w:w="4753" w:type="dxa"/>
          </w:tcPr>
          <w:p>
            <w:pPr>
              <w:autoSpaceDE w:val="0"/>
              <w:autoSpaceDN w:val="0"/>
              <w:adjustRightInd w:val="0"/>
              <w:spacing w:line="360" w:lineRule="auto"/>
              <w:jc w:val="center"/>
              <w:rPr>
                <w:rFonts w:ascii="宋体" w:hAnsi="宋体"/>
                <w:b/>
                <w:bCs/>
                <w:sz w:val="24"/>
                <w:bdr w:val="single" w:color="auto" w:sz="4" w:space="0"/>
                <w:lang w:val="zh-CN"/>
              </w:rPr>
            </w:pPr>
            <w:bookmarkStart w:id="113" w:name="_Toc308789960"/>
            <w:bookmarkStart w:id="114" w:name="_Toc119425269"/>
            <w:bookmarkStart w:id="115" w:name="_Toc311459974"/>
            <w:bookmarkStart w:id="116" w:name="_Toc308019529"/>
            <w:r>
              <w:rPr>
                <w:rFonts w:ascii="宋体" w:hAnsi="宋体"/>
                <w:b/>
                <w:bCs/>
                <w:sz w:val="24"/>
                <w:bdr w:val="single" w:color="auto" w:sz="4" w:space="0"/>
                <w:lang w:val="zh-CN"/>
              </w:rPr>
              <w:t>8.3  生物质能利用</w:t>
            </w:r>
            <w:bookmarkEnd w:id="113"/>
            <w:bookmarkEnd w:id="114"/>
            <w:bookmarkEnd w:id="115"/>
            <w:bookmarkEnd w:id="11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rFonts w:ascii="宋体" w:hAnsi="宋体"/>
                <w:sz w:val="24"/>
              </w:rPr>
            </w:pPr>
            <w:r>
              <w:rPr>
                <w:rFonts w:ascii="宋体" w:hAnsi="宋体"/>
                <w:b/>
                <w:bCs/>
                <w:sz w:val="24"/>
              </w:rPr>
              <w:t xml:space="preserve">8.3.1 </w:t>
            </w:r>
            <w:r>
              <w:rPr>
                <w:rFonts w:ascii="宋体" w:hAnsi="宋体"/>
                <w:sz w:val="24"/>
              </w:rPr>
              <w:t xml:space="preserve"> 在具备生物质转换技术条件的地区，宜采用生物质转换技术将生物质资源转化为清洁、便利的燃料后加以使用。</w:t>
            </w:r>
          </w:p>
        </w:tc>
        <w:tc>
          <w:tcPr>
            <w:tcW w:w="4753" w:type="dxa"/>
          </w:tcPr>
          <w:p>
            <w:pPr>
              <w:spacing w:line="360" w:lineRule="auto"/>
              <w:rPr>
                <w:rFonts w:ascii="宋体" w:hAnsi="宋体"/>
                <w:sz w:val="24"/>
                <w:bdr w:val="single" w:color="auto" w:sz="4" w:space="0"/>
              </w:rPr>
            </w:pPr>
            <w:r>
              <w:rPr>
                <w:rFonts w:ascii="宋体" w:hAnsi="宋体"/>
                <w:b/>
                <w:bCs/>
                <w:sz w:val="24"/>
                <w:bdr w:val="single" w:color="auto" w:sz="4" w:space="0"/>
              </w:rPr>
              <w:t xml:space="preserve">8.3.1 </w:t>
            </w:r>
            <w:r>
              <w:rPr>
                <w:rFonts w:ascii="宋体" w:hAnsi="宋体"/>
                <w:sz w:val="24"/>
                <w:bdr w:val="single" w:color="auto" w:sz="4" w:space="0"/>
              </w:rPr>
              <w:t xml:space="preserve"> 在具备生物质转换技术条件的地区，宜采用生物质转换技术将生物质资源转化为清洁、便利的燃料后加以使用。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bCs/>
                <w:sz w:val="24"/>
              </w:rPr>
            </w:pPr>
            <w:r>
              <w:rPr>
                <w:rFonts w:hint="eastAsia" w:ascii="宋体" w:hAnsi="宋体"/>
                <w:b/>
                <w:bCs/>
                <w:sz w:val="24"/>
              </w:rPr>
              <w:t>8.3.2</w:t>
            </w:r>
            <w:r>
              <w:rPr>
                <w:rFonts w:hint="eastAsia" w:ascii="宋体" w:hAnsi="宋体"/>
                <w:bCs/>
                <w:sz w:val="24"/>
              </w:rPr>
              <w:t xml:space="preserve">  沼气利用应符合下列规定：</w:t>
            </w:r>
          </w:p>
          <w:p>
            <w:pPr>
              <w:autoSpaceDE w:val="0"/>
              <w:autoSpaceDN w:val="0"/>
              <w:adjustRightInd w:val="0"/>
              <w:spacing w:line="360" w:lineRule="auto"/>
              <w:jc w:val="left"/>
              <w:rPr>
                <w:rFonts w:ascii="宋体" w:hAnsi="宋体"/>
                <w:bCs/>
                <w:sz w:val="24"/>
              </w:rPr>
            </w:pPr>
            <w:r>
              <w:rPr>
                <w:rFonts w:hint="eastAsia" w:ascii="宋体" w:hAnsi="宋体"/>
                <w:bCs/>
                <w:sz w:val="24"/>
              </w:rPr>
              <w:t>1  应确保整套系统的气密性；</w:t>
            </w:r>
          </w:p>
          <w:p>
            <w:pPr>
              <w:autoSpaceDE w:val="0"/>
              <w:autoSpaceDN w:val="0"/>
              <w:adjustRightInd w:val="0"/>
              <w:spacing w:line="360" w:lineRule="auto"/>
              <w:jc w:val="left"/>
              <w:rPr>
                <w:rFonts w:ascii="宋体" w:hAnsi="宋体"/>
                <w:bCs/>
                <w:sz w:val="24"/>
              </w:rPr>
            </w:pPr>
            <w:r>
              <w:rPr>
                <w:rFonts w:hint="eastAsia" w:ascii="宋体" w:hAnsi="宋体"/>
                <w:bCs/>
                <w:sz w:val="24"/>
              </w:rPr>
              <w:t>2  应选取沼气专用灶具，</w:t>
            </w:r>
            <w:r>
              <w:rPr>
                <w:rFonts w:ascii="宋体" w:hAnsi="宋体"/>
                <w:bCs/>
                <w:sz w:val="24"/>
              </w:rPr>
              <w:t>沼气灶具及零部件质量应符合国家现行有关</w:t>
            </w:r>
            <w:r>
              <w:rPr>
                <w:rFonts w:hint="eastAsia" w:ascii="宋体" w:hAnsi="宋体"/>
                <w:bCs/>
                <w:sz w:val="24"/>
              </w:rPr>
              <w:t>沼气灶具及零部件</w:t>
            </w:r>
            <w:r>
              <w:rPr>
                <w:rFonts w:ascii="宋体" w:hAnsi="宋体"/>
                <w:bCs/>
                <w:sz w:val="24"/>
              </w:rPr>
              <w:t>标准</w:t>
            </w:r>
            <w:r>
              <w:rPr>
                <w:rFonts w:hint="eastAsia" w:ascii="宋体" w:hAnsi="宋体"/>
                <w:bCs/>
                <w:sz w:val="24"/>
              </w:rPr>
              <w:t>的规定；</w:t>
            </w:r>
          </w:p>
          <w:p>
            <w:pPr>
              <w:autoSpaceDE w:val="0"/>
              <w:autoSpaceDN w:val="0"/>
              <w:adjustRightInd w:val="0"/>
              <w:spacing w:line="360" w:lineRule="auto"/>
              <w:jc w:val="left"/>
              <w:rPr>
                <w:rFonts w:ascii="宋体" w:hAnsi="宋体"/>
                <w:bCs/>
                <w:sz w:val="24"/>
              </w:rPr>
            </w:pPr>
            <w:r>
              <w:rPr>
                <w:rFonts w:hint="eastAsia" w:ascii="宋体" w:hAnsi="宋体"/>
                <w:bCs/>
                <w:sz w:val="24"/>
              </w:rPr>
              <w:t xml:space="preserve">3  </w:t>
            </w:r>
            <w:r>
              <w:rPr>
                <w:rFonts w:ascii="宋体" w:hAnsi="宋体"/>
                <w:bCs/>
                <w:sz w:val="24"/>
              </w:rPr>
              <w:t>沼气管道施工安装、试压、验收应符合</w:t>
            </w:r>
            <w:r>
              <w:rPr>
                <w:rFonts w:hint="eastAsia" w:ascii="宋体" w:hAnsi="宋体"/>
                <w:bCs/>
                <w:sz w:val="24"/>
              </w:rPr>
              <w:t>现行</w:t>
            </w:r>
            <w:r>
              <w:rPr>
                <w:rFonts w:ascii="宋体" w:hAnsi="宋体"/>
                <w:bCs/>
                <w:sz w:val="24"/>
              </w:rPr>
              <w:t>国家标准《农村家用沼气管路施工安装操作规程》GB</w:t>
            </w:r>
            <w:r>
              <w:rPr>
                <w:rFonts w:hint="eastAsia" w:ascii="宋体" w:hAnsi="宋体"/>
                <w:bCs/>
                <w:sz w:val="24"/>
              </w:rPr>
              <w:t xml:space="preserve"> </w:t>
            </w:r>
            <w:r>
              <w:rPr>
                <w:rFonts w:ascii="宋体" w:hAnsi="宋体"/>
                <w:bCs/>
                <w:sz w:val="24"/>
              </w:rPr>
              <w:t>7637的</w:t>
            </w:r>
            <w:r>
              <w:rPr>
                <w:rFonts w:hint="eastAsia" w:ascii="宋体" w:hAnsi="宋体"/>
                <w:bCs/>
                <w:sz w:val="24"/>
              </w:rPr>
              <w:t>有关规定；</w:t>
            </w:r>
          </w:p>
          <w:p>
            <w:pPr>
              <w:autoSpaceDE w:val="0"/>
              <w:autoSpaceDN w:val="0"/>
              <w:adjustRightInd w:val="0"/>
              <w:spacing w:line="360" w:lineRule="auto"/>
              <w:jc w:val="left"/>
              <w:rPr>
                <w:rFonts w:ascii="宋体" w:hAnsi="宋体"/>
                <w:bCs/>
                <w:sz w:val="24"/>
              </w:rPr>
            </w:pPr>
            <w:r>
              <w:rPr>
                <w:rFonts w:hint="eastAsia" w:ascii="宋体" w:hAnsi="宋体"/>
                <w:bCs/>
                <w:sz w:val="24"/>
              </w:rPr>
              <w:t xml:space="preserve">4  </w:t>
            </w:r>
            <w:r>
              <w:rPr>
                <w:rFonts w:ascii="宋体" w:hAnsi="宋体"/>
                <w:bCs/>
                <w:sz w:val="24"/>
              </w:rPr>
              <w:t>沼气管道上的开关阀应选用气密性能可靠、经久耐用，并通过鉴定的合格产品</w:t>
            </w:r>
            <w:r>
              <w:rPr>
                <w:rFonts w:hint="eastAsia" w:ascii="宋体" w:hAnsi="宋体"/>
                <w:bCs/>
                <w:sz w:val="24"/>
              </w:rPr>
              <w:t>，</w:t>
            </w:r>
            <w:r>
              <w:rPr>
                <w:rFonts w:ascii="宋体" w:hAnsi="宋体"/>
                <w:bCs/>
                <w:sz w:val="24"/>
              </w:rPr>
              <w:t>且阀孔孔径不</w:t>
            </w:r>
            <w:r>
              <w:rPr>
                <w:rFonts w:hint="eastAsia" w:ascii="宋体" w:hAnsi="宋体"/>
                <w:bCs/>
                <w:sz w:val="24"/>
              </w:rPr>
              <w:t>应</w:t>
            </w:r>
            <w:r>
              <w:rPr>
                <w:rFonts w:ascii="宋体" w:hAnsi="宋体"/>
                <w:bCs/>
                <w:sz w:val="24"/>
              </w:rPr>
              <w:t>小于5mm</w:t>
            </w:r>
            <w:r>
              <w:rPr>
                <w:rFonts w:hint="eastAsia" w:ascii="宋体" w:hAnsi="宋体"/>
                <w:bCs/>
                <w:sz w:val="24"/>
              </w:rPr>
              <w:t>；</w:t>
            </w:r>
          </w:p>
          <w:p>
            <w:pPr>
              <w:autoSpaceDE w:val="0"/>
              <w:autoSpaceDN w:val="0"/>
              <w:spacing w:line="360" w:lineRule="auto"/>
              <w:jc w:val="left"/>
              <w:rPr>
                <w:rFonts w:ascii="宋体" w:hAnsi="宋体"/>
                <w:bCs/>
                <w:sz w:val="24"/>
              </w:rPr>
            </w:pPr>
            <w:r>
              <w:rPr>
                <w:rFonts w:hint="eastAsia" w:ascii="宋体" w:hAnsi="宋体"/>
                <w:bCs/>
                <w:sz w:val="24"/>
              </w:rPr>
              <w:t>5  户用沼气池应做好寒冷季节池体的保温增温措施，发酵温度不应低于8℃；</w:t>
            </w:r>
          </w:p>
          <w:p>
            <w:pPr>
              <w:autoSpaceDE w:val="0"/>
              <w:autoSpaceDN w:val="0"/>
              <w:spacing w:line="360" w:lineRule="auto"/>
              <w:jc w:val="left"/>
              <w:rPr>
                <w:rFonts w:ascii="宋体" w:hAnsi="宋体"/>
                <w:bCs/>
                <w:sz w:val="24"/>
              </w:rPr>
            </w:pPr>
            <w:r>
              <w:rPr>
                <w:rFonts w:hint="eastAsia" w:ascii="宋体" w:hAnsi="宋体"/>
                <w:bCs/>
                <w:sz w:val="24"/>
              </w:rPr>
              <w:t>6  规模化沼气工程应对沼气池体进行保温，保温厚度应经过技术经济比较分析后确定。沼气池应采取加热方式维持所需池温。</w:t>
            </w:r>
          </w:p>
          <w:p>
            <w:pPr>
              <w:autoSpaceDE w:val="0"/>
              <w:autoSpaceDN w:val="0"/>
              <w:spacing w:line="360" w:lineRule="auto"/>
              <w:jc w:val="left"/>
              <w:rPr>
                <w:rFonts w:ascii="宋体" w:hAnsi="宋体"/>
                <w:bCs/>
                <w:sz w:val="24"/>
              </w:rPr>
            </w:pPr>
          </w:p>
        </w:tc>
        <w:tc>
          <w:tcPr>
            <w:tcW w:w="4753" w:type="dxa"/>
          </w:tcPr>
          <w:p>
            <w:pPr>
              <w:autoSpaceDE w:val="0"/>
              <w:autoSpaceDN w:val="0"/>
              <w:spacing w:line="360" w:lineRule="auto"/>
              <w:jc w:val="left"/>
              <w:rPr>
                <w:rFonts w:ascii="宋体" w:hAnsi="宋体"/>
                <w:bCs/>
                <w:sz w:val="24"/>
                <w:bdr w:val="single" w:color="auto" w:sz="4" w:space="0"/>
              </w:rPr>
            </w:pPr>
            <w:r>
              <w:rPr>
                <w:rFonts w:hint="eastAsia" w:ascii="宋体" w:hAnsi="宋体"/>
                <w:b/>
                <w:bCs/>
                <w:sz w:val="24"/>
                <w:bdr w:val="single" w:color="auto" w:sz="4" w:space="0"/>
              </w:rPr>
              <w:t>8.3.2</w:t>
            </w:r>
            <w:r>
              <w:rPr>
                <w:rFonts w:hint="eastAsia" w:ascii="宋体" w:hAnsi="宋体"/>
                <w:bCs/>
                <w:sz w:val="24"/>
                <w:bdr w:val="single" w:color="auto" w:sz="4" w:space="0"/>
              </w:rPr>
              <w:t xml:space="preserve">  沼气利用应符合下列规定：</w:t>
            </w:r>
          </w:p>
          <w:p>
            <w:pPr>
              <w:autoSpaceDE w:val="0"/>
              <w:autoSpaceDN w:val="0"/>
              <w:adjustRightInd w:val="0"/>
              <w:spacing w:line="360" w:lineRule="auto"/>
              <w:jc w:val="left"/>
              <w:rPr>
                <w:rFonts w:ascii="宋体" w:hAnsi="宋体"/>
                <w:bCs/>
                <w:sz w:val="24"/>
                <w:bdr w:val="single" w:color="auto" w:sz="4" w:space="0"/>
              </w:rPr>
            </w:pPr>
            <w:r>
              <w:rPr>
                <w:rFonts w:hint="eastAsia" w:ascii="宋体" w:hAnsi="宋体"/>
                <w:bCs/>
                <w:sz w:val="24"/>
                <w:bdr w:val="single" w:color="auto" w:sz="4" w:space="0"/>
              </w:rPr>
              <w:t>1  应确保整套系统的气密性；</w:t>
            </w:r>
          </w:p>
          <w:p>
            <w:pPr>
              <w:autoSpaceDE w:val="0"/>
              <w:autoSpaceDN w:val="0"/>
              <w:adjustRightInd w:val="0"/>
              <w:spacing w:line="360" w:lineRule="auto"/>
              <w:jc w:val="left"/>
              <w:rPr>
                <w:rFonts w:ascii="宋体" w:hAnsi="宋体"/>
                <w:bCs/>
                <w:sz w:val="24"/>
                <w:bdr w:val="single" w:color="auto" w:sz="4" w:space="0"/>
              </w:rPr>
            </w:pPr>
            <w:r>
              <w:rPr>
                <w:rFonts w:hint="eastAsia" w:ascii="宋体" w:hAnsi="宋体"/>
                <w:bCs/>
                <w:sz w:val="24"/>
                <w:bdr w:val="single" w:color="auto" w:sz="4" w:space="0"/>
              </w:rPr>
              <w:t>2  应选取沼气专用灶具，</w:t>
            </w:r>
            <w:r>
              <w:rPr>
                <w:rFonts w:ascii="宋体" w:hAnsi="宋体"/>
                <w:bCs/>
                <w:sz w:val="24"/>
                <w:bdr w:val="single" w:color="auto" w:sz="4" w:space="0"/>
              </w:rPr>
              <w:t>沼气灶具及零部件质量应符合国家现行有关</w:t>
            </w:r>
            <w:r>
              <w:rPr>
                <w:rFonts w:hint="eastAsia" w:ascii="宋体" w:hAnsi="宋体"/>
                <w:bCs/>
                <w:sz w:val="24"/>
                <w:bdr w:val="single" w:color="auto" w:sz="4" w:space="0"/>
              </w:rPr>
              <w:t>沼气灶具及零部件</w:t>
            </w:r>
            <w:r>
              <w:rPr>
                <w:rFonts w:ascii="宋体" w:hAnsi="宋体"/>
                <w:bCs/>
                <w:sz w:val="24"/>
                <w:bdr w:val="single" w:color="auto" w:sz="4" w:space="0"/>
              </w:rPr>
              <w:t>标准</w:t>
            </w:r>
            <w:r>
              <w:rPr>
                <w:rFonts w:hint="eastAsia" w:ascii="宋体" w:hAnsi="宋体"/>
                <w:bCs/>
                <w:sz w:val="24"/>
                <w:bdr w:val="single" w:color="auto" w:sz="4" w:space="0"/>
              </w:rPr>
              <w:t>的规定；</w:t>
            </w:r>
          </w:p>
          <w:p>
            <w:pPr>
              <w:autoSpaceDE w:val="0"/>
              <w:autoSpaceDN w:val="0"/>
              <w:adjustRightInd w:val="0"/>
              <w:spacing w:line="360" w:lineRule="auto"/>
              <w:jc w:val="left"/>
              <w:rPr>
                <w:rFonts w:ascii="宋体" w:hAnsi="宋体"/>
                <w:bCs/>
                <w:sz w:val="24"/>
                <w:bdr w:val="single" w:color="auto" w:sz="4" w:space="0"/>
              </w:rPr>
            </w:pPr>
            <w:r>
              <w:rPr>
                <w:rFonts w:hint="eastAsia" w:ascii="宋体" w:hAnsi="宋体"/>
                <w:bCs/>
                <w:sz w:val="24"/>
                <w:bdr w:val="single" w:color="auto" w:sz="4" w:space="0"/>
              </w:rPr>
              <w:t xml:space="preserve">3  </w:t>
            </w:r>
            <w:r>
              <w:rPr>
                <w:rFonts w:ascii="宋体" w:hAnsi="宋体"/>
                <w:bCs/>
                <w:sz w:val="24"/>
                <w:bdr w:val="single" w:color="auto" w:sz="4" w:space="0"/>
              </w:rPr>
              <w:t>沼气管道施工安装、试压、验收应符合</w:t>
            </w:r>
            <w:r>
              <w:rPr>
                <w:rFonts w:hint="eastAsia" w:ascii="宋体" w:hAnsi="宋体"/>
                <w:bCs/>
                <w:sz w:val="24"/>
                <w:bdr w:val="single" w:color="auto" w:sz="4" w:space="0"/>
              </w:rPr>
              <w:t>现行</w:t>
            </w:r>
            <w:r>
              <w:rPr>
                <w:rFonts w:ascii="宋体" w:hAnsi="宋体"/>
                <w:bCs/>
                <w:sz w:val="24"/>
                <w:bdr w:val="single" w:color="auto" w:sz="4" w:space="0"/>
              </w:rPr>
              <w:t>国家标准《农村家用沼气管路施工安装操作规程》GB</w:t>
            </w:r>
            <w:r>
              <w:rPr>
                <w:rFonts w:hint="eastAsia" w:ascii="宋体" w:hAnsi="宋体"/>
                <w:bCs/>
                <w:sz w:val="24"/>
                <w:bdr w:val="single" w:color="auto" w:sz="4" w:space="0"/>
              </w:rPr>
              <w:t xml:space="preserve"> </w:t>
            </w:r>
            <w:r>
              <w:rPr>
                <w:rFonts w:ascii="宋体" w:hAnsi="宋体"/>
                <w:bCs/>
                <w:sz w:val="24"/>
                <w:bdr w:val="single" w:color="auto" w:sz="4" w:space="0"/>
              </w:rPr>
              <w:t>7637的</w:t>
            </w:r>
            <w:r>
              <w:rPr>
                <w:rFonts w:hint="eastAsia" w:ascii="宋体" w:hAnsi="宋体"/>
                <w:bCs/>
                <w:sz w:val="24"/>
                <w:bdr w:val="single" w:color="auto" w:sz="4" w:space="0"/>
              </w:rPr>
              <w:t>有关规定；</w:t>
            </w:r>
          </w:p>
          <w:p>
            <w:pPr>
              <w:autoSpaceDE w:val="0"/>
              <w:autoSpaceDN w:val="0"/>
              <w:adjustRightInd w:val="0"/>
              <w:spacing w:line="360" w:lineRule="auto"/>
              <w:jc w:val="left"/>
              <w:rPr>
                <w:rFonts w:ascii="宋体" w:hAnsi="宋体"/>
                <w:bCs/>
                <w:sz w:val="24"/>
                <w:bdr w:val="single" w:color="auto" w:sz="4" w:space="0"/>
              </w:rPr>
            </w:pPr>
            <w:r>
              <w:rPr>
                <w:rFonts w:hint="eastAsia" w:ascii="宋体" w:hAnsi="宋体"/>
                <w:bCs/>
                <w:sz w:val="24"/>
                <w:bdr w:val="single" w:color="auto" w:sz="4" w:space="0"/>
              </w:rPr>
              <w:t xml:space="preserve">4  </w:t>
            </w:r>
            <w:r>
              <w:rPr>
                <w:rFonts w:ascii="宋体" w:hAnsi="宋体"/>
                <w:bCs/>
                <w:sz w:val="24"/>
                <w:bdr w:val="single" w:color="auto" w:sz="4" w:space="0"/>
              </w:rPr>
              <w:t>沼气管道上的开关阀应选用气密性能可靠、经久耐用，并通过鉴定的合格产品</w:t>
            </w:r>
            <w:r>
              <w:rPr>
                <w:rFonts w:hint="eastAsia" w:ascii="宋体" w:hAnsi="宋体"/>
                <w:bCs/>
                <w:sz w:val="24"/>
                <w:bdr w:val="single" w:color="auto" w:sz="4" w:space="0"/>
              </w:rPr>
              <w:t>，</w:t>
            </w:r>
            <w:r>
              <w:rPr>
                <w:rFonts w:ascii="宋体" w:hAnsi="宋体"/>
                <w:bCs/>
                <w:sz w:val="24"/>
                <w:bdr w:val="single" w:color="auto" w:sz="4" w:space="0"/>
              </w:rPr>
              <w:t>且阀孔孔径不</w:t>
            </w:r>
            <w:r>
              <w:rPr>
                <w:rFonts w:hint="eastAsia" w:ascii="宋体" w:hAnsi="宋体"/>
                <w:bCs/>
                <w:sz w:val="24"/>
                <w:bdr w:val="single" w:color="auto" w:sz="4" w:space="0"/>
              </w:rPr>
              <w:t>应</w:t>
            </w:r>
            <w:r>
              <w:rPr>
                <w:rFonts w:ascii="宋体" w:hAnsi="宋体"/>
                <w:bCs/>
                <w:sz w:val="24"/>
                <w:bdr w:val="single" w:color="auto" w:sz="4" w:space="0"/>
              </w:rPr>
              <w:t>小于5mm</w:t>
            </w:r>
            <w:r>
              <w:rPr>
                <w:rFonts w:hint="eastAsia" w:ascii="宋体" w:hAnsi="宋体"/>
                <w:bCs/>
                <w:sz w:val="24"/>
                <w:bdr w:val="single" w:color="auto" w:sz="4" w:space="0"/>
              </w:rPr>
              <w:t>；</w:t>
            </w:r>
          </w:p>
          <w:p>
            <w:pPr>
              <w:autoSpaceDE w:val="0"/>
              <w:autoSpaceDN w:val="0"/>
              <w:spacing w:line="360" w:lineRule="auto"/>
              <w:jc w:val="left"/>
              <w:rPr>
                <w:rFonts w:ascii="宋体" w:hAnsi="宋体"/>
                <w:bCs/>
                <w:sz w:val="24"/>
                <w:bdr w:val="single" w:color="auto" w:sz="4" w:space="0"/>
              </w:rPr>
            </w:pPr>
            <w:r>
              <w:rPr>
                <w:rFonts w:hint="eastAsia" w:ascii="宋体" w:hAnsi="宋体"/>
                <w:bCs/>
                <w:sz w:val="24"/>
                <w:bdr w:val="single" w:color="auto" w:sz="4" w:space="0"/>
              </w:rPr>
              <w:t>5  户用沼气池应做好寒冷季节池体的保温增温措施，发酵温度不应低于8℃；</w:t>
            </w:r>
          </w:p>
          <w:p>
            <w:pPr>
              <w:autoSpaceDE w:val="0"/>
              <w:autoSpaceDN w:val="0"/>
              <w:spacing w:line="360" w:lineRule="auto"/>
              <w:jc w:val="left"/>
              <w:rPr>
                <w:rFonts w:ascii="宋体" w:hAnsi="宋体"/>
                <w:bCs/>
                <w:sz w:val="24"/>
                <w:bdr w:val="single" w:color="auto" w:sz="4" w:space="0"/>
              </w:rPr>
            </w:pPr>
            <w:r>
              <w:rPr>
                <w:rFonts w:hint="eastAsia" w:ascii="宋体" w:hAnsi="宋体"/>
                <w:bCs/>
                <w:sz w:val="24"/>
                <w:bdr w:val="single" w:color="auto" w:sz="4" w:space="0"/>
              </w:rPr>
              <w:t>6  规模化沼气工程应对沼气池体进行保温，保温厚度应经过技术经济比较分析后确定。沼气池应采取加热方式维持所需池温。</w:t>
            </w:r>
          </w:p>
          <w:p>
            <w:pPr>
              <w:spacing w:line="360" w:lineRule="auto"/>
              <w:rPr>
                <w:rFonts w:ascii="宋体" w:hAnsi="宋体"/>
                <w:sz w:val="24"/>
                <w:bdr w:val="single" w:color="auto" w:sz="4" w:space="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bCs/>
                <w:sz w:val="24"/>
              </w:rPr>
            </w:pPr>
            <w:r>
              <w:rPr>
                <w:rFonts w:hint="eastAsia" w:ascii="宋体" w:hAnsi="宋体"/>
                <w:b/>
                <w:bCs/>
                <w:sz w:val="24"/>
              </w:rPr>
              <w:t xml:space="preserve">8.3.3 </w:t>
            </w:r>
            <w:r>
              <w:rPr>
                <w:rFonts w:hint="eastAsia" w:ascii="宋体" w:hAnsi="宋体"/>
                <w:bCs/>
                <w:sz w:val="24"/>
              </w:rPr>
              <w:t xml:space="preserve"> 秸秆气化供气系统应符合现行行业标准《秸秆气化供气系统技术条件及验收规范》NY/T 443及《秸秆气化炉质量评价技术规范》NY/T 1417的有关规定。气化机组的气化效率和能量转换率均应大于70%，灶具热效率应大于55%。</w:t>
            </w:r>
          </w:p>
        </w:tc>
        <w:tc>
          <w:tcPr>
            <w:tcW w:w="4753" w:type="dxa"/>
          </w:tcPr>
          <w:p>
            <w:pPr>
              <w:spacing w:line="360" w:lineRule="auto"/>
              <w:rPr>
                <w:rFonts w:ascii="宋体" w:hAnsi="宋体"/>
                <w:sz w:val="24"/>
                <w:bdr w:val="single" w:color="auto" w:sz="4" w:space="0"/>
              </w:rPr>
            </w:pPr>
            <w:r>
              <w:rPr>
                <w:rFonts w:hint="eastAsia" w:ascii="宋体" w:hAnsi="宋体"/>
                <w:b/>
                <w:bCs/>
                <w:sz w:val="24"/>
                <w:bdr w:val="single" w:color="auto" w:sz="4" w:space="0"/>
              </w:rPr>
              <w:t>8.3.3</w:t>
            </w:r>
            <w:r>
              <w:rPr>
                <w:rFonts w:hint="eastAsia" w:ascii="宋体" w:hAnsi="宋体"/>
                <w:bCs/>
                <w:sz w:val="24"/>
                <w:bdr w:val="single" w:color="auto" w:sz="4" w:space="0"/>
              </w:rPr>
              <w:t xml:space="preserve"> 秸秆气化供气系统应符合现行行业标准《秸秆气化供气系统技术条件及验收规范》NY/T 443及《秸秆气化炉质量评价技术规范》NY/T 1417的有关规定。气化机组的气化效率和能量转换率均应大于70%，灶具热效率应大于55%。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sz w:val="24"/>
              </w:rPr>
            </w:pPr>
            <w:r>
              <w:rPr>
                <w:rFonts w:ascii="宋体" w:hAnsi="宋体"/>
                <w:b/>
                <w:bCs/>
                <w:sz w:val="24"/>
              </w:rPr>
              <w:t xml:space="preserve">8.3.4  </w:t>
            </w:r>
            <w:r>
              <w:rPr>
                <w:rFonts w:ascii="宋体" w:hAnsi="宋体"/>
                <w:sz w:val="24"/>
              </w:rPr>
              <w:t>以生物质固体成型燃料方式进行生物质能利用时，应根据燃料规格、燃烧方式及用途等，选用合适的生物质固体成型燃料炉。</w:t>
            </w:r>
          </w:p>
        </w:tc>
        <w:tc>
          <w:tcPr>
            <w:tcW w:w="4753" w:type="dxa"/>
          </w:tcPr>
          <w:p>
            <w:pPr>
              <w:spacing w:line="360" w:lineRule="auto"/>
              <w:rPr>
                <w:rFonts w:ascii="宋体" w:hAnsi="宋体"/>
                <w:sz w:val="24"/>
                <w:u w:val="single"/>
                <w:bdr w:val="single" w:color="auto" w:sz="4" w:space="0"/>
              </w:rPr>
            </w:pPr>
            <w:r>
              <w:rPr>
                <w:rFonts w:ascii="宋体" w:hAnsi="宋体"/>
                <w:b/>
                <w:bCs/>
                <w:sz w:val="24"/>
                <w:bdr w:val="single" w:color="auto" w:sz="4" w:space="0"/>
              </w:rPr>
              <w:t xml:space="preserve">8.3.4  </w:t>
            </w:r>
            <w:r>
              <w:rPr>
                <w:rFonts w:ascii="宋体" w:hAnsi="宋体"/>
                <w:sz w:val="24"/>
                <w:bdr w:val="single" w:color="auto" w:sz="4" w:space="0"/>
              </w:rPr>
              <w:t>以生物质固体成型燃料方式进行生物质能利用时，应根据燃料规格、燃烧方式及用途等，选用合适的生物质固体成型燃料炉。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center"/>
              <w:rPr>
                <w:rFonts w:ascii="宋体" w:hAnsi="宋体"/>
                <w:b/>
                <w:bCs/>
                <w:sz w:val="24"/>
                <w:lang w:val="zh-CN"/>
              </w:rPr>
            </w:pPr>
            <w:r>
              <w:rPr>
                <w:rFonts w:ascii="宋体" w:hAnsi="宋体"/>
                <w:b/>
                <w:bCs/>
                <w:sz w:val="24"/>
                <w:lang w:val="zh-CN"/>
              </w:rPr>
              <w:t>8.4  地热能利用</w:t>
            </w:r>
          </w:p>
        </w:tc>
        <w:tc>
          <w:tcPr>
            <w:tcW w:w="4753" w:type="dxa"/>
          </w:tcPr>
          <w:p>
            <w:pPr>
              <w:autoSpaceDE w:val="0"/>
              <w:autoSpaceDN w:val="0"/>
              <w:adjustRightInd w:val="0"/>
              <w:spacing w:line="360" w:lineRule="auto"/>
              <w:jc w:val="center"/>
              <w:rPr>
                <w:rFonts w:ascii="宋体" w:hAnsi="宋体"/>
                <w:b/>
                <w:bCs/>
                <w:sz w:val="24"/>
                <w:bdr w:val="single" w:color="auto" w:sz="4" w:space="0"/>
                <w:lang w:val="zh-CN"/>
              </w:rPr>
            </w:pPr>
            <w:bookmarkStart w:id="117" w:name="_Toc119425270"/>
            <w:bookmarkStart w:id="118" w:name="_Toc311459975"/>
            <w:r>
              <w:rPr>
                <w:rFonts w:ascii="宋体" w:hAnsi="宋体"/>
                <w:b/>
                <w:bCs/>
                <w:sz w:val="24"/>
                <w:bdr w:val="single" w:color="auto" w:sz="4" w:space="0"/>
                <w:lang w:val="zh-CN"/>
              </w:rPr>
              <w:t>8.4  地热能利用</w:t>
            </w:r>
            <w:bookmarkEnd w:id="117"/>
            <w:bookmarkEnd w:id="11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adjustRightInd w:val="0"/>
              <w:spacing w:line="360" w:lineRule="auto"/>
              <w:jc w:val="left"/>
              <w:rPr>
                <w:rFonts w:ascii="宋体" w:hAnsi="宋体"/>
                <w:b/>
                <w:bCs/>
                <w:sz w:val="24"/>
              </w:rPr>
            </w:pPr>
            <w:r>
              <w:rPr>
                <w:rFonts w:hint="eastAsia" w:ascii="宋体" w:hAnsi="宋体"/>
                <w:b/>
                <w:bCs/>
                <w:sz w:val="24"/>
              </w:rPr>
              <w:t xml:space="preserve">8.4.1  </w:t>
            </w:r>
            <w:r>
              <w:rPr>
                <w:rFonts w:hint="eastAsia" w:ascii="宋体" w:hAnsi="宋体"/>
                <w:bCs/>
                <w:sz w:val="24"/>
              </w:rPr>
              <w:t>有条件时，寒冷地区或夏热冬冷地区农村居住建筑可采用地源热泵系统进行供暖空调。</w:t>
            </w:r>
          </w:p>
        </w:tc>
        <w:tc>
          <w:tcPr>
            <w:tcW w:w="4753" w:type="dxa"/>
          </w:tcPr>
          <w:p>
            <w:pPr>
              <w:autoSpaceDE w:val="0"/>
              <w:autoSpaceDN w:val="0"/>
              <w:adjustRightInd w:val="0"/>
              <w:spacing w:line="360" w:lineRule="auto"/>
              <w:jc w:val="left"/>
              <w:rPr>
                <w:rFonts w:ascii="宋体" w:hAnsi="宋体"/>
                <w:b/>
                <w:bCs/>
                <w:sz w:val="24"/>
                <w:bdr w:val="single" w:color="auto" w:sz="4" w:space="0"/>
                <w:lang w:val="zh-CN"/>
              </w:rPr>
            </w:pPr>
            <w:r>
              <w:rPr>
                <w:rFonts w:hint="eastAsia" w:ascii="宋体" w:hAnsi="宋体"/>
                <w:b/>
                <w:bCs/>
                <w:sz w:val="24"/>
                <w:bdr w:val="single" w:color="auto" w:sz="4" w:space="0"/>
              </w:rPr>
              <w:t xml:space="preserve">8.4.1  </w:t>
            </w:r>
            <w:r>
              <w:rPr>
                <w:rFonts w:hint="eastAsia" w:ascii="宋体" w:hAnsi="宋体"/>
                <w:bCs/>
                <w:sz w:val="24"/>
                <w:bdr w:val="single" w:color="auto" w:sz="4" w:space="0"/>
              </w:rPr>
              <w:t>有条件时，寒冷地区或夏热冬冷地区农村居住建筑可采用地源热泵系统进行供暖空调。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kern w:val="0"/>
                <w:sz w:val="24"/>
                <w:u w:val="single"/>
              </w:rPr>
            </w:pPr>
            <w:r>
              <w:rPr>
                <w:rFonts w:ascii="宋体" w:hAnsi="宋体"/>
                <w:b/>
                <w:sz w:val="24"/>
              </w:rPr>
              <w:t>8.4.2</w:t>
            </w:r>
            <w:r>
              <w:rPr>
                <w:rFonts w:ascii="宋体" w:hAnsi="宋体"/>
                <w:sz w:val="24"/>
              </w:rPr>
              <w:t xml:space="preserve">  采用较大规模的</w:t>
            </w:r>
            <w:r>
              <w:rPr>
                <w:rFonts w:ascii="宋体" w:hAnsi="宋体"/>
                <w:kern w:val="0"/>
                <w:sz w:val="24"/>
              </w:rPr>
              <w:t>地源热泵系统时，</w:t>
            </w:r>
            <w:r>
              <w:rPr>
                <w:rFonts w:ascii="宋体" w:hAnsi="宋体"/>
                <w:sz w:val="24"/>
              </w:rPr>
              <w:t>应符合现行国家标准</w:t>
            </w:r>
            <w:r>
              <w:rPr>
                <w:rFonts w:ascii="宋体" w:hAnsi="宋体"/>
                <w:kern w:val="0"/>
                <w:sz w:val="24"/>
              </w:rPr>
              <w:t>《地源热泵系统工程技术规范》GB 50366的相关规定。</w:t>
            </w:r>
          </w:p>
        </w:tc>
        <w:tc>
          <w:tcPr>
            <w:tcW w:w="4753" w:type="dxa"/>
          </w:tcPr>
          <w:p>
            <w:pPr>
              <w:autoSpaceDE w:val="0"/>
              <w:autoSpaceDN w:val="0"/>
              <w:spacing w:line="360" w:lineRule="auto"/>
              <w:jc w:val="left"/>
              <w:rPr>
                <w:rFonts w:ascii="宋体" w:hAnsi="宋体"/>
                <w:kern w:val="0"/>
                <w:sz w:val="24"/>
                <w:u w:val="single"/>
                <w:bdr w:val="single" w:color="auto" w:sz="4" w:space="0"/>
              </w:rPr>
            </w:pPr>
            <w:r>
              <w:rPr>
                <w:rFonts w:ascii="宋体" w:hAnsi="宋体"/>
                <w:b/>
                <w:sz w:val="24"/>
                <w:bdr w:val="single" w:color="auto" w:sz="4" w:space="0"/>
              </w:rPr>
              <w:t>8.4.2</w:t>
            </w:r>
            <w:r>
              <w:rPr>
                <w:rFonts w:ascii="宋体" w:hAnsi="宋体"/>
                <w:sz w:val="24"/>
                <w:bdr w:val="single" w:color="auto" w:sz="4" w:space="0"/>
              </w:rPr>
              <w:t xml:space="preserve">  采用较大规模的</w:t>
            </w:r>
            <w:r>
              <w:rPr>
                <w:rFonts w:ascii="宋体" w:hAnsi="宋体"/>
                <w:kern w:val="0"/>
                <w:sz w:val="24"/>
                <w:bdr w:val="single" w:color="auto" w:sz="4" w:space="0"/>
              </w:rPr>
              <w:t>地源热泵系统时，</w:t>
            </w:r>
            <w:r>
              <w:rPr>
                <w:rFonts w:ascii="宋体" w:hAnsi="宋体"/>
                <w:sz w:val="24"/>
                <w:bdr w:val="single" w:color="auto" w:sz="4" w:space="0"/>
              </w:rPr>
              <w:t>应符合现行国家标准</w:t>
            </w:r>
            <w:r>
              <w:rPr>
                <w:rFonts w:ascii="宋体" w:hAnsi="宋体"/>
                <w:kern w:val="0"/>
                <w:sz w:val="24"/>
                <w:bdr w:val="single" w:color="auto" w:sz="4" w:space="0"/>
              </w:rPr>
              <w:t>《地源热泵系统工程技术规范》GB 50366的相关规定。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sz w:val="24"/>
              </w:rPr>
            </w:pPr>
            <w:r>
              <w:rPr>
                <w:rFonts w:hint="eastAsia" w:ascii="宋体" w:hAnsi="宋体"/>
                <w:b/>
                <w:sz w:val="24"/>
              </w:rPr>
              <w:t>8.4.3</w:t>
            </w:r>
            <w:r>
              <w:rPr>
                <w:rFonts w:ascii="宋体" w:hAnsi="宋体"/>
                <w:sz w:val="24"/>
              </w:rPr>
              <w:t xml:space="preserve"> </w:t>
            </w:r>
            <w:r>
              <w:rPr>
                <w:rFonts w:hint="eastAsia" w:ascii="宋体" w:hAnsi="宋体"/>
                <w:sz w:val="24"/>
              </w:rPr>
              <w:t>采用地埋管地源热泵系统时，冬季地埋管换热器进口水温宜高于4℃；地埋管宜采用聚乙烯管（PE80或PE40）或聚丁烯管（PB）。</w:t>
            </w:r>
          </w:p>
        </w:tc>
        <w:tc>
          <w:tcPr>
            <w:tcW w:w="4753" w:type="dxa"/>
          </w:tcPr>
          <w:p>
            <w:pPr>
              <w:autoSpaceDE w:val="0"/>
              <w:autoSpaceDN w:val="0"/>
              <w:spacing w:line="360" w:lineRule="auto"/>
              <w:jc w:val="left"/>
              <w:rPr>
                <w:rFonts w:ascii="宋体" w:hAnsi="宋体"/>
                <w:b/>
                <w:sz w:val="24"/>
                <w:bdr w:val="single" w:color="auto" w:sz="4" w:space="0"/>
              </w:rPr>
            </w:pPr>
            <w:r>
              <w:rPr>
                <w:rFonts w:hint="eastAsia" w:ascii="宋体" w:hAnsi="宋体"/>
                <w:b/>
                <w:sz w:val="24"/>
                <w:bdr w:val="single" w:color="auto" w:sz="4" w:space="0"/>
              </w:rPr>
              <w:t>8.4.3</w:t>
            </w:r>
            <w:r>
              <w:rPr>
                <w:rFonts w:ascii="宋体" w:hAnsi="宋体"/>
                <w:sz w:val="24"/>
                <w:bdr w:val="single" w:color="auto" w:sz="4" w:space="0"/>
              </w:rPr>
              <w:t xml:space="preserve"> </w:t>
            </w:r>
            <w:r>
              <w:rPr>
                <w:rFonts w:hint="eastAsia" w:ascii="宋体" w:hAnsi="宋体"/>
                <w:sz w:val="24"/>
                <w:bdr w:val="single" w:color="auto" w:sz="4" w:space="0"/>
              </w:rPr>
              <w:t>采用地埋管地源热泵系统时，冬季地埋管换热器进口水温宜高于4℃；地埋管宜采用聚乙烯管（PE80或PE40）或聚丁烯管（PB）。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center"/>
              <w:rPr>
                <w:rFonts w:ascii="宋体" w:hAnsi="宋体"/>
                <w:b/>
                <w:bCs/>
                <w:sz w:val="24"/>
              </w:rPr>
            </w:pPr>
            <w:r>
              <w:rPr>
                <w:rFonts w:hint="eastAsia" w:ascii="宋体" w:hAnsi="宋体"/>
                <w:b/>
                <w:bCs/>
                <w:sz w:val="24"/>
              </w:rPr>
              <w:t>附录A  围护结构保温隔热构造选用</w:t>
            </w:r>
          </w:p>
        </w:tc>
        <w:tc>
          <w:tcPr>
            <w:tcW w:w="4753" w:type="dxa"/>
          </w:tcPr>
          <w:p>
            <w:pPr>
              <w:autoSpaceDE w:val="0"/>
              <w:autoSpaceDN w:val="0"/>
              <w:spacing w:line="360" w:lineRule="auto"/>
              <w:jc w:val="left"/>
              <w:rPr>
                <w:rFonts w:ascii="宋体" w:hAnsi="宋体"/>
                <w:b/>
                <w:bCs/>
                <w:kern w:val="0"/>
                <w:sz w:val="24"/>
                <w:u w:val="single"/>
              </w:rPr>
            </w:pPr>
            <w:r>
              <w:rPr>
                <w:rFonts w:hint="eastAsia" w:ascii="宋体" w:hAnsi="宋体"/>
                <w:b/>
                <w:bCs/>
                <w:sz w:val="24"/>
              </w:rPr>
              <w:t>附录A  围护结构保温隔热构造选用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rFonts w:ascii="宋体" w:hAnsi="宋体"/>
                <w:b/>
                <w:bCs/>
                <w:sz w:val="24"/>
              </w:rPr>
            </w:pPr>
            <w:r>
              <w:rPr>
                <w:rFonts w:hint="eastAsia" w:ascii="宋体" w:hAnsi="宋体"/>
                <w:b/>
                <w:bCs/>
                <w:sz w:val="24"/>
              </w:rPr>
              <w:t>表A.0.1  严寒和寒冷地区农村居住建筑外墙保温构造形式和保温材料厚度</w:t>
            </w:r>
            <w:r>
              <w:drawing>
                <wp:inline distT="0" distB="0" distL="0" distR="0">
                  <wp:extent cx="2630805" cy="5486400"/>
                  <wp:effectExtent l="0" t="0" r="0" b="0"/>
                  <wp:docPr id="413230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30223" name="图片 1"/>
                          <pic:cNvPicPr>
                            <a:picLocks noChangeAspect="1"/>
                          </pic:cNvPicPr>
                        </pic:nvPicPr>
                        <pic:blipFill>
                          <a:blip r:embed="rId9"/>
                          <a:stretch>
                            <a:fillRect/>
                          </a:stretch>
                        </pic:blipFill>
                        <pic:spPr>
                          <a:xfrm>
                            <a:off x="0" y="0"/>
                            <a:ext cx="2635758" cy="5496206"/>
                          </a:xfrm>
                          <a:prstGeom prst="rect">
                            <a:avLst/>
                          </a:prstGeom>
                        </pic:spPr>
                      </pic:pic>
                    </a:graphicData>
                  </a:graphic>
                </wp:inline>
              </w:drawing>
            </w:r>
          </w:p>
          <w:p>
            <w:pPr>
              <w:autoSpaceDE w:val="0"/>
              <w:autoSpaceDN w:val="0"/>
              <w:spacing w:line="360" w:lineRule="auto"/>
              <w:jc w:val="left"/>
              <w:rPr>
                <w:rFonts w:ascii="宋体" w:hAnsi="宋体"/>
                <w:b/>
                <w:bCs/>
                <w:sz w:val="24"/>
              </w:rPr>
            </w:pPr>
            <w:r>
              <w:drawing>
                <wp:inline distT="0" distB="0" distL="0" distR="0">
                  <wp:extent cx="2592705" cy="2924175"/>
                  <wp:effectExtent l="0" t="0" r="0" b="0"/>
                  <wp:docPr id="1453323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23820" name="图片 1"/>
                          <pic:cNvPicPr>
                            <a:picLocks noChangeAspect="1"/>
                          </pic:cNvPicPr>
                        </pic:nvPicPr>
                        <pic:blipFill>
                          <a:blip r:embed="rId10"/>
                          <a:stretch>
                            <a:fillRect/>
                          </a:stretch>
                        </pic:blipFill>
                        <pic:spPr>
                          <a:xfrm>
                            <a:off x="0" y="0"/>
                            <a:ext cx="2597130" cy="2928882"/>
                          </a:xfrm>
                          <a:prstGeom prst="rect">
                            <a:avLst/>
                          </a:prstGeom>
                        </pic:spPr>
                      </pic:pic>
                    </a:graphicData>
                  </a:graphic>
                </wp:inline>
              </w:drawing>
            </w:r>
          </w:p>
        </w:tc>
        <w:tc>
          <w:tcPr>
            <w:tcW w:w="4753" w:type="dxa"/>
          </w:tcPr>
          <w:p>
            <w:pPr>
              <w:autoSpaceDE w:val="0"/>
              <w:autoSpaceDN w:val="0"/>
              <w:spacing w:line="360" w:lineRule="auto"/>
              <w:jc w:val="left"/>
              <w:rPr>
                <w:rFonts w:ascii="宋体" w:hAnsi="宋体"/>
                <w:b/>
                <w:bCs/>
                <w:kern w:val="0"/>
                <w:sz w:val="24"/>
                <w:u w:val="single"/>
              </w:rPr>
            </w:pPr>
            <w:r>
              <w:rPr>
                <w:rFonts w:hint="eastAsia" w:ascii="宋体" w:hAnsi="宋体"/>
                <w:b/>
                <w:bCs/>
                <w:sz w:val="24"/>
              </w:rPr>
              <w:t>表A.0.1  严寒和寒冷地区农村居住建筑外墙保温构造形式和保温材料厚度</w:t>
            </w:r>
          </w:p>
          <w:p>
            <w:pPr>
              <w:autoSpaceDE w:val="0"/>
              <w:autoSpaceDN w:val="0"/>
              <w:spacing w:line="360" w:lineRule="auto"/>
              <w:jc w:val="left"/>
            </w:pPr>
            <w:r>
              <w:drawing>
                <wp:inline distT="0" distB="0" distL="0" distR="0">
                  <wp:extent cx="2454910" cy="62388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2464198" cy="6262215"/>
                          </a:xfrm>
                          <a:prstGeom prst="rect">
                            <a:avLst/>
                          </a:prstGeom>
                        </pic:spPr>
                      </pic:pic>
                    </a:graphicData>
                  </a:graphic>
                </wp:inline>
              </w:drawing>
            </w:r>
          </w:p>
          <w:p>
            <w:pPr>
              <w:autoSpaceDE w:val="0"/>
              <w:autoSpaceDN w:val="0"/>
              <w:spacing w:line="360" w:lineRule="auto"/>
              <w:jc w:val="left"/>
            </w:pPr>
            <w:r>
              <w:drawing>
                <wp:inline distT="0" distB="0" distL="0" distR="0">
                  <wp:extent cx="2465070" cy="20193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2472366" cy="2024803"/>
                          </a:xfrm>
                          <a:prstGeom prst="rect">
                            <a:avLst/>
                          </a:prstGeom>
                        </pic:spPr>
                      </pic:pic>
                    </a:graphicData>
                  </a:graphic>
                </wp:inline>
              </w:drawing>
            </w:r>
          </w:p>
          <w:p>
            <w:pPr>
              <w:autoSpaceDE w:val="0"/>
              <w:autoSpaceDN w:val="0"/>
              <w:spacing w:line="360" w:lineRule="auto"/>
              <w:jc w:val="left"/>
              <w:rPr>
                <w:rFonts w:ascii="宋体" w:hAnsi="宋体"/>
                <w:b/>
                <w:bCs/>
                <w:kern w:val="0"/>
                <w:sz w:val="24"/>
                <w:u w:val="single"/>
              </w:rPr>
            </w:pPr>
            <w:r>
              <w:drawing>
                <wp:inline distT="0" distB="0" distL="0" distR="0">
                  <wp:extent cx="2455545" cy="2075815"/>
                  <wp:effectExtent l="0" t="0" r="190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2464994" cy="2084047"/>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sz w:val="24"/>
              </w:rPr>
            </w:pPr>
            <w:r>
              <w:rPr>
                <w:b/>
                <w:sz w:val="24"/>
              </w:rPr>
              <w:t xml:space="preserve">A.0.2  </w:t>
            </w:r>
            <w:r>
              <w:rPr>
                <w:sz w:val="24"/>
              </w:rPr>
              <w:t>夏热冬冷和夏热冬暖地区农村居住建筑自保温墙体构造形式和材料厚度，可按表A.0.2选用。</w:t>
            </w:r>
          </w:p>
          <w:p>
            <w:pPr>
              <w:spacing w:line="360" w:lineRule="auto"/>
              <w:jc w:val="center"/>
              <w:rPr>
                <w:b/>
                <w:sz w:val="24"/>
              </w:rPr>
            </w:pPr>
            <w:r>
              <w:rPr>
                <w:b/>
                <w:sz w:val="24"/>
              </w:rPr>
              <w:t>表A.0.2  夏热冬冷和夏热冬暖地区农村居住建筑自保温墙体构造形式和材料厚度</w:t>
            </w:r>
          </w:p>
          <w:p>
            <w:pPr>
              <w:spacing w:line="360" w:lineRule="auto"/>
              <w:jc w:val="center"/>
              <w:rPr>
                <w:rFonts w:ascii="宋体" w:hAnsi="宋体"/>
                <w:b/>
                <w:bCs/>
                <w:sz w:val="24"/>
              </w:rPr>
            </w:pPr>
            <w:r>
              <w:drawing>
                <wp:inline distT="0" distB="0" distL="0" distR="0">
                  <wp:extent cx="2518410" cy="2073275"/>
                  <wp:effectExtent l="0" t="0" r="0" b="3175"/>
                  <wp:docPr id="248915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15151" name="图片 1"/>
                          <pic:cNvPicPr>
                            <a:picLocks noChangeAspect="1"/>
                          </pic:cNvPicPr>
                        </pic:nvPicPr>
                        <pic:blipFill>
                          <a:blip r:embed="rId14"/>
                          <a:stretch>
                            <a:fillRect/>
                          </a:stretch>
                        </pic:blipFill>
                        <pic:spPr>
                          <a:xfrm>
                            <a:off x="0" y="0"/>
                            <a:ext cx="2543563" cy="2093564"/>
                          </a:xfrm>
                          <a:prstGeom prst="rect">
                            <a:avLst/>
                          </a:prstGeom>
                        </pic:spPr>
                      </pic:pic>
                    </a:graphicData>
                  </a:graphic>
                </wp:inline>
              </w:drawing>
            </w:r>
          </w:p>
        </w:tc>
        <w:tc>
          <w:tcPr>
            <w:tcW w:w="4753" w:type="dxa"/>
          </w:tcPr>
          <w:p>
            <w:pPr>
              <w:spacing w:line="360" w:lineRule="auto"/>
              <w:rPr>
                <w:sz w:val="24"/>
              </w:rPr>
            </w:pPr>
            <w:r>
              <w:rPr>
                <w:b/>
                <w:sz w:val="24"/>
              </w:rPr>
              <w:t xml:space="preserve">A.0.2  </w:t>
            </w:r>
            <w:r>
              <w:rPr>
                <w:sz w:val="24"/>
              </w:rPr>
              <w:t>夏热冬冷</w:t>
            </w:r>
            <w:r>
              <w:rPr>
                <w:rFonts w:hint="eastAsia"/>
                <w:sz w:val="24"/>
              </w:rPr>
              <w:t>、</w:t>
            </w:r>
            <w:r>
              <w:rPr>
                <w:sz w:val="24"/>
              </w:rPr>
              <w:t>夏热冬暖</w:t>
            </w:r>
            <w:r>
              <w:rPr>
                <w:rFonts w:hint="eastAsia"/>
                <w:sz w:val="24"/>
                <w:u w:val="single"/>
              </w:rPr>
              <w:t>和温和A区</w:t>
            </w:r>
            <w:r>
              <w:rPr>
                <w:sz w:val="24"/>
              </w:rPr>
              <w:t>农村居住建筑自保温墙体构造形式和材料厚度，可按表A.0.2选用。</w:t>
            </w:r>
          </w:p>
          <w:p>
            <w:pPr>
              <w:spacing w:line="360" w:lineRule="auto"/>
              <w:jc w:val="center"/>
              <w:rPr>
                <w:b/>
                <w:sz w:val="24"/>
              </w:rPr>
            </w:pPr>
            <w:r>
              <w:rPr>
                <w:b/>
                <w:sz w:val="24"/>
              </w:rPr>
              <w:t>表A.0.2  夏热冬冷</w:t>
            </w:r>
            <w:r>
              <w:rPr>
                <w:rFonts w:hint="eastAsia"/>
                <w:b/>
                <w:sz w:val="24"/>
                <w:u w:val="single"/>
              </w:rPr>
              <w:t>、</w:t>
            </w:r>
            <w:r>
              <w:rPr>
                <w:b/>
                <w:sz w:val="24"/>
              </w:rPr>
              <w:t>夏热冬暖</w:t>
            </w:r>
            <w:r>
              <w:rPr>
                <w:rFonts w:hint="eastAsia"/>
                <w:b/>
                <w:sz w:val="24"/>
                <w:u w:val="single"/>
              </w:rPr>
              <w:t>和温和A区</w:t>
            </w:r>
            <w:r>
              <w:rPr>
                <w:b/>
                <w:sz w:val="24"/>
              </w:rPr>
              <w:t>农村居住建筑自保温墙体构造形式和材料厚度</w:t>
            </w:r>
          </w:p>
          <w:p>
            <w:pPr>
              <w:autoSpaceDE w:val="0"/>
              <w:autoSpaceDN w:val="0"/>
              <w:spacing w:line="360" w:lineRule="auto"/>
              <w:jc w:val="left"/>
              <w:rPr>
                <w:rFonts w:ascii="宋体" w:hAnsi="宋体"/>
                <w:b/>
                <w:bCs/>
                <w:sz w:val="24"/>
              </w:rPr>
            </w:pPr>
            <w:r>
              <w:drawing>
                <wp:inline distT="0" distB="0" distL="0" distR="0">
                  <wp:extent cx="2500630" cy="2581275"/>
                  <wp:effectExtent l="0" t="0" r="0" b="0"/>
                  <wp:docPr id="620785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85345" name="图片 1"/>
                          <pic:cNvPicPr>
                            <a:picLocks noChangeAspect="1"/>
                          </pic:cNvPicPr>
                        </pic:nvPicPr>
                        <pic:blipFill>
                          <a:blip r:embed="rId15"/>
                          <a:stretch>
                            <a:fillRect/>
                          </a:stretch>
                        </pic:blipFill>
                        <pic:spPr>
                          <a:xfrm>
                            <a:off x="0" y="0"/>
                            <a:ext cx="2508572" cy="2589337"/>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autoSpaceDE w:val="0"/>
              <w:autoSpaceDN w:val="0"/>
              <w:spacing w:line="360" w:lineRule="auto"/>
              <w:jc w:val="left"/>
              <w:rPr>
                <w:sz w:val="24"/>
              </w:rPr>
            </w:pPr>
            <w:r>
              <w:rPr>
                <w:b/>
                <w:sz w:val="24"/>
              </w:rPr>
              <w:t xml:space="preserve">A.0.3  </w:t>
            </w:r>
            <w:r>
              <w:rPr>
                <w:sz w:val="24"/>
              </w:rPr>
              <w:t>夏热冬冷和夏热冬暖地区农村居住建筑外墙外保温构造形式和材料厚度，可按表A.0.3选用。</w:t>
            </w:r>
          </w:p>
          <w:p>
            <w:pPr>
              <w:spacing w:line="360" w:lineRule="auto"/>
              <w:jc w:val="center"/>
              <w:rPr>
                <w:b/>
                <w:sz w:val="24"/>
              </w:rPr>
            </w:pPr>
            <w:r>
              <w:rPr>
                <w:b/>
                <w:sz w:val="24"/>
              </w:rPr>
              <w:t>表A.0.3  夏热冬冷和夏热冬暖地区农村居住建筑外墙外保温构造形式和保温材料厚度</w:t>
            </w:r>
          </w:p>
          <w:p>
            <w:pPr>
              <w:autoSpaceDE w:val="0"/>
              <w:autoSpaceDN w:val="0"/>
              <w:spacing w:line="360" w:lineRule="auto"/>
              <w:jc w:val="left"/>
              <w:rPr>
                <w:sz w:val="24"/>
              </w:rPr>
            </w:pPr>
            <w:r>
              <w:drawing>
                <wp:inline distT="0" distB="0" distL="0" distR="0">
                  <wp:extent cx="2613660" cy="5753100"/>
                  <wp:effectExtent l="0" t="0" r="0" b="0"/>
                  <wp:docPr id="880566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6476" name="图片 1"/>
                          <pic:cNvPicPr>
                            <a:picLocks noChangeAspect="1"/>
                          </pic:cNvPicPr>
                        </pic:nvPicPr>
                        <pic:blipFill>
                          <a:blip r:embed="rId16"/>
                          <a:stretch>
                            <a:fillRect/>
                          </a:stretch>
                        </pic:blipFill>
                        <pic:spPr>
                          <a:xfrm>
                            <a:off x="0" y="0"/>
                            <a:ext cx="2620566" cy="5767986"/>
                          </a:xfrm>
                          <a:prstGeom prst="rect">
                            <a:avLst/>
                          </a:prstGeom>
                        </pic:spPr>
                      </pic:pic>
                    </a:graphicData>
                  </a:graphic>
                </wp:inline>
              </w:drawing>
            </w:r>
          </w:p>
          <w:p>
            <w:pPr>
              <w:autoSpaceDE w:val="0"/>
              <w:autoSpaceDN w:val="0"/>
              <w:spacing w:line="360" w:lineRule="auto"/>
              <w:jc w:val="left"/>
              <w:rPr>
                <w:sz w:val="24"/>
              </w:rPr>
            </w:pPr>
            <w:r>
              <w:drawing>
                <wp:inline distT="0" distB="0" distL="0" distR="0">
                  <wp:extent cx="2613660" cy="5495925"/>
                  <wp:effectExtent l="0" t="0" r="0" b="0"/>
                  <wp:docPr id="2076684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84392" name="图片 1"/>
                          <pic:cNvPicPr>
                            <a:picLocks noChangeAspect="1"/>
                          </pic:cNvPicPr>
                        </pic:nvPicPr>
                        <pic:blipFill>
                          <a:blip r:embed="rId17"/>
                          <a:stretch>
                            <a:fillRect/>
                          </a:stretch>
                        </pic:blipFill>
                        <pic:spPr>
                          <a:xfrm>
                            <a:off x="0" y="0"/>
                            <a:ext cx="2619149" cy="5507166"/>
                          </a:xfrm>
                          <a:prstGeom prst="rect">
                            <a:avLst/>
                          </a:prstGeom>
                        </pic:spPr>
                      </pic:pic>
                    </a:graphicData>
                  </a:graphic>
                </wp:inline>
              </w:drawing>
            </w:r>
          </w:p>
          <w:p>
            <w:pPr>
              <w:autoSpaceDE w:val="0"/>
              <w:autoSpaceDN w:val="0"/>
              <w:spacing w:line="360" w:lineRule="auto"/>
              <w:jc w:val="left"/>
              <w:rPr>
                <w:sz w:val="24"/>
              </w:rPr>
            </w:pPr>
            <w:r>
              <w:drawing>
                <wp:inline distT="0" distB="0" distL="0" distR="0">
                  <wp:extent cx="2613660" cy="1552575"/>
                  <wp:effectExtent l="0" t="0" r="0" b="9525"/>
                  <wp:docPr id="280818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18386" name="图片 1"/>
                          <pic:cNvPicPr>
                            <a:picLocks noChangeAspect="1"/>
                          </pic:cNvPicPr>
                        </pic:nvPicPr>
                        <pic:blipFill>
                          <a:blip r:embed="rId18"/>
                          <a:stretch>
                            <a:fillRect/>
                          </a:stretch>
                        </pic:blipFill>
                        <pic:spPr>
                          <a:xfrm>
                            <a:off x="0" y="0"/>
                            <a:ext cx="2616796" cy="1554438"/>
                          </a:xfrm>
                          <a:prstGeom prst="rect">
                            <a:avLst/>
                          </a:prstGeom>
                        </pic:spPr>
                      </pic:pic>
                    </a:graphicData>
                  </a:graphic>
                </wp:inline>
              </w:drawing>
            </w:r>
          </w:p>
          <w:p>
            <w:pPr>
              <w:autoSpaceDE w:val="0"/>
              <w:autoSpaceDN w:val="0"/>
              <w:spacing w:line="360" w:lineRule="auto"/>
              <w:jc w:val="left"/>
              <w:rPr>
                <w:rFonts w:ascii="宋体" w:hAnsi="宋体"/>
                <w:b/>
                <w:bCs/>
                <w:sz w:val="24"/>
              </w:rPr>
            </w:pPr>
          </w:p>
        </w:tc>
        <w:tc>
          <w:tcPr>
            <w:tcW w:w="4753" w:type="dxa"/>
          </w:tcPr>
          <w:p>
            <w:pPr>
              <w:autoSpaceDE w:val="0"/>
              <w:autoSpaceDN w:val="0"/>
              <w:spacing w:line="360" w:lineRule="auto"/>
              <w:jc w:val="left"/>
              <w:rPr>
                <w:sz w:val="24"/>
              </w:rPr>
            </w:pPr>
            <w:r>
              <w:rPr>
                <w:b/>
                <w:sz w:val="24"/>
              </w:rPr>
              <w:t xml:space="preserve">A.0.3  </w:t>
            </w:r>
            <w:r>
              <w:rPr>
                <w:sz w:val="24"/>
              </w:rPr>
              <w:t>夏热冬冷</w:t>
            </w:r>
            <w:r>
              <w:rPr>
                <w:rFonts w:hint="eastAsia"/>
                <w:sz w:val="24"/>
              </w:rPr>
              <w:t>、</w:t>
            </w:r>
            <w:r>
              <w:rPr>
                <w:sz w:val="24"/>
              </w:rPr>
              <w:t>夏热冬暖</w:t>
            </w:r>
            <w:r>
              <w:rPr>
                <w:rFonts w:hint="eastAsia"/>
                <w:sz w:val="24"/>
                <w:u w:val="single"/>
              </w:rPr>
              <w:t>和温和A区</w:t>
            </w:r>
            <w:r>
              <w:rPr>
                <w:sz w:val="24"/>
              </w:rPr>
              <w:t>农村居住建筑外墙外保温构造形式和材料厚度，可按表A.0.3选用。</w:t>
            </w:r>
          </w:p>
          <w:p>
            <w:pPr>
              <w:spacing w:line="360" w:lineRule="auto"/>
              <w:jc w:val="center"/>
              <w:rPr>
                <w:b/>
                <w:sz w:val="24"/>
              </w:rPr>
            </w:pPr>
            <w:r>
              <w:rPr>
                <w:b/>
                <w:sz w:val="24"/>
              </w:rPr>
              <w:t>表A.0.3  夏热冬冷</w:t>
            </w:r>
            <w:r>
              <w:rPr>
                <w:rFonts w:hint="eastAsia"/>
                <w:b/>
                <w:sz w:val="24"/>
                <w:u w:val="single"/>
              </w:rPr>
              <w:t>、</w:t>
            </w:r>
            <w:r>
              <w:rPr>
                <w:b/>
                <w:sz w:val="24"/>
              </w:rPr>
              <w:t>夏热冬暖</w:t>
            </w:r>
            <w:r>
              <w:rPr>
                <w:rFonts w:hint="eastAsia"/>
                <w:b/>
                <w:sz w:val="24"/>
                <w:u w:val="single"/>
              </w:rPr>
              <w:t>和温和A区</w:t>
            </w:r>
            <w:r>
              <w:rPr>
                <w:b/>
                <w:sz w:val="24"/>
              </w:rPr>
              <w:t>农村居住建筑外墙外保温构造形式和保温材料厚度</w:t>
            </w:r>
          </w:p>
          <w:p>
            <w:pPr>
              <w:autoSpaceDE w:val="0"/>
              <w:autoSpaceDN w:val="0"/>
              <w:spacing w:line="360" w:lineRule="auto"/>
              <w:jc w:val="left"/>
            </w:pPr>
            <w:r>
              <w:drawing>
                <wp:inline distT="0" distB="0" distL="0" distR="0">
                  <wp:extent cx="2487295" cy="4638675"/>
                  <wp:effectExtent l="0" t="0" r="8255" b="0"/>
                  <wp:docPr id="2116497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97258" name="图片 1"/>
                          <pic:cNvPicPr>
                            <a:picLocks noChangeAspect="1"/>
                          </pic:cNvPicPr>
                        </pic:nvPicPr>
                        <pic:blipFill>
                          <a:blip r:embed="rId19"/>
                          <a:stretch>
                            <a:fillRect/>
                          </a:stretch>
                        </pic:blipFill>
                        <pic:spPr>
                          <a:xfrm>
                            <a:off x="0" y="0"/>
                            <a:ext cx="2496800" cy="4655750"/>
                          </a:xfrm>
                          <a:prstGeom prst="rect">
                            <a:avLst/>
                          </a:prstGeom>
                        </pic:spPr>
                      </pic:pic>
                    </a:graphicData>
                  </a:graphic>
                </wp:inline>
              </w:drawing>
            </w:r>
          </w:p>
          <w:p>
            <w:pPr>
              <w:autoSpaceDE w:val="0"/>
              <w:autoSpaceDN w:val="0"/>
              <w:spacing w:line="360" w:lineRule="auto"/>
              <w:jc w:val="left"/>
            </w:pPr>
            <w:r>
              <w:drawing>
                <wp:inline distT="0" distB="0" distL="0" distR="0">
                  <wp:extent cx="2399030" cy="5772150"/>
                  <wp:effectExtent l="0" t="0" r="1270" b="0"/>
                  <wp:docPr id="501768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68363" name="图片 1"/>
                          <pic:cNvPicPr>
                            <a:picLocks noChangeAspect="1"/>
                          </pic:cNvPicPr>
                        </pic:nvPicPr>
                        <pic:blipFill>
                          <a:blip r:embed="rId20"/>
                          <a:stretch>
                            <a:fillRect/>
                          </a:stretch>
                        </pic:blipFill>
                        <pic:spPr>
                          <a:xfrm>
                            <a:off x="0" y="0"/>
                            <a:ext cx="2404392" cy="5783723"/>
                          </a:xfrm>
                          <a:prstGeom prst="rect">
                            <a:avLst/>
                          </a:prstGeom>
                        </pic:spPr>
                      </pic:pic>
                    </a:graphicData>
                  </a:graphic>
                </wp:inline>
              </w:drawing>
            </w:r>
          </w:p>
          <w:p>
            <w:pPr>
              <w:autoSpaceDE w:val="0"/>
              <w:autoSpaceDN w:val="0"/>
              <w:spacing w:line="360" w:lineRule="auto"/>
              <w:jc w:val="left"/>
            </w:pPr>
            <w:r>
              <w:drawing>
                <wp:inline distT="0" distB="0" distL="0" distR="0">
                  <wp:extent cx="2396490" cy="1609725"/>
                  <wp:effectExtent l="0" t="0" r="3810" b="0"/>
                  <wp:docPr id="1379533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33167" name="图片 1"/>
                          <pic:cNvPicPr>
                            <a:picLocks noChangeAspect="1"/>
                          </pic:cNvPicPr>
                        </pic:nvPicPr>
                        <pic:blipFill>
                          <a:blip r:embed="rId21"/>
                          <a:stretch>
                            <a:fillRect/>
                          </a:stretch>
                        </pic:blipFill>
                        <pic:spPr>
                          <a:xfrm>
                            <a:off x="0" y="0"/>
                            <a:ext cx="2404784" cy="1615030"/>
                          </a:xfrm>
                          <a:prstGeom prst="rect">
                            <a:avLst/>
                          </a:prstGeom>
                        </pic:spPr>
                      </pic:pic>
                    </a:graphicData>
                  </a:graphic>
                </wp:inline>
              </w:drawing>
            </w:r>
          </w:p>
          <w:p>
            <w:pPr>
              <w:autoSpaceDE w:val="0"/>
              <w:autoSpaceDN w:val="0"/>
              <w:spacing w:line="360" w:lineRule="auto"/>
              <w:jc w:val="left"/>
              <w:rPr>
                <w:rFonts w:ascii="宋体" w:hAnsi="宋体"/>
                <w:b/>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before="156" w:beforeLines="50" w:line="360" w:lineRule="auto"/>
              <w:rPr>
                <w:sz w:val="24"/>
              </w:rPr>
            </w:pPr>
            <w:r>
              <w:rPr>
                <w:b/>
                <w:sz w:val="24"/>
              </w:rPr>
              <w:t xml:space="preserve">A.0.4  </w:t>
            </w:r>
            <w:r>
              <w:rPr>
                <w:sz w:val="24"/>
              </w:rPr>
              <w:t>夏热冬冷和夏热冬暖地区农村居住建筑外墙内保温构造形式和材料厚度，可按表A.0.4选用。</w:t>
            </w:r>
          </w:p>
          <w:p>
            <w:pPr>
              <w:spacing w:line="440" w:lineRule="exact"/>
              <w:jc w:val="center"/>
              <w:rPr>
                <w:b/>
                <w:sz w:val="24"/>
              </w:rPr>
            </w:pPr>
            <w:r>
              <w:rPr>
                <w:b/>
                <w:sz w:val="24"/>
              </w:rPr>
              <w:t xml:space="preserve">表A.0.4  </w:t>
            </w:r>
            <w:r>
              <w:rPr>
                <w:b/>
                <w:bCs/>
                <w:sz w:val="24"/>
              </w:rPr>
              <w:t>夏热冬冷和夏热冬暖地区</w:t>
            </w:r>
            <w:r>
              <w:rPr>
                <w:b/>
                <w:sz w:val="24"/>
              </w:rPr>
              <w:t>农村居住建筑外墙内保温构造形式和保温材料厚度</w:t>
            </w:r>
          </w:p>
          <w:p>
            <w:pPr>
              <w:autoSpaceDE w:val="0"/>
              <w:autoSpaceDN w:val="0"/>
              <w:spacing w:line="360" w:lineRule="auto"/>
              <w:jc w:val="left"/>
              <w:rPr>
                <w:rFonts w:ascii="宋体" w:hAnsi="宋体"/>
                <w:b/>
                <w:bCs/>
                <w:sz w:val="24"/>
              </w:rPr>
            </w:pPr>
            <w:r>
              <w:drawing>
                <wp:inline distT="0" distB="0" distL="0" distR="0">
                  <wp:extent cx="2604770" cy="5686425"/>
                  <wp:effectExtent l="0" t="0" r="5080" b="0"/>
                  <wp:docPr id="510410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10277" name="图片 1"/>
                          <pic:cNvPicPr>
                            <a:picLocks noChangeAspect="1"/>
                          </pic:cNvPicPr>
                        </pic:nvPicPr>
                        <pic:blipFill>
                          <a:blip r:embed="rId22"/>
                          <a:stretch>
                            <a:fillRect/>
                          </a:stretch>
                        </pic:blipFill>
                        <pic:spPr>
                          <a:xfrm>
                            <a:off x="0" y="0"/>
                            <a:ext cx="2610995" cy="5699124"/>
                          </a:xfrm>
                          <a:prstGeom prst="rect">
                            <a:avLst/>
                          </a:prstGeom>
                        </pic:spPr>
                      </pic:pic>
                    </a:graphicData>
                  </a:graphic>
                </wp:inline>
              </w:drawing>
            </w:r>
          </w:p>
          <w:p>
            <w:pPr>
              <w:autoSpaceDE w:val="0"/>
              <w:autoSpaceDN w:val="0"/>
              <w:spacing w:line="360" w:lineRule="auto"/>
              <w:jc w:val="left"/>
              <w:rPr>
                <w:rFonts w:ascii="宋体" w:hAnsi="宋体"/>
                <w:b/>
                <w:bCs/>
                <w:sz w:val="24"/>
              </w:rPr>
            </w:pPr>
            <w:r>
              <w:drawing>
                <wp:inline distT="0" distB="0" distL="0" distR="0">
                  <wp:extent cx="2596515" cy="3724275"/>
                  <wp:effectExtent l="0" t="0" r="0" b="0"/>
                  <wp:docPr id="1397756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56164" name="图片 1"/>
                          <pic:cNvPicPr>
                            <a:picLocks noChangeAspect="1"/>
                          </pic:cNvPicPr>
                        </pic:nvPicPr>
                        <pic:blipFill>
                          <a:blip r:embed="rId23"/>
                          <a:stretch>
                            <a:fillRect/>
                          </a:stretch>
                        </pic:blipFill>
                        <pic:spPr>
                          <a:xfrm>
                            <a:off x="0" y="0"/>
                            <a:ext cx="2605002" cy="3736398"/>
                          </a:xfrm>
                          <a:prstGeom prst="rect">
                            <a:avLst/>
                          </a:prstGeom>
                        </pic:spPr>
                      </pic:pic>
                    </a:graphicData>
                  </a:graphic>
                </wp:inline>
              </w:drawing>
            </w:r>
          </w:p>
        </w:tc>
        <w:tc>
          <w:tcPr>
            <w:tcW w:w="4753" w:type="dxa"/>
            <w:vAlign w:val="center"/>
          </w:tcPr>
          <w:p>
            <w:pPr>
              <w:spacing w:before="156" w:beforeLines="50" w:line="360" w:lineRule="auto"/>
              <w:jc w:val="center"/>
              <w:rPr>
                <w:sz w:val="24"/>
              </w:rPr>
            </w:pPr>
            <w:r>
              <w:rPr>
                <w:b/>
                <w:sz w:val="24"/>
              </w:rPr>
              <w:t xml:space="preserve">A.0.4  </w:t>
            </w:r>
            <w:r>
              <w:rPr>
                <w:sz w:val="24"/>
              </w:rPr>
              <w:t>夏热冬冷</w:t>
            </w:r>
            <w:r>
              <w:rPr>
                <w:rFonts w:hint="eastAsia"/>
                <w:sz w:val="24"/>
              </w:rPr>
              <w:t>、</w:t>
            </w:r>
            <w:r>
              <w:rPr>
                <w:sz w:val="24"/>
              </w:rPr>
              <w:t>夏热冬暖</w:t>
            </w:r>
            <w:r>
              <w:rPr>
                <w:rFonts w:hint="eastAsia"/>
                <w:sz w:val="24"/>
                <w:u w:val="single"/>
              </w:rPr>
              <w:t>和温和A区</w:t>
            </w:r>
            <w:r>
              <w:rPr>
                <w:sz w:val="24"/>
              </w:rPr>
              <w:t>农村居住建筑外墙内保温构造形式和材料厚度，可按表A.0.4选用。</w:t>
            </w:r>
          </w:p>
          <w:p>
            <w:pPr>
              <w:spacing w:line="360" w:lineRule="auto"/>
              <w:jc w:val="center"/>
              <w:rPr>
                <w:b/>
                <w:sz w:val="24"/>
              </w:rPr>
            </w:pPr>
            <w:r>
              <w:rPr>
                <w:b/>
                <w:sz w:val="24"/>
              </w:rPr>
              <w:t xml:space="preserve">表A.0.4  </w:t>
            </w:r>
            <w:r>
              <w:rPr>
                <w:b/>
                <w:bCs/>
                <w:sz w:val="24"/>
              </w:rPr>
              <w:t>夏热冬冷</w:t>
            </w:r>
            <w:r>
              <w:rPr>
                <w:rFonts w:hint="eastAsia"/>
                <w:b/>
                <w:bCs/>
                <w:sz w:val="24"/>
              </w:rPr>
              <w:t>、</w:t>
            </w:r>
            <w:r>
              <w:rPr>
                <w:b/>
                <w:bCs/>
                <w:sz w:val="24"/>
              </w:rPr>
              <w:t>夏热冬暖</w:t>
            </w:r>
            <w:r>
              <w:rPr>
                <w:rFonts w:hint="eastAsia"/>
                <w:b/>
                <w:bCs/>
                <w:sz w:val="24"/>
                <w:u w:val="single"/>
              </w:rPr>
              <w:t>和温和A区</w:t>
            </w:r>
            <w:r>
              <w:rPr>
                <w:b/>
                <w:sz w:val="24"/>
              </w:rPr>
              <w:t>农村居住建筑外墙内保温构造形式和保温材料厚度</w:t>
            </w:r>
          </w:p>
          <w:p>
            <w:pPr>
              <w:jc w:val="center"/>
              <w:rPr>
                <w:b/>
                <w:sz w:val="24"/>
              </w:rPr>
            </w:pPr>
            <w:r>
              <w:drawing>
                <wp:inline distT="0" distB="0" distL="0" distR="0">
                  <wp:extent cx="2505075" cy="5866130"/>
                  <wp:effectExtent l="0" t="0" r="0" b="1270"/>
                  <wp:docPr id="904766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66483" name="图片 1"/>
                          <pic:cNvPicPr>
                            <a:picLocks noChangeAspect="1"/>
                          </pic:cNvPicPr>
                        </pic:nvPicPr>
                        <pic:blipFill>
                          <a:blip r:embed="rId24"/>
                          <a:stretch>
                            <a:fillRect/>
                          </a:stretch>
                        </pic:blipFill>
                        <pic:spPr>
                          <a:xfrm>
                            <a:off x="0" y="0"/>
                            <a:ext cx="2518763" cy="5898612"/>
                          </a:xfrm>
                          <a:prstGeom prst="rect">
                            <a:avLst/>
                          </a:prstGeom>
                        </pic:spPr>
                      </pic:pic>
                    </a:graphicData>
                  </a:graphic>
                </wp:inline>
              </w:drawing>
            </w:r>
          </w:p>
          <w:p>
            <w:pPr>
              <w:jc w:val="center"/>
              <w:rPr>
                <w:b/>
                <w:sz w:val="24"/>
              </w:rPr>
            </w:pPr>
            <w:r>
              <w:drawing>
                <wp:inline distT="0" distB="0" distL="0" distR="0">
                  <wp:extent cx="2488565" cy="3333750"/>
                  <wp:effectExtent l="0" t="0" r="6985" b="0"/>
                  <wp:docPr id="300075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75680" name="图片 1"/>
                          <pic:cNvPicPr>
                            <a:picLocks noChangeAspect="1"/>
                          </pic:cNvPicPr>
                        </pic:nvPicPr>
                        <pic:blipFill>
                          <a:blip r:embed="rId25"/>
                          <a:stretch>
                            <a:fillRect/>
                          </a:stretch>
                        </pic:blipFill>
                        <pic:spPr>
                          <a:xfrm>
                            <a:off x="0" y="0"/>
                            <a:ext cx="2502356" cy="3351530"/>
                          </a:xfrm>
                          <a:prstGeom prst="rect">
                            <a:avLst/>
                          </a:prstGeom>
                        </pic:spPr>
                      </pic:pic>
                    </a:graphicData>
                  </a:graphic>
                </wp:inline>
              </w:drawing>
            </w:r>
          </w:p>
          <w:p>
            <w:pPr>
              <w:jc w:val="center"/>
              <w:rPr>
                <w:b/>
                <w:sz w:val="24"/>
              </w:rPr>
            </w:pPr>
          </w:p>
          <w:p>
            <w:pPr>
              <w:autoSpaceDE w:val="0"/>
              <w:autoSpaceDN w:val="0"/>
              <w:jc w:val="center"/>
              <w:rPr>
                <w:rFonts w:ascii="宋体" w:hAnsi="宋体"/>
                <w:b/>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sz w:val="24"/>
              </w:rPr>
            </w:pPr>
            <w:r>
              <w:rPr>
                <w:b/>
                <w:sz w:val="24"/>
              </w:rPr>
              <w:t xml:space="preserve">A.0.5  </w:t>
            </w:r>
            <w:r>
              <w:rPr>
                <w:bCs/>
                <w:sz w:val="24"/>
              </w:rPr>
              <w:t>夏热冬冷和夏热冬暖地区</w:t>
            </w:r>
            <w:r>
              <w:rPr>
                <w:sz w:val="24"/>
              </w:rPr>
              <w:t>外遮阳形式及遮阳系数，可按表A.0.5选用。</w:t>
            </w:r>
          </w:p>
          <w:p>
            <w:pPr>
              <w:spacing w:line="360" w:lineRule="auto"/>
              <w:rPr>
                <w:sz w:val="24"/>
              </w:rPr>
            </w:pPr>
            <w:r>
              <w:rPr>
                <w:sz w:val="24"/>
              </w:rPr>
              <w:t>注：1 有外遮阳时，遮阳系数为玻璃的遮阳系数与外遮阳的遮阳系数的乘积；</w:t>
            </w:r>
          </w:p>
          <w:p>
            <w:pPr>
              <w:spacing w:line="360" w:lineRule="auto"/>
              <w:ind w:firstLine="480" w:firstLineChars="200"/>
              <w:rPr>
                <w:rFonts w:ascii="宋体" w:hAnsi="宋体"/>
                <w:b/>
                <w:bCs/>
                <w:sz w:val="24"/>
              </w:rPr>
            </w:pPr>
            <w:r>
              <w:rPr>
                <w:sz w:val="24"/>
              </w:rPr>
              <w:t>2 无外遮阳时，遮阳系数为玻璃的遮阳系数。</w:t>
            </w:r>
          </w:p>
        </w:tc>
        <w:tc>
          <w:tcPr>
            <w:tcW w:w="4753" w:type="dxa"/>
          </w:tcPr>
          <w:p>
            <w:pPr>
              <w:spacing w:line="360" w:lineRule="auto"/>
              <w:rPr>
                <w:bCs/>
                <w:sz w:val="24"/>
              </w:rPr>
            </w:pPr>
            <w:r>
              <w:rPr>
                <w:b/>
                <w:sz w:val="24"/>
              </w:rPr>
              <w:t>A.0.5</w:t>
            </w:r>
            <w:r>
              <w:rPr>
                <w:bCs/>
                <w:sz w:val="24"/>
              </w:rPr>
              <w:t xml:space="preserve">  夏热冬冷和夏热冬暖地区外遮阳形式及遮阳系数，可按表A.0.5选用。</w:t>
            </w:r>
          </w:p>
          <w:p>
            <w:pPr>
              <w:spacing w:line="360" w:lineRule="auto"/>
              <w:rPr>
                <w:sz w:val="24"/>
              </w:rPr>
            </w:pPr>
            <w:r>
              <w:rPr>
                <w:sz w:val="24"/>
              </w:rPr>
              <w:t>注：1 有外遮阳时，</w:t>
            </w:r>
            <w:r>
              <w:rPr>
                <w:sz w:val="24"/>
                <w:u w:val="single"/>
              </w:rPr>
              <w:t>综合</w:t>
            </w:r>
            <w:r>
              <w:rPr>
                <w:rFonts w:hint="eastAsia"/>
                <w:sz w:val="24"/>
                <w:u w:val="single"/>
              </w:rPr>
              <w:t>太阳得热系数SHGC=透光围护结构</w:t>
            </w:r>
            <w:r>
              <w:rPr>
                <w:sz w:val="24"/>
                <w:u w:val="single"/>
              </w:rPr>
              <w:t>太阳得热系数</w:t>
            </w:r>
            <w:r>
              <w:rPr>
                <w:rFonts w:hint="eastAsia"/>
                <w:sz w:val="24"/>
                <w:u w:val="single"/>
              </w:rPr>
              <w:t>×</w:t>
            </w:r>
            <w:r>
              <w:rPr>
                <w:sz w:val="24"/>
                <w:u w:val="single"/>
              </w:rPr>
              <w:t>外遮阳构件的遮阳系数</w:t>
            </w:r>
            <w:r>
              <w:rPr>
                <w:sz w:val="24"/>
              </w:rPr>
              <w:t>；</w:t>
            </w:r>
          </w:p>
          <w:p>
            <w:pPr>
              <w:spacing w:line="360" w:lineRule="auto"/>
              <w:ind w:firstLine="480" w:firstLineChars="200"/>
              <w:rPr>
                <w:sz w:val="24"/>
              </w:rPr>
            </w:pPr>
            <w:r>
              <w:rPr>
                <w:sz w:val="24"/>
              </w:rPr>
              <w:t>2 无外遮阳时，</w:t>
            </w:r>
            <w:r>
              <w:rPr>
                <w:rFonts w:hint="eastAsia"/>
                <w:sz w:val="24"/>
                <w:u w:val="single"/>
              </w:rPr>
              <w:t>综合太阳得热系数SHGC为透光围护结构太阳得热系数；</w:t>
            </w:r>
          </w:p>
          <w:p>
            <w:pPr>
              <w:spacing w:line="360" w:lineRule="auto"/>
              <w:ind w:firstLine="480" w:firstLineChars="200"/>
              <w:rPr>
                <w:rFonts w:ascii="宋体" w:hAnsi="宋体"/>
                <w:b/>
                <w:bCs/>
                <w:sz w:val="24"/>
              </w:rPr>
            </w:pPr>
            <w:r>
              <w:rPr>
                <w:rFonts w:hint="eastAsia"/>
                <w:sz w:val="24"/>
                <w:u w:val="single"/>
              </w:rPr>
              <w:t>3透光围护结构太阳得热系数=玻璃太阳得热系数×（1-窗框比），外遮阳构件的遮阳系数参照本表取值。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sz w:val="24"/>
              </w:rPr>
            </w:pPr>
            <w:r>
              <w:rPr>
                <w:b/>
                <w:sz w:val="24"/>
              </w:rPr>
              <w:t xml:space="preserve">A.0.6  </w:t>
            </w:r>
            <w:r>
              <w:rPr>
                <w:sz w:val="24"/>
              </w:rPr>
              <w:t>严寒和寒冷地区农村居住建筑屋面保温构造形式和保温材料厚度，可按表A.0.6选用。</w:t>
            </w:r>
          </w:p>
          <w:p>
            <w:pPr>
              <w:spacing w:line="360" w:lineRule="auto"/>
              <w:jc w:val="center"/>
              <w:rPr>
                <w:b/>
                <w:sz w:val="24"/>
              </w:rPr>
            </w:pPr>
            <w:r>
              <w:rPr>
                <w:b/>
                <w:sz w:val="24"/>
              </w:rPr>
              <w:t>表A.0.6   严寒和寒冷地区农村居住建筑屋面保温构造形式和保温材料厚度</w:t>
            </w:r>
          </w:p>
          <w:p>
            <w:pPr>
              <w:autoSpaceDE w:val="0"/>
              <w:autoSpaceDN w:val="0"/>
              <w:spacing w:line="360" w:lineRule="auto"/>
              <w:jc w:val="left"/>
              <w:rPr>
                <w:rFonts w:ascii="宋体" w:hAnsi="宋体"/>
                <w:b/>
                <w:bCs/>
                <w:sz w:val="24"/>
              </w:rPr>
            </w:pPr>
            <w:r>
              <w:drawing>
                <wp:inline distT="0" distB="0" distL="0" distR="0">
                  <wp:extent cx="2578735" cy="5972175"/>
                  <wp:effectExtent l="0" t="0" r="0" b="0"/>
                  <wp:docPr id="1740927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27557" name="图片 1"/>
                          <pic:cNvPicPr>
                            <a:picLocks noChangeAspect="1"/>
                          </pic:cNvPicPr>
                        </pic:nvPicPr>
                        <pic:blipFill>
                          <a:blip r:embed="rId26"/>
                          <a:stretch>
                            <a:fillRect/>
                          </a:stretch>
                        </pic:blipFill>
                        <pic:spPr>
                          <a:xfrm>
                            <a:off x="0" y="0"/>
                            <a:ext cx="2584720" cy="5984730"/>
                          </a:xfrm>
                          <a:prstGeom prst="rect">
                            <a:avLst/>
                          </a:prstGeom>
                        </pic:spPr>
                      </pic:pic>
                    </a:graphicData>
                  </a:graphic>
                </wp:inline>
              </w:drawing>
            </w:r>
          </w:p>
          <w:p>
            <w:pPr>
              <w:autoSpaceDE w:val="0"/>
              <w:autoSpaceDN w:val="0"/>
              <w:spacing w:line="360" w:lineRule="auto"/>
              <w:jc w:val="left"/>
              <w:rPr>
                <w:rFonts w:ascii="宋体" w:hAnsi="宋体"/>
                <w:b/>
                <w:bCs/>
                <w:sz w:val="24"/>
              </w:rPr>
            </w:pPr>
          </w:p>
        </w:tc>
        <w:tc>
          <w:tcPr>
            <w:tcW w:w="4753" w:type="dxa"/>
          </w:tcPr>
          <w:p>
            <w:pPr>
              <w:spacing w:line="360" w:lineRule="auto"/>
              <w:rPr>
                <w:sz w:val="24"/>
              </w:rPr>
            </w:pPr>
            <w:r>
              <w:rPr>
                <w:b/>
                <w:sz w:val="24"/>
              </w:rPr>
              <w:t xml:space="preserve">A.0.6  </w:t>
            </w:r>
            <w:r>
              <w:rPr>
                <w:sz w:val="24"/>
              </w:rPr>
              <w:t>严寒和寒冷地区农村居住建筑屋面保温构造形式和保温材料厚度，可按表A.0.6选用。</w:t>
            </w:r>
          </w:p>
          <w:p>
            <w:pPr>
              <w:spacing w:line="360" w:lineRule="auto"/>
              <w:jc w:val="center"/>
              <w:rPr>
                <w:b/>
                <w:sz w:val="24"/>
              </w:rPr>
            </w:pPr>
            <w:r>
              <w:rPr>
                <w:b/>
                <w:sz w:val="24"/>
              </w:rPr>
              <w:t>表A.0.6   严寒和寒冷地区农村居住建筑屋面保温构造形式和保温材料厚度</w:t>
            </w:r>
          </w:p>
          <w:p>
            <w:pPr>
              <w:autoSpaceDE w:val="0"/>
              <w:autoSpaceDN w:val="0"/>
              <w:spacing w:line="360" w:lineRule="auto"/>
              <w:jc w:val="left"/>
              <w:rPr>
                <w:rFonts w:ascii="宋体" w:hAnsi="宋体"/>
                <w:b/>
                <w:bCs/>
                <w:sz w:val="24"/>
              </w:rPr>
            </w:pPr>
            <w:r>
              <w:drawing>
                <wp:inline distT="0" distB="0" distL="0" distR="0">
                  <wp:extent cx="2392680" cy="457200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2404320" cy="4594072"/>
                          </a:xfrm>
                          <a:prstGeom prst="rect">
                            <a:avLst/>
                          </a:prstGeom>
                        </pic:spPr>
                      </pic:pic>
                    </a:graphicData>
                  </a:graphic>
                </wp:inline>
              </w:drawing>
            </w:r>
          </w:p>
          <w:p>
            <w:pPr>
              <w:autoSpaceDE w:val="0"/>
              <w:autoSpaceDN w:val="0"/>
              <w:spacing w:line="360" w:lineRule="auto"/>
              <w:jc w:val="left"/>
              <w:rPr>
                <w:rFonts w:ascii="宋体" w:hAnsi="宋体"/>
                <w:b/>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529" w:type="dxa"/>
          </w:tcPr>
          <w:p>
            <w:pPr>
              <w:spacing w:line="360" w:lineRule="auto"/>
              <w:rPr>
                <w:b/>
                <w:sz w:val="24"/>
              </w:rPr>
            </w:pPr>
            <w:r>
              <w:rPr>
                <w:b/>
                <w:sz w:val="24"/>
              </w:rPr>
              <w:t xml:space="preserve">A.0.7 </w:t>
            </w:r>
            <w:r>
              <w:rPr>
                <w:b/>
                <w:bCs/>
                <w:sz w:val="24"/>
              </w:rPr>
              <w:t xml:space="preserve"> </w:t>
            </w:r>
            <w:r>
              <w:rPr>
                <w:sz w:val="24"/>
              </w:rPr>
              <w:t>夏热冬冷和夏热冬暖地区农村居住建筑屋面保温构造形式和保温材料厚度，可按表A.0.7选用。</w:t>
            </w:r>
          </w:p>
          <w:p>
            <w:pPr>
              <w:spacing w:line="360" w:lineRule="auto"/>
              <w:jc w:val="center"/>
              <w:rPr>
                <w:sz w:val="24"/>
              </w:rPr>
            </w:pPr>
            <w:r>
              <w:rPr>
                <w:b/>
                <w:sz w:val="24"/>
              </w:rPr>
              <w:t xml:space="preserve">表A.0.7 </w:t>
            </w:r>
            <w:r>
              <w:rPr>
                <w:b/>
                <w:bCs/>
                <w:sz w:val="24"/>
              </w:rPr>
              <w:t xml:space="preserve"> 夏热冬冷和夏热冬暖地区</w:t>
            </w:r>
            <w:r>
              <w:rPr>
                <w:b/>
                <w:sz w:val="24"/>
              </w:rPr>
              <w:t>农村居住建筑屋面保温构造形式和保温材料厚度</w:t>
            </w:r>
          </w:p>
          <w:p>
            <w:pPr>
              <w:spacing w:line="360" w:lineRule="auto"/>
              <w:rPr>
                <w:b/>
                <w:sz w:val="24"/>
              </w:rPr>
            </w:pPr>
            <w:r>
              <w:drawing>
                <wp:inline distT="0" distB="0" distL="0" distR="0">
                  <wp:extent cx="2632710" cy="5743575"/>
                  <wp:effectExtent l="0" t="0" r="0" b="0"/>
                  <wp:docPr id="521905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05727" name="图片 1"/>
                          <pic:cNvPicPr>
                            <a:picLocks noChangeAspect="1"/>
                          </pic:cNvPicPr>
                        </pic:nvPicPr>
                        <pic:blipFill>
                          <a:blip r:embed="rId28"/>
                          <a:stretch>
                            <a:fillRect/>
                          </a:stretch>
                        </pic:blipFill>
                        <pic:spPr>
                          <a:xfrm>
                            <a:off x="0" y="0"/>
                            <a:ext cx="2643919" cy="5766925"/>
                          </a:xfrm>
                          <a:prstGeom prst="rect">
                            <a:avLst/>
                          </a:prstGeom>
                        </pic:spPr>
                      </pic:pic>
                    </a:graphicData>
                  </a:graphic>
                </wp:inline>
              </w:drawing>
            </w:r>
          </w:p>
          <w:p>
            <w:pPr>
              <w:spacing w:line="360" w:lineRule="auto"/>
              <w:rPr>
                <w:b/>
                <w:sz w:val="24"/>
              </w:rPr>
            </w:pPr>
            <w:r>
              <w:drawing>
                <wp:inline distT="0" distB="0" distL="0" distR="0">
                  <wp:extent cx="2590800" cy="1143000"/>
                  <wp:effectExtent l="0" t="0" r="0" b="0"/>
                  <wp:docPr id="1162252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52463" name="图片 1"/>
                          <pic:cNvPicPr>
                            <a:picLocks noChangeAspect="1"/>
                          </pic:cNvPicPr>
                        </pic:nvPicPr>
                        <pic:blipFill>
                          <a:blip r:embed="rId29"/>
                          <a:stretch>
                            <a:fillRect/>
                          </a:stretch>
                        </pic:blipFill>
                        <pic:spPr>
                          <a:xfrm>
                            <a:off x="0" y="0"/>
                            <a:ext cx="2597531" cy="1145890"/>
                          </a:xfrm>
                          <a:prstGeom prst="rect">
                            <a:avLst/>
                          </a:prstGeom>
                        </pic:spPr>
                      </pic:pic>
                    </a:graphicData>
                  </a:graphic>
                </wp:inline>
              </w:drawing>
            </w:r>
          </w:p>
          <w:p>
            <w:pPr>
              <w:spacing w:line="360" w:lineRule="auto"/>
              <w:rPr>
                <w:b/>
                <w:sz w:val="24"/>
              </w:rPr>
            </w:pPr>
          </w:p>
        </w:tc>
        <w:tc>
          <w:tcPr>
            <w:tcW w:w="4753" w:type="dxa"/>
          </w:tcPr>
          <w:p>
            <w:pPr>
              <w:spacing w:line="360" w:lineRule="auto"/>
              <w:rPr>
                <w:b/>
                <w:sz w:val="24"/>
              </w:rPr>
            </w:pPr>
            <w:r>
              <w:rPr>
                <w:b/>
                <w:sz w:val="24"/>
              </w:rPr>
              <w:t xml:space="preserve">A.0.7 </w:t>
            </w:r>
            <w:r>
              <w:rPr>
                <w:b/>
                <w:bCs/>
                <w:sz w:val="24"/>
              </w:rPr>
              <w:t xml:space="preserve"> </w:t>
            </w:r>
            <w:r>
              <w:rPr>
                <w:sz w:val="24"/>
              </w:rPr>
              <w:t>夏热冬冷</w:t>
            </w:r>
            <w:r>
              <w:rPr>
                <w:rFonts w:hint="eastAsia"/>
                <w:sz w:val="24"/>
              </w:rPr>
              <w:t>、</w:t>
            </w:r>
            <w:r>
              <w:rPr>
                <w:sz w:val="24"/>
              </w:rPr>
              <w:t>夏热冬暖</w:t>
            </w:r>
            <w:r>
              <w:rPr>
                <w:rFonts w:hint="eastAsia"/>
                <w:sz w:val="24"/>
                <w:u w:val="single"/>
              </w:rPr>
              <w:t>和温和A区</w:t>
            </w:r>
            <w:r>
              <w:rPr>
                <w:sz w:val="24"/>
              </w:rPr>
              <w:t>农村居住建筑屋面保温构造形式和保温材料厚度，可按表A.0.7选用。</w:t>
            </w:r>
          </w:p>
          <w:p>
            <w:pPr>
              <w:spacing w:line="360" w:lineRule="auto"/>
              <w:jc w:val="center"/>
              <w:rPr>
                <w:sz w:val="24"/>
              </w:rPr>
            </w:pPr>
            <w:r>
              <w:rPr>
                <w:b/>
                <w:sz w:val="24"/>
              </w:rPr>
              <w:t xml:space="preserve">表A.0.7 </w:t>
            </w:r>
            <w:r>
              <w:rPr>
                <w:b/>
                <w:bCs/>
                <w:sz w:val="24"/>
              </w:rPr>
              <w:t xml:space="preserve"> 夏热冬冷</w:t>
            </w:r>
            <w:r>
              <w:rPr>
                <w:rFonts w:hint="eastAsia"/>
                <w:b/>
                <w:bCs/>
                <w:sz w:val="24"/>
              </w:rPr>
              <w:t>、</w:t>
            </w:r>
            <w:r>
              <w:rPr>
                <w:b/>
                <w:bCs/>
                <w:sz w:val="24"/>
              </w:rPr>
              <w:t>夏热冬暖</w:t>
            </w:r>
            <w:r>
              <w:rPr>
                <w:rFonts w:hint="eastAsia"/>
                <w:b/>
                <w:bCs/>
                <w:sz w:val="24"/>
                <w:u w:val="single"/>
              </w:rPr>
              <w:t>和温和A区</w:t>
            </w:r>
            <w:r>
              <w:rPr>
                <w:b/>
                <w:sz w:val="24"/>
              </w:rPr>
              <w:t>农村居住建筑屋面保温构造形式和保温材料厚度</w:t>
            </w:r>
          </w:p>
          <w:p>
            <w:pPr>
              <w:spacing w:line="360" w:lineRule="auto"/>
              <w:rPr>
                <w:b/>
                <w:sz w:val="24"/>
              </w:rPr>
            </w:pPr>
            <w:r>
              <w:drawing>
                <wp:inline distT="0" distB="0" distL="0" distR="0">
                  <wp:extent cx="2472055" cy="4905375"/>
                  <wp:effectExtent l="0" t="0" r="4445" b="0"/>
                  <wp:docPr id="125336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6680" name="图片 1"/>
                          <pic:cNvPicPr>
                            <a:picLocks noChangeAspect="1"/>
                          </pic:cNvPicPr>
                        </pic:nvPicPr>
                        <pic:blipFill>
                          <a:blip r:embed="rId30"/>
                          <a:stretch>
                            <a:fillRect/>
                          </a:stretch>
                        </pic:blipFill>
                        <pic:spPr>
                          <a:xfrm>
                            <a:off x="0" y="0"/>
                            <a:ext cx="2479507" cy="4919186"/>
                          </a:xfrm>
                          <a:prstGeom prst="rect">
                            <a:avLst/>
                          </a:prstGeom>
                        </pic:spPr>
                      </pic:pic>
                    </a:graphicData>
                  </a:graphic>
                </wp:inline>
              </w:drawing>
            </w:r>
          </w:p>
          <w:p>
            <w:pPr>
              <w:spacing w:line="360" w:lineRule="auto"/>
              <w:rPr>
                <w:b/>
                <w:sz w:val="24"/>
              </w:rPr>
            </w:pPr>
            <w:r>
              <w:drawing>
                <wp:inline distT="0" distB="0" distL="0" distR="0">
                  <wp:extent cx="2475230" cy="3486150"/>
                  <wp:effectExtent l="0" t="0" r="1270" b="0"/>
                  <wp:docPr id="1317754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54318" name="图片 1"/>
                          <pic:cNvPicPr>
                            <a:picLocks noChangeAspect="1"/>
                          </pic:cNvPicPr>
                        </pic:nvPicPr>
                        <pic:blipFill>
                          <a:blip r:embed="rId31"/>
                          <a:stretch>
                            <a:fillRect/>
                          </a:stretch>
                        </pic:blipFill>
                        <pic:spPr>
                          <a:xfrm>
                            <a:off x="0" y="0"/>
                            <a:ext cx="2482590" cy="3496499"/>
                          </a:xfrm>
                          <a:prstGeom prst="rect">
                            <a:avLst/>
                          </a:prstGeom>
                        </pic:spPr>
                      </pic:pic>
                    </a:graphicData>
                  </a:graphic>
                </wp:inline>
              </w:drawing>
            </w:r>
          </w:p>
        </w:tc>
      </w:tr>
    </w:tbl>
    <w:p>
      <w:pPr>
        <w:spacing w:line="360" w:lineRule="auto"/>
        <w:rPr>
          <w:rFonts w:ascii="宋体" w:hAnsi="宋体"/>
          <w:b/>
          <w:bCs/>
          <w:kern w:val="0"/>
          <w:sz w:val="24"/>
          <w:u w:val="singl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楷体">
    <w:panose1 w:val="02010609060101010101"/>
    <w:charset w:val="86"/>
    <w:family w:val="modern"/>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0"/>
      </w:rPr>
    </w:pPr>
    <w:r>
      <w:rPr>
        <w:rStyle w:val="20"/>
      </w:rPr>
      <w:fldChar w:fldCharType="begin"/>
    </w:r>
    <w:r>
      <w:rPr>
        <w:rStyle w:val="20"/>
      </w:rPr>
      <w:instrText xml:space="preserve">PAGE  </w:instrText>
    </w:r>
    <w:r>
      <w:rPr>
        <w:rStyle w:val="20"/>
      </w:rPr>
      <w:fldChar w:fldCharType="end"/>
    </w:r>
  </w:p>
  <w:p>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180"/>
      <w:jc w:val="righ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1ZTk4OWZmZTI2ZDdiNzlhY2RjNmYxYjc2MWU3YjAifQ=="/>
  </w:docVars>
  <w:rsids>
    <w:rsidRoot w:val="00F36F53"/>
    <w:rsid w:val="00000217"/>
    <w:rsid w:val="00001413"/>
    <w:rsid w:val="0000169F"/>
    <w:rsid w:val="0000222D"/>
    <w:rsid w:val="000025F2"/>
    <w:rsid w:val="0000263F"/>
    <w:rsid w:val="00002C99"/>
    <w:rsid w:val="00003295"/>
    <w:rsid w:val="00003BD0"/>
    <w:rsid w:val="00004B00"/>
    <w:rsid w:val="000058AB"/>
    <w:rsid w:val="00007B8C"/>
    <w:rsid w:val="0001110D"/>
    <w:rsid w:val="00011FAC"/>
    <w:rsid w:val="00012424"/>
    <w:rsid w:val="000133A2"/>
    <w:rsid w:val="00013F5E"/>
    <w:rsid w:val="00014F3C"/>
    <w:rsid w:val="00015855"/>
    <w:rsid w:val="000173CE"/>
    <w:rsid w:val="0002048F"/>
    <w:rsid w:val="000229FD"/>
    <w:rsid w:val="00022F1B"/>
    <w:rsid w:val="00023C7F"/>
    <w:rsid w:val="00024845"/>
    <w:rsid w:val="00025699"/>
    <w:rsid w:val="00025C44"/>
    <w:rsid w:val="00025FD5"/>
    <w:rsid w:val="000262D2"/>
    <w:rsid w:val="00026BE6"/>
    <w:rsid w:val="00026ED3"/>
    <w:rsid w:val="00027349"/>
    <w:rsid w:val="00030183"/>
    <w:rsid w:val="000310CD"/>
    <w:rsid w:val="00032373"/>
    <w:rsid w:val="000329B3"/>
    <w:rsid w:val="000339D1"/>
    <w:rsid w:val="00033A05"/>
    <w:rsid w:val="000347B5"/>
    <w:rsid w:val="000369C8"/>
    <w:rsid w:val="000370D0"/>
    <w:rsid w:val="000374E4"/>
    <w:rsid w:val="00037A77"/>
    <w:rsid w:val="00040474"/>
    <w:rsid w:val="00040892"/>
    <w:rsid w:val="00040C99"/>
    <w:rsid w:val="00040DAA"/>
    <w:rsid w:val="000411C6"/>
    <w:rsid w:val="00043786"/>
    <w:rsid w:val="00044049"/>
    <w:rsid w:val="0004764C"/>
    <w:rsid w:val="00050FE5"/>
    <w:rsid w:val="00051E85"/>
    <w:rsid w:val="00052D7A"/>
    <w:rsid w:val="00054BBC"/>
    <w:rsid w:val="000560AF"/>
    <w:rsid w:val="00056671"/>
    <w:rsid w:val="00056DCF"/>
    <w:rsid w:val="00057012"/>
    <w:rsid w:val="00057257"/>
    <w:rsid w:val="00057718"/>
    <w:rsid w:val="00060724"/>
    <w:rsid w:val="00061351"/>
    <w:rsid w:val="0006141D"/>
    <w:rsid w:val="00061631"/>
    <w:rsid w:val="000628AD"/>
    <w:rsid w:val="00063195"/>
    <w:rsid w:val="000649FE"/>
    <w:rsid w:val="00064A5D"/>
    <w:rsid w:val="00064BD5"/>
    <w:rsid w:val="00064F52"/>
    <w:rsid w:val="00065198"/>
    <w:rsid w:val="000654B8"/>
    <w:rsid w:val="000656ED"/>
    <w:rsid w:val="00065E0F"/>
    <w:rsid w:val="000660C9"/>
    <w:rsid w:val="00070120"/>
    <w:rsid w:val="00070595"/>
    <w:rsid w:val="00070C4D"/>
    <w:rsid w:val="0007139E"/>
    <w:rsid w:val="00072DAB"/>
    <w:rsid w:val="000735A6"/>
    <w:rsid w:val="00074168"/>
    <w:rsid w:val="00076568"/>
    <w:rsid w:val="00080963"/>
    <w:rsid w:val="00081949"/>
    <w:rsid w:val="00081E2C"/>
    <w:rsid w:val="0008259D"/>
    <w:rsid w:val="000825CE"/>
    <w:rsid w:val="0008303C"/>
    <w:rsid w:val="000835F4"/>
    <w:rsid w:val="000842B3"/>
    <w:rsid w:val="00084646"/>
    <w:rsid w:val="000856EB"/>
    <w:rsid w:val="0008605B"/>
    <w:rsid w:val="000863FB"/>
    <w:rsid w:val="000868B0"/>
    <w:rsid w:val="00086B95"/>
    <w:rsid w:val="000872AA"/>
    <w:rsid w:val="0009104D"/>
    <w:rsid w:val="00091053"/>
    <w:rsid w:val="00091B9E"/>
    <w:rsid w:val="000927F7"/>
    <w:rsid w:val="00092A22"/>
    <w:rsid w:val="0009317F"/>
    <w:rsid w:val="000933EF"/>
    <w:rsid w:val="00093586"/>
    <w:rsid w:val="0009550D"/>
    <w:rsid w:val="000971CA"/>
    <w:rsid w:val="000A0758"/>
    <w:rsid w:val="000A189F"/>
    <w:rsid w:val="000A1B5E"/>
    <w:rsid w:val="000A30BF"/>
    <w:rsid w:val="000A34F0"/>
    <w:rsid w:val="000A3565"/>
    <w:rsid w:val="000A3E95"/>
    <w:rsid w:val="000A45FC"/>
    <w:rsid w:val="000A49A9"/>
    <w:rsid w:val="000A4E27"/>
    <w:rsid w:val="000A7FB5"/>
    <w:rsid w:val="000B0FF4"/>
    <w:rsid w:val="000B4BE8"/>
    <w:rsid w:val="000B50CC"/>
    <w:rsid w:val="000B537A"/>
    <w:rsid w:val="000B554E"/>
    <w:rsid w:val="000B63FF"/>
    <w:rsid w:val="000B644F"/>
    <w:rsid w:val="000B7491"/>
    <w:rsid w:val="000C0A6C"/>
    <w:rsid w:val="000C0CDD"/>
    <w:rsid w:val="000C145A"/>
    <w:rsid w:val="000C1848"/>
    <w:rsid w:val="000C1E8A"/>
    <w:rsid w:val="000C21E3"/>
    <w:rsid w:val="000C3856"/>
    <w:rsid w:val="000C39D6"/>
    <w:rsid w:val="000C43E9"/>
    <w:rsid w:val="000C4951"/>
    <w:rsid w:val="000C5BD5"/>
    <w:rsid w:val="000C5F46"/>
    <w:rsid w:val="000C6181"/>
    <w:rsid w:val="000C7C2C"/>
    <w:rsid w:val="000D0840"/>
    <w:rsid w:val="000D0996"/>
    <w:rsid w:val="000D0BDA"/>
    <w:rsid w:val="000D3F90"/>
    <w:rsid w:val="000D4592"/>
    <w:rsid w:val="000D53F0"/>
    <w:rsid w:val="000D5743"/>
    <w:rsid w:val="000D5BBF"/>
    <w:rsid w:val="000D6092"/>
    <w:rsid w:val="000D64A8"/>
    <w:rsid w:val="000D736F"/>
    <w:rsid w:val="000E0F51"/>
    <w:rsid w:val="000E25E7"/>
    <w:rsid w:val="000E262F"/>
    <w:rsid w:val="000E3925"/>
    <w:rsid w:val="000E42A0"/>
    <w:rsid w:val="000E5031"/>
    <w:rsid w:val="000E5ED9"/>
    <w:rsid w:val="000E6A1D"/>
    <w:rsid w:val="000F0FEB"/>
    <w:rsid w:val="000F1236"/>
    <w:rsid w:val="000F265D"/>
    <w:rsid w:val="000F26D4"/>
    <w:rsid w:val="000F2708"/>
    <w:rsid w:val="000F2E97"/>
    <w:rsid w:val="000F2F38"/>
    <w:rsid w:val="000F3241"/>
    <w:rsid w:val="000F39B3"/>
    <w:rsid w:val="000F4E29"/>
    <w:rsid w:val="000F4E5E"/>
    <w:rsid w:val="000F626E"/>
    <w:rsid w:val="000F7927"/>
    <w:rsid w:val="001014D8"/>
    <w:rsid w:val="00101B13"/>
    <w:rsid w:val="0010341B"/>
    <w:rsid w:val="001039E0"/>
    <w:rsid w:val="00103BED"/>
    <w:rsid w:val="00103F13"/>
    <w:rsid w:val="00104327"/>
    <w:rsid w:val="001049A9"/>
    <w:rsid w:val="00104CD5"/>
    <w:rsid w:val="001072A9"/>
    <w:rsid w:val="00110EB6"/>
    <w:rsid w:val="0011190B"/>
    <w:rsid w:val="0011207C"/>
    <w:rsid w:val="00113F32"/>
    <w:rsid w:val="001141B4"/>
    <w:rsid w:val="0011662E"/>
    <w:rsid w:val="00116C2B"/>
    <w:rsid w:val="00116E24"/>
    <w:rsid w:val="00117029"/>
    <w:rsid w:val="0011758B"/>
    <w:rsid w:val="00117684"/>
    <w:rsid w:val="00117ADA"/>
    <w:rsid w:val="00120134"/>
    <w:rsid w:val="001207A8"/>
    <w:rsid w:val="001207E7"/>
    <w:rsid w:val="00120DE9"/>
    <w:rsid w:val="00120E2D"/>
    <w:rsid w:val="00121C3E"/>
    <w:rsid w:val="00121E6E"/>
    <w:rsid w:val="00122CFF"/>
    <w:rsid w:val="00123916"/>
    <w:rsid w:val="00124233"/>
    <w:rsid w:val="001269C6"/>
    <w:rsid w:val="00127236"/>
    <w:rsid w:val="001277C0"/>
    <w:rsid w:val="00127DEC"/>
    <w:rsid w:val="00130AD2"/>
    <w:rsid w:val="001319AF"/>
    <w:rsid w:val="0013283F"/>
    <w:rsid w:val="00132BBF"/>
    <w:rsid w:val="001341DA"/>
    <w:rsid w:val="00134243"/>
    <w:rsid w:val="00134F42"/>
    <w:rsid w:val="00137345"/>
    <w:rsid w:val="00137963"/>
    <w:rsid w:val="001402B1"/>
    <w:rsid w:val="0014075C"/>
    <w:rsid w:val="00141354"/>
    <w:rsid w:val="00142CB5"/>
    <w:rsid w:val="00144062"/>
    <w:rsid w:val="00145376"/>
    <w:rsid w:val="0014550D"/>
    <w:rsid w:val="001455D0"/>
    <w:rsid w:val="00145A2B"/>
    <w:rsid w:val="00146C58"/>
    <w:rsid w:val="00146F30"/>
    <w:rsid w:val="00147D03"/>
    <w:rsid w:val="00147F33"/>
    <w:rsid w:val="00150EA9"/>
    <w:rsid w:val="0015196C"/>
    <w:rsid w:val="001532E5"/>
    <w:rsid w:val="0015388E"/>
    <w:rsid w:val="0015392D"/>
    <w:rsid w:val="001540B9"/>
    <w:rsid w:val="001547C4"/>
    <w:rsid w:val="00155929"/>
    <w:rsid w:val="00155E99"/>
    <w:rsid w:val="001577D4"/>
    <w:rsid w:val="001579DD"/>
    <w:rsid w:val="00160015"/>
    <w:rsid w:val="00162FD8"/>
    <w:rsid w:val="00163D0D"/>
    <w:rsid w:val="00163EF2"/>
    <w:rsid w:val="00165184"/>
    <w:rsid w:val="00165198"/>
    <w:rsid w:val="00166053"/>
    <w:rsid w:val="00170662"/>
    <w:rsid w:val="00170DE5"/>
    <w:rsid w:val="00171D53"/>
    <w:rsid w:val="00172222"/>
    <w:rsid w:val="00172451"/>
    <w:rsid w:val="0017395C"/>
    <w:rsid w:val="00174F6C"/>
    <w:rsid w:val="00175CE4"/>
    <w:rsid w:val="00175DA7"/>
    <w:rsid w:val="001766B7"/>
    <w:rsid w:val="001772D5"/>
    <w:rsid w:val="001778FB"/>
    <w:rsid w:val="00181143"/>
    <w:rsid w:val="00183A95"/>
    <w:rsid w:val="00183CF9"/>
    <w:rsid w:val="001860DD"/>
    <w:rsid w:val="00186C44"/>
    <w:rsid w:val="00186EFC"/>
    <w:rsid w:val="00187EF3"/>
    <w:rsid w:val="00192341"/>
    <w:rsid w:val="0019254E"/>
    <w:rsid w:val="001925D0"/>
    <w:rsid w:val="00192A80"/>
    <w:rsid w:val="0019316E"/>
    <w:rsid w:val="00194FB5"/>
    <w:rsid w:val="0019548C"/>
    <w:rsid w:val="00195535"/>
    <w:rsid w:val="0019631D"/>
    <w:rsid w:val="0019657E"/>
    <w:rsid w:val="00197350"/>
    <w:rsid w:val="001A079C"/>
    <w:rsid w:val="001A0B85"/>
    <w:rsid w:val="001A0BC9"/>
    <w:rsid w:val="001A15E8"/>
    <w:rsid w:val="001A3246"/>
    <w:rsid w:val="001A3505"/>
    <w:rsid w:val="001A3989"/>
    <w:rsid w:val="001A3D02"/>
    <w:rsid w:val="001A4CD0"/>
    <w:rsid w:val="001A4EE7"/>
    <w:rsid w:val="001A5765"/>
    <w:rsid w:val="001A6225"/>
    <w:rsid w:val="001A7517"/>
    <w:rsid w:val="001B07CD"/>
    <w:rsid w:val="001B0E6D"/>
    <w:rsid w:val="001B3859"/>
    <w:rsid w:val="001B4212"/>
    <w:rsid w:val="001B659A"/>
    <w:rsid w:val="001B67B2"/>
    <w:rsid w:val="001B789F"/>
    <w:rsid w:val="001C0FD9"/>
    <w:rsid w:val="001C1C2F"/>
    <w:rsid w:val="001C1CFD"/>
    <w:rsid w:val="001C2215"/>
    <w:rsid w:val="001C3BE1"/>
    <w:rsid w:val="001C4C3A"/>
    <w:rsid w:val="001C5738"/>
    <w:rsid w:val="001C5AE6"/>
    <w:rsid w:val="001C5E35"/>
    <w:rsid w:val="001C6260"/>
    <w:rsid w:val="001C733E"/>
    <w:rsid w:val="001C79FC"/>
    <w:rsid w:val="001D0201"/>
    <w:rsid w:val="001D1AF0"/>
    <w:rsid w:val="001D57EF"/>
    <w:rsid w:val="001D66E4"/>
    <w:rsid w:val="001D6B40"/>
    <w:rsid w:val="001E013F"/>
    <w:rsid w:val="001E0BE2"/>
    <w:rsid w:val="001E1D03"/>
    <w:rsid w:val="001E22D4"/>
    <w:rsid w:val="001E2453"/>
    <w:rsid w:val="001E2FD2"/>
    <w:rsid w:val="001E3859"/>
    <w:rsid w:val="001E4240"/>
    <w:rsid w:val="001E4B64"/>
    <w:rsid w:val="001E4EB5"/>
    <w:rsid w:val="001E5477"/>
    <w:rsid w:val="001E584F"/>
    <w:rsid w:val="001E72E9"/>
    <w:rsid w:val="001E7E73"/>
    <w:rsid w:val="001F0B07"/>
    <w:rsid w:val="001F0BE9"/>
    <w:rsid w:val="001F169E"/>
    <w:rsid w:val="001F1990"/>
    <w:rsid w:val="001F1E1E"/>
    <w:rsid w:val="001F4A5A"/>
    <w:rsid w:val="001F4B65"/>
    <w:rsid w:val="001F4D91"/>
    <w:rsid w:val="001F5B3B"/>
    <w:rsid w:val="001F5F46"/>
    <w:rsid w:val="001F5FF0"/>
    <w:rsid w:val="001F69CC"/>
    <w:rsid w:val="001F7B78"/>
    <w:rsid w:val="001F7C21"/>
    <w:rsid w:val="00203012"/>
    <w:rsid w:val="002030E1"/>
    <w:rsid w:val="00203547"/>
    <w:rsid w:val="00203888"/>
    <w:rsid w:val="00203B01"/>
    <w:rsid w:val="0020467B"/>
    <w:rsid w:val="002049FF"/>
    <w:rsid w:val="00204BED"/>
    <w:rsid w:val="002069FF"/>
    <w:rsid w:val="00206A45"/>
    <w:rsid w:val="002072FE"/>
    <w:rsid w:val="00210026"/>
    <w:rsid w:val="0021039F"/>
    <w:rsid w:val="00211B36"/>
    <w:rsid w:val="00213147"/>
    <w:rsid w:val="00214B06"/>
    <w:rsid w:val="00216049"/>
    <w:rsid w:val="002164CB"/>
    <w:rsid w:val="00220AB4"/>
    <w:rsid w:val="00220FA5"/>
    <w:rsid w:val="00221ADE"/>
    <w:rsid w:val="00221EF3"/>
    <w:rsid w:val="00224ABD"/>
    <w:rsid w:val="00225347"/>
    <w:rsid w:val="00231273"/>
    <w:rsid w:val="00231A04"/>
    <w:rsid w:val="00232663"/>
    <w:rsid w:val="00233238"/>
    <w:rsid w:val="00234145"/>
    <w:rsid w:val="0023447F"/>
    <w:rsid w:val="002344FA"/>
    <w:rsid w:val="00236729"/>
    <w:rsid w:val="00236C16"/>
    <w:rsid w:val="00236F7A"/>
    <w:rsid w:val="0023746A"/>
    <w:rsid w:val="0024035E"/>
    <w:rsid w:val="0024048D"/>
    <w:rsid w:val="00240CB9"/>
    <w:rsid w:val="00241010"/>
    <w:rsid w:val="00242EFB"/>
    <w:rsid w:val="00242F49"/>
    <w:rsid w:val="00243DEC"/>
    <w:rsid w:val="002451C0"/>
    <w:rsid w:val="00245211"/>
    <w:rsid w:val="002463D3"/>
    <w:rsid w:val="00246E17"/>
    <w:rsid w:val="002472CA"/>
    <w:rsid w:val="00247AA9"/>
    <w:rsid w:val="00250777"/>
    <w:rsid w:val="002508EE"/>
    <w:rsid w:val="00250AA3"/>
    <w:rsid w:val="00250D95"/>
    <w:rsid w:val="00252919"/>
    <w:rsid w:val="00253578"/>
    <w:rsid w:val="002552DE"/>
    <w:rsid w:val="00256E36"/>
    <w:rsid w:val="00260BAE"/>
    <w:rsid w:val="00260E1E"/>
    <w:rsid w:val="00260F37"/>
    <w:rsid w:val="00261EE1"/>
    <w:rsid w:val="0026297A"/>
    <w:rsid w:val="00262FBA"/>
    <w:rsid w:val="002637B3"/>
    <w:rsid w:val="002639FF"/>
    <w:rsid w:val="00263A40"/>
    <w:rsid w:val="00263DF7"/>
    <w:rsid w:val="002640F7"/>
    <w:rsid w:val="0026449B"/>
    <w:rsid w:val="00264818"/>
    <w:rsid w:val="00265BDA"/>
    <w:rsid w:val="00266743"/>
    <w:rsid w:val="002674D1"/>
    <w:rsid w:val="00267BD9"/>
    <w:rsid w:val="00270752"/>
    <w:rsid w:val="0027117E"/>
    <w:rsid w:val="002711E9"/>
    <w:rsid w:val="002714EB"/>
    <w:rsid w:val="00272CA1"/>
    <w:rsid w:val="00273B8E"/>
    <w:rsid w:val="00274EF0"/>
    <w:rsid w:val="002753FA"/>
    <w:rsid w:val="00275485"/>
    <w:rsid w:val="00275F65"/>
    <w:rsid w:val="00276243"/>
    <w:rsid w:val="00280620"/>
    <w:rsid w:val="00281F72"/>
    <w:rsid w:val="0028239B"/>
    <w:rsid w:val="00285FCF"/>
    <w:rsid w:val="00286CD4"/>
    <w:rsid w:val="00287543"/>
    <w:rsid w:val="0029164F"/>
    <w:rsid w:val="002920CC"/>
    <w:rsid w:val="00293438"/>
    <w:rsid w:val="00293609"/>
    <w:rsid w:val="0029476E"/>
    <w:rsid w:val="00297199"/>
    <w:rsid w:val="002971B9"/>
    <w:rsid w:val="00297420"/>
    <w:rsid w:val="002976BE"/>
    <w:rsid w:val="0029796A"/>
    <w:rsid w:val="002A14A9"/>
    <w:rsid w:val="002A1D88"/>
    <w:rsid w:val="002A3893"/>
    <w:rsid w:val="002A5152"/>
    <w:rsid w:val="002A5EBD"/>
    <w:rsid w:val="002A623F"/>
    <w:rsid w:val="002A62AA"/>
    <w:rsid w:val="002A7523"/>
    <w:rsid w:val="002A765A"/>
    <w:rsid w:val="002A7D5E"/>
    <w:rsid w:val="002B0DC1"/>
    <w:rsid w:val="002B0FCF"/>
    <w:rsid w:val="002B1432"/>
    <w:rsid w:val="002B2DC8"/>
    <w:rsid w:val="002B45B0"/>
    <w:rsid w:val="002B5070"/>
    <w:rsid w:val="002B5225"/>
    <w:rsid w:val="002B6266"/>
    <w:rsid w:val="002B6577"/>
    <w:rsid w:val="002B68F5"/>
    <w:rsid w:val="002B7C94"/>
    <w:rsid w:val="002C04F0"/>
    <w:rsid w:val="002C0EAD"/>
    <w:rsid w:val="002C196F"/>
    <w:rsid w:val="002C47BB"/>
    <w:rsid w:val="002C4AFA"/>
    <w:rsid w:val="002C5212"/>
    <w:rsid w:val="002C5EF1"/>
    <w:rsid w:val="002C6033"/>
    <w:rsid w:val="002C68B9"/>
    <w:rsid w:val="002C6B16"/>
    <w:rsid w:val="002C75B4"/>
    <w:rsid w:val="002C7EBE"/>
    <w:rsid w:val="002D036D"/>
    <w:rsid w:val="002D05C1"/>
    <w:rsid w:val="002D1C5F"/>
    <w:rsid w:val="002D29F8"/>
    <w:rsid w:val="002D3AA4"/>
    <w:rsid w:val="002D4146"/>
    <w:rsid w:val="002D51B7"/>
    <w:rsid w:val="002D5702"/>
    <w:rsid w:val="002D5935"/>
    <w:rsid w:val="002D7C76"/>
    <w:rsid w:val="002D7F65"/>
    <w:rsid w:val="002E003B"/>
    <w:rsid w:val="002E1308"/>
    <w:rsid w:val="002E1476"/>
    <w:rsid w:val="002E262D"/>
    <w:rsid w:val="002E3FC9"/>
    <w:rsid w:val="002E52D3"/>
    <w:rsid w:val="002E5593"/>
    <w:rsid w:val="002E6110"/>
    <w:rsid w:val="002E7B4E"/>
    <w:rsid w:val="002E7BED"/>
    <w:rsid w:val="002F19D0"/>
    <w:rsid w:val="002F1F4D"/>
    <w:rsid w:val="002F2B93"/>
    <w:rsid w:val="002F2D3A"/>
    <w:rsid w:val="002F32FF"/>
    <w:rsid w:val="002F44BE"/>
    <w:rsid w:val="002F4F30"/>
    <w:rsid w:val="002F58A5"/>
    <w:rsid w:val="002F66D3"/>
    <w:rsid w:val="002F73F0"/>
    <w:rsid w:val="002F7BAB"/>
    <w:rsid w:val="003004C3"/>
    <w:rsid w:val="00300F5D"/>
    <w:rsid w:val="00301817"/>
    <w:rsid w:val="003020FB"/>
    <w:rsid w:val="003049D3"/>
    <w:rsid w:val="00305B7F"/>
    <w:rsid w:val="00305D9E"/>
    <w:rsid w:val="00306CE7"/>
    <w:rsid w:val="00306EA0"/>
    <w:rsid w:val="00306F06"/>
    <w:rsid w:val="003075BE"/>
    <w:rsid w:val="00307F26"/>
    <w:rsid w:val="003102D7"/>
    <w:rsid w:val="00310CED"/>
    <w:rsid w:val="0031171A"/>
    <w:rsid w:val="00311E94"/>
    <w:rsid w:val="00312B2D"/>
    <w:rsid w:val="00312E10"/>
    <w:rsid w:val="0031434D"/>
    <w:rsid w:val="00314AEB"/>
    <w:rsid w:val="003154B9"/>
    <w:rsid w:val="003157F9"/>
    <w:rsid w:val="00316721"/>
    <w:rsid w:val="00316E7C"/>
    <w:rsid w:val="00317458"/>
    <w:rsid w:val="003205F8"/>
    <w:rsid w:val="00321454"/>
    <w:rsid w:val="003214A9"/>
    <w:rsid w:val="00322AAC"/>
    <w:rsid w:val="003234B7"/>
    <w:rsid w:val="003251DF"/>
    <w:rsid w:val="00325660"/>
    <w:rsid w:val="00325984"/>
    <w:rsid w:val="0032684C"/>
    <w:rsid w:val="0033017E"/>
    <w:rsid w:val="00330314"/>
    <w:rsid w:val="00331F6A"/>
    <w:rsid w:val="003333CF"/>
    <w:rsid w:val="00333B6C"/>
    <w:rsid w:val="0033484A"/>
    <w:rsid w:val="00334AFB"/>
    <w:rsid w:val="00334DF0"/>
    <w:rsid w:val="00335E6C"/>
    <w:rsid w:val="00337FA1"/>
    <w:rsid w:val="00340111"/>
    <w:rsid w:val="00341ABD"/>
    <w:rsid w:val="00342598"/>
    <w:rsid w:val="00346268"/>
    <w:rsid w:val="003464F9"/>
    <w:rsid w:val="00346DEA"/>
    <w:rsid w:val="00347804"/>
    <w:rsid w:val="0035139A"/>
    <w:rsid w:val="00351A18"/>
    <w:rsid w:val="00351AEE"/>
    <w:rsid w:val="00352F78"/>
    <w:rsid w:val="003530B1"/>
    <w:rsid w:val="0035324E"/>
    <w:rsid w:val="00353A06"/>
    <w:rsid w:val="00353DE0"/>
    <w:rsid w:val="00354782"/>
    <w:rsid w:val="003549DC"/>
    <w:rsid w:val="00354C25"/>
    <w:rsid w:val="00355DD1"/>
    <w:rsid w:val="00357154"/>
    <w:rsid w:val="0035760B"/>
    <w:rsid w:val="0035777E"/>
    <w:rsid w:val="00357A1E"/>
    <w:rsid w:val="00361A85"/>
    <w:rsid w:val="00363373"/>
    <w:rsid w:val="003638A5"/>
    <w:rsid w:val="00363FD7"/>
    <w:rsid w:val="00364448"/>
    <w:rsid w:val="00364719"/>
    <w:rsid w:val="0036548F"/>
    <w:rsid w:val="00365A8D"/>
    <w:rsid w:val="00370290"/>
    <w:rsid w:val="00370303"/>
    <w:rsid w:val="003703E6"/>
    <w:rsid w:val="00370748"/>
    <w:rsid w:val="00372765"/>
    <w:rsid w:val="00372955"/>
    <w:rsid w:val="00372ED0"/>
    <w:rsid w:val="00372ED9"/>
    <w:rsid w:val="0037503E"/>
    <w:rsid w:val="00375065"/>
    <w:rsid w:val="00376FB1"/>
    <w:rsid w:val="00377DFB"/>
    <w:rsid w:val="0038098B"/>
    <w:rsid w:val="003812B7"/>
    <w:rsid w:val="00381B89"/>
    <w:rsid w:val="00382ECD"/>
    <w:rsid w:val="00383184"/>
    <w:rsid w:val="00384059"/>
    <w:rsid w:val="00385522"/>
    <w:rsid w:val="00385A45"/>
    <w:rsid w:val="003862F0"/>
    <w:rsid w:val="00386FEE"/>
    <w:rsid w:val="00387F78"/>
    <w:rsid w:val="003908F1"/>
    <w:rsid w:val="00391544"/>
    <w:rsid w:val="00391638"/>
    <w:rsid w:val="003938AD"/>
    <w:rsid w:val="00393CB5"/>
    <w:rsid w:val="00394303"/>
    <w:rsid w:val="00394E33"/>
    <w:rsid w:val="00395078"/>
    <w:rsid w:val="003955A7"/>
    <w:rsid w:val="003968FA"/>
    <w:rsid w:val="003A06D1"/>
    <w:rsid w:val="003A1FA8"/>
    <w:rsid w:val="003A20A6"/>
    <w:rsid w:val="003A5787"/>
    <w:rsid w:val="003A61B8"/>
    <w:rsid w:val="003A62BE"/>
    <w:rsid w:val="003A64DE"/>
    <w:rsid w:val="003A7B42"/>
    <w:rsid w:val="003B0F6C"/>
    <w:rsid w:val="003B1065"/>
    <w:rsid w:val="003B1B17"/>
    <w:rsid w:val="003B33A6"/>
    <w:rsid w:val="003B4233"/>
    <w:rsid w:val="003B45AB"/>
    <w:rsid w:val="003B4BF8"/>
    <w:rsid w:val="003B50C1"/>
    <w:rsid w:val="003B548B"/>
    <w:rsid w:val="003B6A5A"/>
    <w:rsid w:val="003B7D79"/>
    <w:rsid w:val="003C07F2"/>
    <w:rsid w:val="003C210D"/>
    <w:rsid w:val="003C2423"/>
    <w:rsid w:val="003C278B"/>
    <w:rsid w:val="003C30D1"/>
    <w:rsid w:val="003C377C"/>
    <w:rsid w:val="003C5956"/>
    <w:rsid w:val="003C7CD0"/>
    <w:rsid w:val="003D197F"/>
    <w:rsid w:val="003D2E27"/>
    <w:rsid w:val="003D3A85"/>
    <w:rsid w:val="003D5221"/>
    <w:rsid w:val="003D6444"/>
    <w:rsid w:val="003D6D63"/>
    <w:rsid w:val="003E0483"/>
    <w:rsid w:val="003E1079"/>
    <w:rsid w:val="003E359C"/>
    <w:rsid w:val="003E3FD8"/>
    <w:rsid w:val="003E452D"/>
    <w:rsid w:val="003E5626"/>
    <w:rsid w:val="003E6069"/>
    <w:rsid w:val="003E6505"/>
    <w:rsid w:val="003E67DD"/>
    <w:rsid w:val="003F0250"/>
    <w:rsid w:val="003F282F"/>
    <w:rsid w:val="003F2EF7"/>
    <w:rsid w:val="003F47BF"/>
    <w:rsid w:val="003F4BA4"/>
    <w:rsid w:val="003F4F8A"/>
    <w:rsid w:val="003F5AF3"/>
    <w:rsid w:val="003F61EF"/>
    <w:rsid w:val="003F773B"/>
    <w:rsid w:val="003F7C83"/>
    <w:rsid w:val="0040042D"/>
    <w:rsid w:val="00400743"/>
    <w:rsid w:val="00402557"/>
    <w:rsid w:val="004042E3"/>
    <w:rsid w:val="00405592"/>
    <w:rsid w:val="004059B8"/>
    <w:rsid w:val="004065D9"/>
    <w:rsid w:val="004119A1"/>
    <w:rsid w:val="00412255"/>
    <w:rsid w:val="00413141"/>
    <w:rsid w:val="0041314A"/>
    <w:rsid w:val="00414910"/>
    <w:rsid w:val="00415609"/>
    <w:rsid w:val="00415F8E"/>
    <w:rsid w:val="0041608E"/>
    <w:rsid w:val="00420772"/>
    <w:rsid w:val="0042159B"/>
    <w:rsid w:val="004219D8"/>
    <w:rsid w:val="0042323C"/>
    <w:rsid w:val="00423330"/>
    <w:rsid w:val="00423965"/>
    <w:rsid w:val="004242BA"/>
    <w:rsid w:val="00425AD9"/>
    <w:rsid w:val="00426F82"/>
    <w:rsid w:val="0042718C"/>
    <w:rsid w:val="00430269"/>
    <w:rsid w:val="004307F2"/>
    <w:rsid w:val="0043102C"/>
    <w:rsid w:val="00431461"/>
    <w:rsid w:val="00432AE1"/>
    <w:rsid w:val="00433341"/>
    <w:rsid w:val="00433356"/>
    <w:rsid w:val="00435371"/>
    <w:rsid w:val="00436B64"/>
    <w:rsid w:val="00441B76"/>
    <w:rsid w:val="00442A9B"/>
    <w:rsid w:val="00443952"/>
    <w:rsid w:val="0044484B"/>
    <w:rsid w:val="004506BE"/>
    <w:rsid w:val="00451496"/>
    <w:rsid w:val="004514CF"/>
    <w:rsid w:val="0045184A"/>
    <w:rsid w:val="00452579"/>
    <w:rsid w:val="00452801"/>
    <w:rsid w:val="00452D4A"/>
    <w:rsid w:val="00453315"/>
    <w:rsid w:val="0045494F"/>
    <w:rsid w:val="00454EF4"/>
    <w:rsid w:val="004551D9"/>
    <w:rsid w:val="004556A4"/>
    <w:rsid w:val="00456243"/>
    <w:rsid w:val="00456E0B"/>
    <w:rsid w:val="00457A52"/>
    <w:rsid w:val="00457B69"/>
    <w:rsid w:val="004605D7"/>
    <w:rsid w:val="00461853"/>
    <w:rsid w:val="00461A2A"/>
    <w:rsid w:val="00461BE3"/>
    <w:rsid w:val="00464136"/>
    <w:rsid w:val="004649FF"/>
    <w:rsid w:val="0046701A"/>
    <w:rsid w:val="004703D8"/>
    <w:rsid w:val="00470FB8"/>
    <w:rsid w:val="004711EE"/>
    <w:rsid w:val="00473C1E"/>
    <w:rsid w:val="00476E5E"/>
    <w:rsid w:val="00477869"/>
    <w:rsid w:val="0048178B"/>
    <w:rsid w:val="00481DD1"/>
    <w:rsid w:val="004832AF"/>
    <w:rsid w:val="004834D4"/>
    <w:rsid w:val="0048513F"/>
    <w:rsid w:val="0048533F"/>
    <w:rsid w:val="004853E1"/>
    <w:rsid w:val="0048761A"/>
    <w:rsid w:val="00487BF5"/>
    <w:rsid w:val="00491626"/>
    <w:rsid w:val="00491D44"/>
    <w:rsid w:val="00492EFA"/>
    <w:rsid w:val="00492FBD"/>
    <w:rsid w:val="00492FFD"/>
    <w:rsid w:val="00493A21"/>
    <w:rsid w:val="00493D4E"/>
    <w:rsid w:val="00493DA7"/>
    <w:rsid w:val="004952D6"/>
    <w:rsid w:val="00496672"/>
    <w:rsid w:val="00496676"/>
    <w:rsid w:val="004A1C8E"/>
    <w:rsid w:val="004A25D6"/>
    <w:rsid w:val="004A27EA"/>
    <w:rsid w:val="004A297D"/>
    <w:rsid w:val="004A45DC"/>
    <w:rsid w:val="004A690B"/>
    <w:rsid w:val="004A732E"/>
    <w:rsid w:val="004B2EC3"/>
    <w:rsid w:val="004B3238"/>
    <w:rsid w:val="004B4144"/>
    <w:rsid w:val="004B4862"/>
    <w:rsid w:val="004B52A6"/>
    <w:rsid w:val="004B55B5"/>
    <w:rsid w:val="004B66AA"/>
    <w:rsid w:val="004B6E30"/>
    <w:rsid w:val="004B7587"/>
    <w:rsid w:val="004C0487"/>
    <w:rsid w:val="004C18CE"/>
    <w:rsid w:val="004C1B42"/>
    <w:rsid w:val="004C23B6"/>
    <w:rsid w:val="004C2904"/>
    <w:rsid w:val="004C3000"/>
    <w:rsid w:val="004C32FB"/>
    <w:rsid w:val="004C3857"/>
    <w:rsid w:val="004C4FC7"/>
    <w:rsid w:val="004D0C64"/>
    <w:rsid w:val="004D193C"/>
    <w:rsid w:val="004D2D0A"/>
    <w:rsid w:val="004D43CF"/>
    <w:rsid w:val="004D58CD"/>
    <w:rsid w:val="004D6D8F"/>
    <w:rsid w:val="004D76D9"/>
    <w:rsid w:val="004E0E65"/>
    <w:rsid w:val="004E1B65"/>
    <w:rsid w:val="004E218D"/>
    <w:rsid w:val="004E22C3"/>
    <w:rsid w:val="004E27F0"/>
    <w:rsid w:val="004E37DB"/>
    <w:rsid w:val="004E3CCF"/>
    <w:rsid w:val="004E43D9"/>
    <w:rsid w:val="004E6617"/>
    <w:rsid w:val="004E7B2E"/>
    <w:rsid w:val="004F013F"/>
    <w:rsid w:val="004F034B"/>
    <w:rsid w:val="004F1AC3"/>
    <w:rsid w:val="004F21B4"/>
    <w:rsid w:val="004F3209"/>
    <w:rsid w:val="004F3273"/>
    <w:rsid w:val="004F39D8"/>
    <w:rsid w:val="004F40E6"/>
    <w:rsid w:val="004F48FF"/>
    <w:rsid w:val="004F49C8"/>
    <w:rsid w:val="004F5296"/>
    <w:rsid w:val="004F6881"/>
    <w:rsid w:val="00501524"/>
    <w:rsid w:val="00502A93"/>
    <w:rsid w:val="00503144"/>
    <w:rsid w:val="005056E4"/>
    <w:rsid w:val="005065DB"/>
    <w:rsid w:val="00506BAA"/>
    <w:rsid w:val="00506C30"/>
    <w:rsid w:val="005101FC"/>
    <w:rsid w:val="005134DB"/>
    <w:rsid w:val="00513688"/>
    <w:rsid w:val="005136DD"/>
    <w:rsid w:val="00513DDA"/>
    <w:rsid w:val="005158F9"/>
    <w:rsid w:val="00516182"/>
    <w:rsid w:val="00516BE0"/>
    <w:rsid w:val="005171B3"/>
    <w:rsid w:val="00520055"/>
    <w:rsid w:val="00520D12"/>
    <w:rsid w:val="0052151E"/>
    <w:rsid w:val="0052168B"/>
    <w:rsid w:val="00521CB7"/>
    <w:rsid w:val="0052291A"/>
    <w:rsid w:val="0052319E"/>
    <w:rsid w:val="00524203"/>
    <w:rsid w:val="00524A7C"/>
    <w:rsid w:val="00525AD7"/>
    <w:rsid w:val="00525C33"/>
    <w:rsid w:val="00526ECB"/>
    <w:rsid w:val="005273F9"/>
    <w:rsid w:val="00527922"/>
    <w:rsid w:val="0053024A"/>
    <w:rsid w:val="00531259"/>
    <w:rsid w:val="005334E1"/>
    <w:rsid w:val="005335B4"/>
    <w:rsid w:val="00533D24"/>
    <w:rsid w:val="00534192"/>
    <w:rsid w:val="00534A5A"/>
    <w:rsid w:val="00537A5B"/>
    <w:rsid w:val="00537C2D"/>
    <w:rsid w:val="005403A1"/>
    <w:rsid w:val="00540EB7"/>
    <w:rsid w:val="005414D3"/>
    <w:rsid w:val="00542BCF"/>
    <w:rsid w:val="005437F2"/>
    <w:rsid w:val="0054401D"/>
    <w:rsid w:val="005450F2"/>
    <w:rsid w:val="0054551A"/>
    <w:rsid w:val="00547157"/>
    <w:rsid w:val="0054734C"/>
    <w:rsid w:val="00547DFD"/>
    <w:rsid w:val="005512BB"/>
    <w:rsid w:val="005516B4"/>
    <w:rsid w:val="00551756"/>
    <w:rsid w:val="00551906"/>
    <w:rsid w:val="00551C92"/>
    <w:rsid w:val="00552D49"/>
    <w:rsid w:val="00553478"/>
    <w:rsid w:val="00554192"/>
    <w:rsid w:val="00554574"/>
    <w:rsid w:val="00556295"/>
    <w:rsid w:val="0056379B"/>
    <w:rsid w:val="0056405B"/>
    <w:rsid w:val="005658D1"/>
    <w:rsid w:val="00565A15"/>
    <w:rsid w:val="0056759B"/>
    <w:rsid w:val="00567C4E"/>
    <w:rsid w:val="005704F9"/>
    <w:rsid w:val="005709BA"/>
    <w:rsid w:val="00570BDC"/>
    <w:rsid w:val="00571115"/>
    <w:rsid w:val="00571F0F"/>
    <w:rsid w:val="00572941"/>
    <w:rsid w:val="00573257"/>
    <w:rsid w:val="00573B77"/>
    <w:rsid w:val="00575FBE"/>
    <w:rsid w:val="00576129"/>
    <w:rsid w:val="005770F1"/>
    <w:rsid w:val="005771B7"/>
    <w:rsid w:val="00577332"/>
    <w:rsid w:val="00577551"/>
    <w:rsid w:val="00577A02"/>
    <w:rsid w:val="00577C6D"/>
    <w:rsid w:val="00580918"/>
    <w:rsid w:val="00580AFC"/>
    <w:rsid w:val="00580E92"/>
    <w:rsid w:val="005817F8"/>
    <w:rsid w:val="00584163"/>
    <w:rsid w:val="005856AB"/>
    <w:rsid w:val="00585810"/>
    <w:rsid w:val="00585D81"/>
    <w:rsid w:val="00585DAC"/>
    <w:rsid w:val="0058683D"/>
    <w:rsid w:val="005870B7"/>
    <w:rsid w:val="005872F2"/>
    <w:rsid w:val="0059082E"/>
    <w:rsid w:val="00590C3F"/>
    <w:rsid w:val="005913AE"/>
    <w:rsid w:val="005915C6"/>
    <w:rsid w:val="00591761"/>
    <w:rsid w:val="0059206C"/>
    <w:rsid w:val="00592774"/>
    <w:rsid w:val="0059358F"/>
    <w:rsid w:val="00593DD8"/>
    <w:rsid w:val="005943EA"/>
    <w:rsid w:val="005944F6"/>
    <w:rsid w:val="00594CB1"/>
    <w:rsid w:val="00595C9E"/>
    <w:rsid w:val="005A0560"/>
    <w:rsid w:val="005A14F6"/>
    <w:rsid w:val="005A2C00"/>
    <w:rsid w:val="005A3244"/>
    <w:rsid w:val="005A5215"/>
    <w:rsid w:val="005A52FB"/>
    <w:rsid w:val="005A56CE"/>
    <w:rsid w:val="005A5895"/>
    <w:rsid w:val="005A623E"/>
    <w:rsid w:val="005A7647"/>
    <w:rsid w:val="005A7C45"/>
    <w:rsid w:val="005B1577"/>
    <w:rsid w:val="005B173E"/>
    <w:rsid w:val="005B1F50"/>
    <w:rsid w:val="005B44C2"/>
    <w:rsid w:val="005B507A"/>
    <w:rsid w:val="005B55FB"/>
    <w:rsid w:val="005B5877"/>
    <w:rsid w:val="005B5BB0"/>
    <w:rsid w:val="005B5F6F"/>
    <w:rsid w:val="005B6FB7"/>
    <w:rsid w:val="005B7057"/>
    <w:rsid w:val="005B72DE"/>
    <w:rsid w:val="005B7ED7"/>
    <w:rsid w:val="005B7F46"/>
    <w:rsid w:val="005C03D5"/>
    <w:rsid w:val="005C06A3"/>
    <w:rsid w:val="005C0736"/>
    <w:rsid w:val="005C07AA"/>
    <w:rsid w:val="005C07FC"/>
    <w:rsid w:val="005C2980"/>
    <w:rsid w:val="005C4406"/>
    <w:rsid w:val="005C4526"/>
    <w:rsid w:val="005C58B2"/>
    <w:rsid w:val="005C5BD0"/>
    <w:rsid w:val="005C684D"/>
    <w:rsid w:val="005C6B71"/>
    <w:rsid w:val="005C6C09"/>
    <w:rsid w:val="005C6C24"/>
    <w:rsid w:val="005C7014"/>
    <w:rsid w:val="005C702E"/>
    <w:rsid w:val="005D0356"/>
    <w:rsid w:val="005D0475"/>
    <w:rsid w:val="005D2D64"/>
    <w:rsid w:val="005D2FA9"/>
    <w:rsid w:val="005D3606"/>
    <w:rsid w:val="005D36FF"/>
    <w:rsid w:val="005D3D7E"/>
    <w:rsid w:val="005D5642"/>
    <w:rsid w:val="005D57A6"/>
    <w:rsid w:val="005D5D6B"/>
    <w:rsid w:val="005D5F14"/>
    <w:rsid w:val="005D6786"/>
    <w:rsid w:val="005E07E6"/>
    <w:rsid w:val="005E09D2"/>
    <w:rsid w:val="005E0C5B"/>
    <w:rsid w:val="005E0CE5"/>
    <w:rsid w:val="005E133F"/>
    <w:rsid w:val="005E2BC7"/>
    <w:rsid w:val="005E2E21"/>
    <w:rsid w:val="005E3C2A"/>
    <w:rsid w:val="005E4831"/>
    <w:rsid w:val="005E5AA3"/>
    <w:rsid w:val="005E6AF7"/>
    <w:rsid w:val="005E738E"/>
    <w:rsid w:val="005E7F21"/>
    <w:rsid w:val="005E7FD4"/>
    <w:rsid w:val="005F031E"/>
    <w:rsid w:val="005F0605"/>
    <w:rsid w:val="005F07A2"/>
    <w:rsid w:val="005F0F6D"/>
    <w:rsid w:val="005F1491"/>
    <w:rsid w:val="005F19E0"/>
    <w:rsid w:val="005F4360"/>
    <w:rsid w:val="005F56F9"/>
    <w:rsid w:val="005F671D"/>
    <w:rsid w:val="005F7B8B"/>
    <w:rsid w:val="00600DD8"/>
    <w:rsid w:val="006036D6"/>
    <w:rsid w:val="00603D92"/>
    <w:rsid w:val="006045EE"/>
    <w:rsid w:val="00604A61"/>
    <w:rsid w:val="00604ABC"/>
    <w:rsid w:val="006058F7"/>
    <w:rsid w:val="006102B3"/>
    <w:rsid w:val="00610584"/>
    <w:rsid w:val="00610D8F"/>
    <w:rsid w:val="0061119F"/>
    <w:rsid w:val="00611687"/>
    <w:rsid w:val="00611A31"/>
    <w:rsid w:val="006131FD"/>
    <w:rsid w:val="006134E2"/>
    <w:rsid w:val="00614435"/>
    <w:rsid w:val="006148F5"/>
    <w:rsid w:val="00615D61"/>
    <w:rsid w:val="006166EB"/>
    <w:rsid w:val="00616A58"/>
    <w:rsid w:val="006170A7"/>
    <w:rsid w:val="006174FE"/>
    <w:rsid w:val="006178FE"/>
    <w:rsid w:val="006211FC"/>
    <w:rsid w:val="00621C3B"/>
    <w:rsid w:val="00623E25"/>
    <w:rsid w:val="00625A6F"/>
    <w:rsid w:val="00625ACD"/>
    <w:rsid w:val="00625F61"/>
    <w:rsid w:val="006262A3"/>
    <w:rsid w:val="00626E0C"/>
    <w:rsid w:val="006270CB"/>
    <w:rsid w:val="00627C38"/>
    <w:rsid w:val="006314B7"/>
    <w:rsid w:val="0063228A"/>
    <w:rsid w:val="00632397"/>
    <w:rsid w:val="00632ACB"/>
    <w:rsid w:val="00633B15"/>
    <w:rsid w:val="006340CF"/>
    <w:rsid w:val="006348EC"/>
    <w:rsid w:val="00634AE8"/>
    <w:rsid w:val="00635591"/>
    <w:rsid w:val="006359AE"/>
    <w:rsid w:val="00635C72"/>
    <w:rsid w:val="006369BB"/>
    <w:rsid w:val="00640A8F"/>
    <w:rsid w:val="00640AA1"/>
    <w:rsid w:val="00641240"/>
    <w:rsid w:val="0064201D"/>
    <w:rsid w:val="0064334E"/>
    <w:rsid w:val="006436C6"/>
    <w:rsid w:val="00644355"/>
    <w:rsid w:val="006446D3"/>
    <w:rsid w:val="00644B3E"/>
    <w:rsid w:val="00644BAF"/>
    <w:rsid w:val="0064525C"/>
    <w:rsid w:val="00645526"/>
    <w:rsid w:val="006461EB"/>
    <w:rsid w:val="00647AF3"/>
    <w:rsid w:val="00650F0D"/>
    <w:rsid w:val="00651187"/>
    <w:rsid w:val="0065305D"/>
    <w:rsid w:val="006531DB"/>
    <w:rsid w:val="006538C4"/>
    <w:rsid w:val="00653B8E"/>
    <w:rsid w:val="006542D9"/>
    <w:rsid w:val="00656053"/>
    <w:rsid w:val="0065664C"/>
    <w:rsid w:val="006571AE"/>
    <w:rsid w:val="00657249"/>
    <w:rsid w:val="0065760F"/>
    <w:rsid w:val="00661002"/>
    <w:rsid w:val="0066113D"/>
    <w:rsid w:val="00661C35"/>
    <w:rsid w:val="006620EC"/>
    <w:rsid w:val="006626D6"/>
    <w:rsid w:val="006627F3"/>
    <w:rsid w:val="0066304B"/>
    <w:rsid w:val="00663607"/>
    <w:rsid w:val="00663B43"/>
    <w:rsid w:val="00665780"/>
    <w:rsid w:val="00665C17"/>
    <w:rsid w:val="00665E0C"/>
    <w:rsid w:val="00666739"/>
    <w:rsid w:val="00667309"/>
    <w:rsid w:val="00667CE5"/>
    <w:rsid w:val="006702D2"/>
    <w:rsid w:val="00670356"/>
    <w:rsid w:val="006705C0"/>
    <w:rsid w:val="00670DD9"/>
    <w:rsid w:val="00670DE7"/>
    <w:rsid w:val="006729F1"/>
    <w:rsid w:val="00673C74"/>
    <w:rsid w:val="00674888"/>
    <w:rsid w:val="00674C65"/>
    <w:rsid w:val="00674E28"/>
    <w:rsid w:val="00675698"/>
    <w:rsid w:val="00675F47"/>
    <w:rsid w:val="00677D5E"/>
    <w:rsid w:val="0068196E"/>
    <w:rsid w:val="00681A95"/>
    <w:rsid w:val="0068233D"/>
    <w:rsid w:val="00682E7B"/>
    <w:rsid w:val="006830B4"/>
    <w:rsid w:val="006838E0"/>
    <w:rsid w:val="0068408A"/>
    <w:rsid w:val="00684205"/>
    <w:rsid w:val="0068433F"/>
    <w:rsid w:val="00684965"/>
    <w:rsid w:val="00684C9B"/>
    <w:rsid w:val="006852EB"/>
    <w:rsid w:val="0068574A"/>
    <w:rsid w:val="00686617"/>
    <w:rsid w:val="00690963"/>
    <w:rsid w:val="00690CE1"/>
    <w:rsid w:val="0069119D"/>
    <w:rsid w:val="006913BF"/>
    <w:rsid w:val="00692C84"/>
    <w:rsid w:val="00692FE0"/>
    <w:rsid w:val="006946A6"/>
    <w:rsid w:val="00694AA7"/>
    <w:rsid w:val="006954A3"/>
    <w:rsid w:val="006958D4"/>
    <w:rsid w:val="006A0CFB"/>
    <w:rsid w:val="006A13CB"/>
    <w:rsid w:val="006A18E1"/>
    <w:rsid w:val="006A2440"/>
    <w:rsid w:val="006A4AA6"/>
    <w:rsid w:val="006A5228"/>
    <w:rsid w:val="006A5911"/>
    <w:rsid w:val="006B0CDC"/>
    <w:rsid w:val="006B1AF0"/>
    <w:rsid w:val="006B3CA7"/>
    <w:rsid w:val="006B4660"/>
    <w:rsid w:val="006B5134"/>
    <w:rsid w:val="006B53EE"/>
    <w:rsid w:val="006B6614"/>
    <w:rsid w:val="006B72B7"/>
    <w:rsid w:val="006B7B28"/>
    <w:rsid w:val="006B7BA3"/>
    <w:rsid w:val="006B7C13"/>
    <w:rsid w:val="006C1A55"/>
    <w:rsid w:val="006C2831"/>
    <w:rsid w:val="006C3038"/>
    <w:rsid w:val="006C5C5A"/>
    <w:rsid w:val="006C5DC4"/>
    <w:rsid w:val="006C5DCC"/>
    <w:rsid w:val="006C6121"/>
    <w:rsid w:val="006C7F45"/>
    <w:rsid w:val="006D0058"/>
    <w:rsid w:val="006D3584"/>
    <w:rsid w:val="006D420D"/>
    <w:rsid w:val="006D4310"/>
    <w:rsid w:val="006D4AD1"/>
    <w:rsid w:val="006D5082"/>
    <w:rsid w:val="006D50C3"/>
    <w:rsid w:val="006D5931"/>
    <w:rsid w:val="006D5F8A"/>
    <w:rsid w:val="006D666E"/>
    <w:rsid w:val="006D6DC7"/>
    <w:rsid w:val="006D7915"/>
    <w:rsid w:val="006E0D45"/>
    <w:rsid w:val="006E277F"/>
    <w:rsid w:val="006E3A46"/>
    <w:rsid w:val="006E3B11"/>
    <w:rsid w:val="006E4EFD"/>
    <w:rsid w:val="006F038E"/>
    <w:rsid w:val="006F09C1"/>
    <w:rsid w:val="006F0CB5"/>
    <w:rsid w:val="006F0DB9"/>
    <w:rsid w:val="006F1725"/>
    <w:rsid w:val="006F1DD5"/>
    <w:rsid w:val="006F2539"/>
    <w:rsid w:val="006F374A"/>
    <w:rsid w:val="006F3A8C"/>
    <w:rsid w:val="006F3D5F"/>
    <w:rsid w:val="006F4328"/>
    <w:rsid w:val="006F5531"/>
    <w:rsid w:val="006F5D02"/>
    <w:rsid w:val="006F6622"/>
    <w:rsid w:val="0070004E"/>
    <w:rsid w:val="00700C56"/>
    <w:rsid w:val="00701AE6"/>
    <w:rsid w:val="00701E9E"/>
    <w:rsid w:val="007024E9"/>
    <w:rsid w:val="007036F3"/>
    <w:rsid w:val="00703E93"/>
    <w:rsid w:val="00704ACE"/>
    <w:rsid w:val="0070563C"/>
    <w:rsid w:val="00707076"/>
    <w:rsid w:val="007077E8"/>
    <w:rsid w:val="007127D2"/>
    <w:rsid w:val="00713A18"/>
    <w:rsid w:val="00713D99"/>
    <w:rsid w:val="0071436E"/>
    <w:rsid w:val="00714500"/>
    <w:rsid w:val="007146A3"/>
    <w:rsid w:val="007161BA"/>
    <w:rsid w:val="00716E6A"/>
    <w:rsid w:val="00716ECD"/>
    <w:rsid w:val="0071718D"/>
    <w:rsid w:val="007175BA"/>
    <w:rsid w:val="007217C2"/>
    <w:rsid w:val="00721DE7"/>
    <w:rsid w:val="00722449"/>
    <w:rsid w:val="0072295C"/>
    <w:rsid w:val="0072376B"/>
    <w:rsid w:val="007244AA"/>
    <w:rsid w:val="0072502D"/>
    <w:rsid w:val="00725FB0"/>
    <w:rsid w:val="00726CAB"/>
    <w:rsid w:val="00727E27"/>
    <w:rsid w:val="007304C4"/>
    <w:rsid w:val="0073092D"/>
    <w:rsid w:val="00732036"/>
    <w:rsid w:val="00737CFA"/>
    <w:rsid w:val="00741FBB"/>
    <w:rsid w:val="00742146"/>
    <w:rsid w:val="00742527"/>
    <w:rsid w:val="00742D55"/>
    <w:rsid w:val="00742EE9"/>
    <w:rsid w:val="0074339E"/>
    <w:rsid w:val="0074463A"/>
    <w:rsid w:val="00744F40"/>
    <w:rsid w:val="007451EF"/>
    <w:rsid w:val="00746333"/>
    <w:rsid w:val="00746D13"/>
    <w:rsid w:val="007538F0"/>
    <w:rsid w:val="00754477"/>
    <w:rsid w:val="00754D02"/>
    <w:rsid w:val="007577B7"/>
    <w:rsid w:val="007607CC"/>
    <w:rsid w:val="00761076"/>
    <w:rsid w:val="0076290F"/>
    <w:rsid w:val="007651A7"/>
    <w:rsid w:val="0076542F"/>
    <w:rsid w:val="00767E0D"/>
    <w:rsid w:val="007700AC"/>
    <w:rsid w:val="007739DE"/>
    <w:rsid w:val="00773A83"/>
    <w:rsid w:val="00773B4B"/>
    <w:rsid w:val="00773DDE"/>
    <w:rsid w:val="00774C63"/>
    <w:rsid w:val="00774CA1"/>
    <w:rsid w:val="00775F74"/>
    <w:rsid w:val="00776329"/>
    <w:rsid w:val="00777DFF"/>
    <w:rsid w:val="00781809"/>
    <w:rsid w:val="00781926"/>
    <w:rsid w:val="0078534A"/>
    <w:rsid w:val="007877DD"/>
    <w:rsid w:val="0078790A"/>
    <w:rsid w:val="00787E8C"/>
    <w:rsid w:val="00790D4D"/>
    <w:rsid w:val="0079157B"/>
    <w:rsid w:val="0079441D"/>
    <w:rsid w:val="007949B0"/>
    <w:rsid w:val="00794B45"/>
    <w:rsid w:val="00794BA2"/>
    <w:rsid w:val="00795F2A"/>
    <w:rsid w:val="007A17E8"/>
    <w:rsid w:val="007A255D"/>
    <w:rsid w:val="007A2FFB"/>
    <w:rsid w:val="007A37D4"/>
    <w:rsid w:val="007A3B05"/>
    <w:rsid w:val="007A3EA9"/>
    <w:rsid w:val="007A4ACF"/>
    <w:rsid w:val="007A4C12"/>
    <w:rsid w:val="007A6A1A"/>
    <w:rsid w:val="007A7354"/>
    <w:rsid w:val="007A7405"/>
    <w:rsid w:val="007A7A63"/>
    <w:rsid w:val="007B007B"/>
    <w:rsid w:val="007B1653"/>
    <w:rsid w:val="007B194C"/>
    <w:rsid w:val="007B1986"/>
    <w:rsid w:val="007B238A"/>
    <w:rsid w:val="007B25B8"/>
    <w:rsid w:val="007B31F2"/>
    <w:rsid w:val="007B33AE"/>
    <w:rsid w:val="007B3FE7"/>
    <w:rsid w:val="007B42A8"/>
    <w:rsid w:val="007B57D3"/>
    <w:rsid w:val="007B716D"/>
    <w:rsid w:val="007B7315"/>
    <w:rsid w:val="007C0EAC"/>
    <w:rsid w:val="007C1635"/>
    <w:rsid w:val="007C223D"/>
    <w:rsid w:val="007C51C0"/>
    <w:rsid w:val="007C6B38"/>
    <w:rsid w:val="007C6DB2"/>
    <w:rsid w:val="007C74F6"/>
    <w:rsid w:val="007C7634"/>
    <w:rsid w:val="007C7696"/>
    <w:rsid w:val="007C797E"/>
    <w:rsid w:val="007C79B5"/>
    <w:rsid w:val="007C7A64"/>
    <w:rsid w:val="007D0392"/>
    <w:rsid w:val="007D078B"/>
    <w:rsid w:val="007D0A1F"/>
    <w:rsid w:val="007D112C"/>
    <w:rsid w:val="007D1A18"/>
    <w:rsid w:val="007D1E50"/>
    <w:rsid w:val="007D1E76"/>
    <w:rsid w:val="007D29CA"/>
    <w:rsid w:val="007D41DC"/>
    <w:rsid w:val="007D45BD"/>
    <w:rsid w:val="007D4B26"/>
    <w:rsid w:val="007D4CFA"/>
    <w:rsid w:val="007D4E66"/>
    <w:rsid w:val="007D592A"/>
    <w:rsid w:val="007D6246"/>
    <w:rsid w:val="007D66CF"/>
    <w:rsid w:val="007D6C2B"/>
    <w:rsid w:val="007D7A15"/>
    <w:rsid w:val="007E02F9"/>
    <w:rsid w:val="007E0390"/>
    <w:rsid w:val="007E08D4"/>
    <w:rsid w:val="007E104E"/>
    <w:rsid w:val="007E1C36"/>
    <w:rsid w:val="007E1F5A"/>
    <w:rsid w:val="007E2044"/>
    <w:rsid w:val="007E3284"/>
    <w:rsid w:val="007E3F4A"/>
    <w:rsid w:val="007E432D"/>
    <w:rsid w:val="007E45FF"/>
    <w:rsid w:val="007E6658"/>
    <w:rsid w:val="007E7CEE"/>
    <w:rsid w:val="007F15D0"/>
    <w:rsid w:val="007F223E"/>
    <w:rsid w:val="007F2D05"/>
    <w:rsid w:val="007F3073"/>
    <w:rsid w:val="007F3226"/>
    <w:rsid w:val="007F4293"/>
    <w:rsid w:val="007F4584"/>
    <w:rsid w:val="007F4735"/>
    <w:rsid w:val="007F54A4"/>
    <w:rsid w:val="007F56B5"/>
    <w:rsid w:val="007F6276"/>
    <w:rsid w:val="008024A3"/>
    <w:rsid w:val="008024DD"/>
    <w:rsid w:val="00803BF2"/>
    <w:rsid w:val="0080415A"/>
    <w:rsid w:val="00805598"/>
    <w:rsid w:val="008069C1"/>
    <w:rsid w:val="00807579"/>
    <w:rsid w:val="00807A7F"/>
    <w:rsid w:val="0081023A"/>
    <w:rsid w:val="00811188"/>
    <w:rsid w:val="0081157B"/>
    <w:rsid w:val="00811DA7"/>
    <w:rsid w:val="00813442"/>
    <w:rsid w:val="008160B6"/>
    <w:rsid w:val="00816AAF"/>
    <w:rsid w:val="00816E86"/>
    <w:rsid w:val="008203C8"/>
    <w:rsid w:val="008223B8"/>
    <w:rsid w:val="008228E3"/>
    <w:rsid w:val="00822AE5"/>
    <w:rsid w:val="008230FD"/>
    <w:rsid w:val="00825174"/>
    <w:rsid w:val="00826975"/>
    <w:rsid w:val="00826C12"/>
    <w:rsid w:val="00827C8E"/>
    <w:rsid w:val="00831678"/>
    <w:rsid w:val="00832017"/>
    <w:rsid w:val="0083279C"/>
    <w:rsid w:val="00832DC2"/>
    <w:rsid w:val="00833240"/>
    <w:rsid w:val="00833245"/>
    <w:rsid w:val="00833A50"/>
    <w:rsid w:val="00834E8A"/>
    <w:rsid w:val="0084073E"/>
    <w:rsid w:val="00841992"/>
    <w:rsid w:val="00842BD3"/>
    <w:rsid w:val="008439A4"/>
    <w:rsid w:val="00843DE8"/>
    <w:rsid w:val="008452E4"/>
    <w:rsid w:val="00845525"/>
    <w:rsid w:val="00845962"/>
    <w:rsid w:val="008463B5"/>
    <w:rsid w:val="00850817"/>
    <w:rsid w:val="00851D99"/>
    <w:rsid w:val="00852103"/>
    <w:rsid w:val="008550A1"/>
    <w:rsid w:val="008550FA"/>
    <w:rsid w:val="00855229"/>
    <w:rsid w:val="00855711"/>
    <w:rsid w:val="00856230"/>
    <w:rsid w:val="00856E94"/>
    <w:rsid w:val="00857356"/>
    <w:rsid w:val="00857385"/>
    <w:rsid w:val="00857976"/>
    <w:rsid w:val="00857A57"/>
    <w:rsid w:val="00857B2D"/>
    <w:rsid w:val="00860814"/>
    <w:rsid w:val="00860DEA"/>
    <w:rsid w:val="008620A2"/>
    <w:rsid w:val="008620A8"/>
    <w:rsid w:val="0086222A"/>
    <w:rsid w:val="00863558"/>
    <w:rsid w:val="00863708"/>
    <w:rsid w:val="00863719"/>
    <w:rsid w:val="008638EA"/>
    <w:rsid w:val="00864422"/>
    <w:rsid w:val="008657B3"/>
    <w:rsid w:val="008663DE"/>
    <w:rsid w:val="00867D02"/>
    <w:rsid w:val="00867D14"/>
    <w:rsid w:val="00867E64"/>
    <w:rsid w:val="0087072D"/>
    <w:rsid w:val="00871B88"/>
    <w:rsid w:val="00872824"/>
    <w:rsid w:val="00873BBF"/>
    <w:rsid w:val="00873F67"/>
    <w:rsid w:val="00874705"/>
    <w:rsid w:val="0087665C"/>
    <w:rsid w:val="00877189"/>
    <w:rsid w:val="00877258"/>
    <w:rsid w:val="008817A9"/>
    <w:rsid w:val="00881E6C"/>
    <w:rsid w:val="0088277C"/>
    <w:rsid w:val="00885F52"/>
    <w:rsid w:val="00887235"/>
    <w:rsid w:val="00887903"/>
    <w:rsid w:val="00890813"/>
    <w:rsid w:val="008916DD"/>
    <w:rsid w:val="008918AF"/>
    <w:rsid w:val="00892E83"/>
    <w:rsid w:val="00894A9B"/>
    <w:rsid w:val="00894B17"/>
    <w:rsid w:val="00895F70"/>
    <w:rsid w:val="00896241"/>
    <w:rsid w:val="008969DA"/>
    <w:rsid w:val="00896E0F"/>
    <w:rsid w:val="0089734D"/>
    <w:rsid w:val="00897534"/>
    <w:rsid w:val="00897BFD"/>
    <w:rsid w:val="008A1931"/>
    <w:rsid w:val="008A21CB"/>
    <w:rsid w:val="008A227A"/>
    <w:rsid w:val="008A397D"/>
    <w:rsid w:val="008A3D9A"/>
    <w:rsid w:val="008A4A6E"/>
    <w:rsid w:val="008A4A72"/>
    <w:rsid w:val="008A5522"/>
    <w:rsid w:val="008A566B"/>
    <w:rsid w:val="008A5E1A"/>
    <w:rsid w:val="008A5FA1"/>
    <w:rsid w:val="008A6BFE"/>
    <w:rsid w:val="008A751B"/>
    <w:rsid w:val="008A763D"/>
    <w:rsid w:val="008A77C2"/>
    <w:rsid w:val="008B1987"/>
    <w:rsid w:val="008B23B4"/>
    <w:rsid w:val="008B23ED"/>
    <w:rsid w:val="008B361A"/>
    <w:rsid w:val="008B454F"/>
    <w:rsid w:val="008B5CB6"/>
    <w:rsid w:val="008B6C0A"/>
    <w:rsid w:val="008B6E72"/>
    <w:rsid w:val="008B7676"/>
    <w:rsid w:val="008B799D"/>
    <w:rsid w:val="008B7D69"/>
    <w:rsid w:val="008C18C1"/>
    <w:rsid w:val="008C190E"/>
    <w:rsid w:val="008C2205"/>
    <w:rsid w:val="008C243D"/>
    <w:rsid w:val="008C321B"/>
    <w:rsid w:val="008C3905"/>
    <w:rsid w:val="008C4790"/>
    <w:rsid w:val="008C4806"/>
    <w:rsid w:val="008C4B67"/>
    <w:rsid w:val="008C5715"/>
    <w:rsid w:val="008C5E5D"/>
    <w:rsid w:val="008C5F21"/>
    <w:rsid w:val="008C6AE1"/>
    <w:rsid w:val="008C7B08"/>
    <w:rsid w:val="008C7B5B"/>
    <w:rsid w:val="008D146E"/>
    <w:rsid w:val="008D16A5"/>
    <w:rsid w:val="008D17C1"/>
    <w:rsid w:val="008D2620"/>
    <w:rsid w:val="008D324C"/>
    <w:rsid w:val="008D34BA"/>
    <w:rsid w:val="008D35F0"/>
    <w:rsid w:val="008D364B"/>
    <w:rsid w:val="008D55EB"/>
    <w:rsid w:val="008D6BE0"/>
    <w:rsid w:val="008E0977"/>
    <w:rsid w:val="008E1988"/>
    <w:rsid w:val="008E1990"/>
    <w:rsid w:val="008E1B7A"/>
    <w:rsid w:val="008E1E36"/>
    <w:rsid w:val="008E27B6"/>
    <w:rsid w:val="008E30C7"/>
    <w:rsid w:val="008E31EF"/>
    <w:rsid w:val="008E3A3B"/>
    <w:rsid w:val="008E4E23"/>
    <w:rsid w:val="008E66E7"/>
    <w:rsid w:val="008F020C"/>
    <w:rsid w:val="008F0F1B"/>
    <w:rsid w:val="008F1112"/>
    <w:rsid w:val="008F2BED"/>
    <w:rsid w:val="008F3343"/>
    <w:rsid w:val="008F3C69"/>
    <w:rsid w:val="008F4A2E"/>
    <w:rsid w:val="008F5D9D"/>
    <w:rsid w:val="008F69F5"/>
    <w:rsid w:val="00900515"/>
    <w:rsid w:val="00900898"/>
    <w:rsid w:val="00900B71"/>
    <w:rsid w:val="0090128F"/>
    <w:rsid w:val="00901836"/>
    <w:rsid w:val="009023C6"/>
    <w:rsid w:val="0090306D"/>
    <w:rsid w:val="009037E9"/>
    <w:rsid w:val="00903B54"/>
    <w:rsid w:val="0090427E"/>
    <w:rsid w:val="00904CA0"/>
    <w:rsid w:val="009055D7"/>
    <w:rsid w:val="00906A3B"/>
    <w:rsid w:val="00906E8E"/>
    <w:rsid w:val="009124C6"/>
    <w:rsid w:val="00912867"/>
    <w:rsid w:val="0091345B"/>
    <w:rsid w:val="00914EE4"/>
    <w:rsid w:val="009159BD"/>
    <w:rsid w:val="00916504"/>
    <w:rsid w:val="0091703D"/>
    <w:rsid w:val="009172E1"/>
    <w:rsid w:val="00921283"/>
    <w:rsid w:val="009235A9"/>
    <w:rsid w:val="00924129"/>
    <w:rsid w:val="00924EF7"/>
    <w:rsid w:val="009252ED"/>
    <w:rsid w:val="00925545"/>
    <w:rsid w:val="00925D32"/>
    <w:rsid w:val="00925DC4"/>
    <w:rsid w:val="00925E22"/>
    <w:rsid w:val="009264FE"/>
    <w:rsid w:val="00932B46"/>
    <w:rsid w:val="00932BB6"/>
    <w:rsid w:val="0093451A"/>
    <w:rsid w:val="00935089"/>
    <w:rsid w:val="00935A36"/>
    <w:rsid w:val="00935BE5"/>
    <w:rsid w:val="0093611B"/>
    <w:rsid w:val="009364BF"/>
    <w:rsid w:val="00936DB4"/>
    <w:rsid w:val="009373D8"/>
    <w:rsid w:val="009376EE"/>
    <w:rsid w:val="00940186"/>
    <w:rsid w:val="0094028D"/>
    <w:rsid w:val="0094036F"/>
    <w:rsid w:val="00940580"/>
    <w:rsid w:val="009443F5"/>
    <w:rsid w:val="0094516B"/>
    <w:rsid w:val="00945599"/>
    <w:rsid w:val="00946E70"/>
    <w:rsid w:val="00946F67"/>
    <w:rsid w:val="00947B4B"/>
    <w:rsid w:val="00947D3C"/>
    <w:rsid w:val="0095081E"/>
    <w:rsid w:val="00951287"/>
    <w:rsid w:val="00951856"/>
    <w:rsid w:val="009524F9"/>
    <w:rsid w:val="00952FDD"/>
    <w:rsid w:val="009549F9"/>
    <w:rsid w:val="00954A65"/>
    <w:rsid w:val="009556E5"/>
    <w:rsid w:val="00955CF0"/>
    <w:rsid w:val="00955EE8"/>
    <w:rsid w:val="009560DF"/>
    <w:rsid w:val="009577FC"/>
    <w:rsid w:val="009600FA"/>
    <w:rsid w:val="009604D1"/>
    <w:rsid w:val="009618E9"/>
    <w:rsid w:val="00961D2D"/>
    <w:rsid w:val="00962C33"/>
    <w:rsid w:val="009639BD"/>
    <w:rsid w:val="00964158"/>
    <w:rsid w:val="0096522A"/>
    <w:rsid w:val="0096531D"/>
    <w:rsid w:val="00966295"/>
    <w:rsid w:val="00966C94"/>
    <w:rsid w:val="009679F5"/>
    <w:rsid w:val="00970612"/>
    <w:rsid w:val="009707F1"/>
    <w:rsid w:val="00970D81"/>
    <w:rsid w:val="0097172A"/>
    <w:rsid w:val="00971FAB"/>
    <w:rsid w:val="00972704"/>
    <w:rsid w:val="0097296A"/>
    <w:rsid w:val="009729B5"/>
    <w:rsid w:val="00973B30"/>
    <w:rsid w:val="00976B18"/>
    <w:rsid w:val="00977A59"/>
    <w:rsid w:val="00977F62"/>
    <w:rsid w:val="00981609"/>
    <w:rsid w:val="009852CE"/>
    <w:rsid w:val="00985AC7"/>
    <w:rsid w:val="00985F84"/>
    <w:rsid w:val="009870CC"/>
    <w:rsid w:val="00987920"/>
    <w:rsid w:val="00990630"/>
    <w:rsid w:val="0099111B"/>
    <w:rsid w:val="00991619"/>
    <w:rsid w:val="009917F4"/>
    <w:rsid w:val="00991EC6"/>
    <w:rsid w:val="009921D2"/>
    <w:rsid w:val="00992ACD"/>
    <w:rsid w:val="0099310F"/>
    <w:rsid w:val="00993739"/>
    <w:rsid w:val="00996266"/>
    <w:rsid w:val="009962CA"/>
    <w:rsid w:val="009966D2"/>
    <w:rsid w:val="00997A9C"/>
    <w:rsid w:val="00997AC1"/>
    <w:rsid w:val="00997AC6"/>
    <w:rsid w:val="009A0D38"/>
    <w:rsid w:val="009A19F7"/>
    <w:rsid w:val="009A318A"/>
    <w:rsid w:val="009A580E"/>
    <w:rsid w:val="009A5BEE"/>
    <w:rsid w:val="009A64D7"/>
    <w:rsid w:val="009A65F0"/>
    <w:rsid w:val="009A7B95"/>
    <w:rsid w:val="009B0A4F"/>
    <w:rsid w:val="009B0EEB"/>
    <w:rsid w:val="009B136B"/>
    <w:rsid w:val="009B24CD"/>
    <w:rsid w:val="009B4748"/>
    <w:rsid w:val="009B4D3C"/>
    <w:rsid w:val="009B52F8"/>
    <w:rsid w:val="009B61D3"/>
    <w:rsid w:val="009B626B"/>
    <w:rsid w:val="009B7226"/>
    <w:rsid w:val="009B7FC2"/>
    <w:rsid w:val="009C01FA"/>
    <w:rsid w:val="009C0AD4"/>
    <w:rsid w:val="009C0CC4"/>
    <w:rsid w:val="009C1A82"/>
    <w:rsid w:val="009C4113"/>
    <w:rsid w:val="009C4A5B"/>
    <w:rsid w:val="009C5D0B"/>
    <w:rsid w:val="009C61F8"/>
    <w:rsid w:val="009C63EA"/>
    <w:rsid w:val="009C6F6C"/>
    <w:rsid w:val="009C71ED"/>
    <w:rsid w:val="009C7297"/>
    <w:rsid w:val="009C73D9"/>
    <w:rsid w:val="009D16DC"/>
    <w:rsid w:val="009D35E8"/>
    <w:rsid w:val="009D4B34"/>
    <w:rsid w:val="009D4CEC"/>
    <w:rsid w:val="009D5031"/>
    <w:rsid w:val="009D5AA0"/>
    <w:rsid w:val="009D6E38"/>
    <w:rsid w:val="009E02CD"/>
    <w:rsid w:val="009E180D"/>
    <w:rsid w:val="009E1C05"/>
    <w:rsid w:val="009E1D64"/>
    <w:rsid w:val="009E1DF8"/>
    <w:rsid w:val="009E3EB8"/>
    <w:rsid w:val="009E434D"/>
    <w:rsid w:val="009E589E"/>
    <w:rsid w:val="009E5960"/>
    <w:rsid w:val="009E5C45"/>
    <w:rsid w:val="009E6CA0"/>
    <w:rsid w:val="009E7865"/>
    <w:rsid w:val="009E7CC4"/>
    <w:rsid w:val="009F0B34"/>
    <w:rsid w:val="009F0DEB"/>
    <w:rsid w:val="009F13F2"/>
    <w:rsid w:val="009F14DD"/>
    <w:rsid w:val="009F1EB7"/>
    <w:rsid w:val="009F201D"/>
    <w:rsid w:val="009F27ED"/>
    <w:rsid w:val="009F2F36"/>
    <w:rsid w:val="009F3316"/>
    <w:rsid w:val="009F3A8F"/>
    <w:rsid w:val="009F436C"/>
    <w:rsid w:val="009F4451"/>
    <w:rsid w:val="009F603A"/>
    <w:rsid w:val="009F6166"/>
    <w:rsid w:val="009F7373"/>
    <w:rsid w:val="00A029F9"/>
    <w:rsid w:val="00A04C96"/>
    <w:rsid w:val="00A04E9F"/>
    <w:rsid w:val="00A05532"/>
    <w:rsid w:val="00A06154"/>
    <w:rsid w:val="00A0638A"/>
    <w:rsid w:val="00A11598"/>
    <w:rsid w:val="00A115E8"/>
    <w:rsid w:val="00A12524"/>
    <w:rsid w:val="00A12C6B"/>
    <w:rsid w:val="00A14534"/>
    <w:rsid w:val="00A14773"/>
    <w:rsid w:val="00A14F8D"/>
    <w:rsid w:val="00A152A9"/>
    <w:rsid w:val="00A154AA"/>
    <w:rsid w:val="00A175F9"/>
    <w:rsid w:val="00A200D8"/>
    <w:rsid w:val="00A20819"/>
    <w:rsid w:val="00A20989"/>
    <w:rsid w:val="00A20B05"/>
    <w:rsid w:val="00A218B3"/>
    <w:rsid w:val="00A21BBD"/>
    <w:rsid w:val="00A21F99"/>
    <w:rsid w:val="00A221F2"/>
    <w:rsid w:val="00A241D1"/>
    <w:rsid w:val="00A24545"/>
    <w:rsid w:val="00A251C6"/>
    <w:rsid w:val="00A25B53"/>
    <w:rsid w:val="00A25F3E"/>
    <w:rsid w:val="00A26594"/>
    <w:rsid w:val="00A26CF8"/>
    <w:rsid w:val="00A30F15"/>
    <w:rsid w:val="00A32720"/>
    <w:rsid w:val="00A327B7"/>
    <w:rsid w:val="00A33B1D"/>
    <w:rsid w:val="00A3595B"/>
    <w:rsid w:val="00A36348"/>
    <w:rsid w:val="00A3639C"/>
    <w:rsid w:val="00A36869"/>
    <w:rsid w:val="00A4001D"/>
    <w:rsid w:val="00A40869"/>
    <w:rsid w:val="00A413B6"/>
    <w:rsid w:val="00A4353E"/>
    <w:rsid w:val="00A43C30"/>
    <w:rsid w:val="00A441F6"/>
    <w:rsid w:val="00A45BB8"/>
    <w:rsid w:val="00A45C1B"/>
    <w:rsid w:val="00A470F1"/>
    <w:rsid w:val="00A4735F"/>
    <w:rsid w:val="00A47485"/>
    <w:rsid w:val="00A50B7A"/>
    <w:rsid w:val="00A50C42"/>
    <w:rsid w:val="00A51748"/>
    <w:rsid w:val="00A51CF5"/>
    <w:rsid w:val="00A525C7"/>
    <w:rsid w:val="00A53C96"/>
    <w:rsid w:val="00A54868"/>
    <w:rsid w:val="00A54DB6"/>
    <w:rsid w:val="00A56413"/>
    <w:rsid w:val="00A57C12"/>
    <w:rsid w:val="00A60AD9"/>
    <w:rsid w:val="00A60CA7"/>
    <w:rsid w:val="00A610D7"/>
    <w:rsid w:val="00A61AF5"/>
    <w:rsid w:val="00A6282B"/>
    <w:rsid w:val="00A62EF7"/>
    <w:rsid w:val="00A6344C"/>
    <w:rsid w:val="00A6421C"/>
    <w:rsid w:val="00A646EB"/>
    <w:rsid w:val="00A64D8C"/>
    <w:rsid w:val="00A65597"/>
    <w:rsid w:val="00A663F7"/>
    <w:rsid w:val="00A66A41"/>
    <w:rsid w:val="00A66FFA"/>
    <w:rsid w:val="00A673D9"/>
    <w:rsid w:val="00A6748E"/>
    <w:rsid w:val="00A709C2"/>
    <w:rsid w:val="00A715BA"/>
    <w:rsid w:val="00A71B7F"/>
    <w:rsid w:val="00A72381"/>
    <w:rsid w:val="00A72AD3"/>
    <w:rsid w:val="00A72F29"/>
    <w:rsid w:val="00A73DAD"/>
    <w:rsid w:val="00A7440A"/>
    <w:rsid w:val="00A74D7C"/>
    <w:rsid w:val="00A74E5B"/>
    <w:rsid w:val="00A75611"/>
    <w:rsid w:val="00A75AA9"/>
    <w:rsid w:val="00A75F73"/>
    <w:rsid w:val="00A766D4"/>
    <w:rsid w:val="00A800B6"/>
    <w:rsid w:val="00A815BA"/>
    <w:rsid w:val="00A81757"/>
    <w:rsid w:val="00A82D76"/>
    <w:rsid w:val="00A83359"/>
    <w:rsid w:val="00A835E2"/>
    <w:rsid w:val="00A8405D"/>
    <w:rsid w:val="00A8545F"/>
    <w:rsid w:val="00A87AE3"/>
    <w:rsid w:val="00A901A1"/>
    <w:rsid w:val="00A90345"/>
    <w:rsid w:val="00A9047A"/>
    <w:rsid w:val="00A917E2"/>
    <w:rsid w:val="00A92FAE"/>
    <w:rsid w:val="00A935BB"/>
    <w:rsid w:val="00A94154"/>
    <w:rsid w:val="00A94D76"/>
    <w:rsid w:val="00A94E1D"/>
    <w:rsid w:val="00A94E69"/>
    <w:rsid w:val="00A95F5D"/>
    <w:rsid w:val="00A96185"/>
    <w:rsid w:val="00AA095B"/>
    <w:rsid w:val="00AA1112"/>
    <w:rsid w:val="00AA1B4E"/>
    <w:rsid w:val="00AA284F"/>
    <w:rsid w:val="00AA2A81"/>
    <w:rsid w:val="00AA3474"/>
    <w:rsid w:val="00AA3A9B"/>
    <w:rsid w:val="00AA40DA"/>
    <w:rsid w:val="00AA5DC4"/>
    <w:rsid w:val="00AA6184"/>
    <w:rsid w:val="00AA7469"/>
    <w:rsid w:val="00AA7DFA"/>
    <w:rsid w:val="00AB04D0"/>
    <w:rsid w:val="00AB0A99"/>
    <w:rsid w:val="00AB0AB7"/>
    <w:rsid w:val="00AB1060"/>
    <w:rsid w:val="00AB1A95"/>
    <w:rsid w:val="00AB1D00"/>
    <w:rsid w:val="00AB2550"/>
    <w:rsid w:val="00AB29D1"/>
    <w:rsid w:val="00AB2D4C"/>
    <w:rsid w:val="00AB3627"/>
    <w:rsid w:val="00AC0D99"/>
    <w:rsid w:val="00AC304E"/>
    <w:rsid w:val="00AC6839"/>
    <w:rsid w:val="00AC75F4"/>
    <w:rsid w:val="00AC77CC"/>
    <w:rsid w:val="00AD010B"/>
    <w:rsid w:val="00AD0877"/>
    <w:rsid w:val="00AD257A"/>
    <w:rsid w:val="00AD2994"/>
    <w:rsid w:val="00AD2C4F"/>
    <w:rsid w:val="00AD5C46"/>
    <w:rsid w:val="00AD71FB"/>
    <w:rsid w:val="00AD7795"/>
    <w:rsid w:val="00AE23DF"/>
    <w:rsid w:val="00AE341C"/>
    <w:rsid w:val="00AE3ABE"/>
    <w:rsid w:val="00AE428D"/>
    <w:rsid w:val="00AE474F"/>
    <w:rsid w:val="00AE49D4"/>
    <w:rsid w:val="00AE4DD5"/>
    <w:rsid w:val="00AE608D"/>
    <w:rsid w:val="00AE69AA"/>
    <w:rsid w:val="00AE78FB"/>
    <w:rsid w:val="00AE7940"/>
    <w:rsid w:val="00AF0964"/>
    <w:rsid w:val="00AF0B7F"/>
    <w:rsid w:val="00AF0C7E"/>
    <w:rsid w:val="00AF12E3"/>
    <w:rsid w:val="00AF15E8"/>
    <w:rsid w:val="00AF1C79"/>
    <w:rsid w:val="00AF22B1"/>
    <w:rsid w:val="00AF2404"/>
    <w:rsid w:val="00AF25FC"/>
    <w:rsid w:val="00AF2806"/>
    <w:rsid w:val="00AF4D6A"/>
    <w:rsid w:val="00AF5A80"/>
    <w:rsid w:val="00AF66BC"/>
    <w:rsid w:val="00AF6AC4"/>
    <w:rsid w:val="00AF6C2B"/>
    <w:rsid w:val="00AF6D5E"/>
    <w:rsid w:val="00AF7B6A"/>
    <w:rsid w:val="00B00059"/>
    <w:rsid w:val="00B003E5"/>
    <w:rsid w:val="00B03B78"/>
    <w:rsid w:val="00B051B9"/>
    <w:rsid w:val="00B057AA"/>
    <w:rsid w:val="00B05CBD"/>
    <w:rsid w:val="00B06735"/>
    <w:rsid w:val="00B07267"/>
    <w:rsid w:val="00B072B3"/>
    <w:rsid w:val="00B101F0"/>
    <w:rsid w:val="00B10847"/>
    <w:rsid w:val="00B109A6"/>
    <w:rsid w:val="00B1239A"/>
    <w:rsid w:val="00B12AA2"/>
    <w:rsid w:val="00B12EA5"/>
    <w:rsid w:val="00B1334D"/>
    <w:rsid w:val="00B134DF"/>
    <w:rsid w:val="00B13B3C"/>
    <w:rsid w:val="00B16135"/>
    <w:rsid w:val="00B17255"/>
    <w:rsid w:val="00B17D6D"/>
    <w:rsid w:val="00B23052"/>
    <w:rsid w:val="00B24A76"/>
    <w:rsid w:val="00B25253"/>
    <w:rsid w:val="00B253FD"/>
    <w:rsid w:val="00B25BB3"/>
    <w:rsid w:val="00B26BBE"/>
    <w:rsid w:val="00B26C6E"/>
    <w:rsid w:val="00B26E3C"/>
    <w:rsid w:val="00B27414"/>
    <w:rsid w:val="00B32956"/>
    <w:rsid w:val="00B32F3F"/>
    <w:rsid w:val="00B34920"/>
    <w:rsid w:val="00B34ECC"/>
    <w:rsid w:val="00B36976"/>
    <w:rsid w:val="00B41A02"/>
    <w:rsid w:val="00B42750"/>
    <w:rsid w:val="00B42DCC"/>
    <w:rsid w:val="00B42E8D"/>
    <w:rsid w:val="00B430EE"/>
    <w:rsid w:val="00B467ED"/>
    <w:rsid w:val="00B4724A"/>
    <w:rsid w:val="00B51A13"/>
    <w:rsid w:val="00B52B6D"/>
    <w:rsid w:val="00B5364C"/>
    <w:rsid w:val="00B53B4C"/>
    <w:rsid w:val="00B559C2"/>
    <w:rsid w:val="00B559D3"/>
    <w:rsid w:val="00B55F1E"/>
    <w:rsid w:val="00B60ED1"/>
    <w:rsid w:val="00B61BC0"/>
    <w:rsid w:val="00B62809"/>
    <w:rsid w:val="00B628BA"/>
    <w:rsid w:val="00B671F6"/>
    <w:rsid w:val="00B67DD6"/>
    <w:rsid w:val="00B67FCA"/>
    <w:rsid w:val="00B700F7"/>
    <w:rsid w:val="00B70BDF"/>
    <w:rsid w:val="00B70C9A"/>
    <w:rsid w:val="00B72134"/>
    <w:rsid w:val="00B7243B"/>
    <w:rsid w:val="00B73186"/>
    <w:rsid w:val="00B73629"/>
    <w:rsid w:val="00B76B02"/>
    <w:rsid w:val="00B76BDA"/>
    <w:rsid w:val="00B8006F"/>
    <w:rsid w:val="00B80B9B"/>
    <w:rsid w:val="00B80FBF"/>
    <w:rsid w:val="00B83FE7"/>
    <w:rsid w:val="00B84788"/>
    <w:rsid w:val="00B85BBC"/>
    <w:rsid w:val="00B86AD3"/>
    <w:rsid w:val="00B86D57"/>
    <w:rsid w:val="00B87881"/>
    <w:rsid w:val="00B90113"/>
    <w:rsid w:val="00B903B7"/>
    <w:rsid w:val="00B91E1A"/>
    <w:rsid w:val="00B91E80"/>
    <w:rsid w:val="00B92101"/>
    <w:rsid w:val="00B92165"/>
    <w:rsid w:val="00B926A7"/>
    <w:rsid w:val="00B93A4D"/>
    <w:rsid w:val="00B940AC"/>
    <w:rsid w:val="00B94817"/>
    <w:rsid w:val="00B94E6A"/>
    <w:rsid w:val="00B96CBD"/>
    <w:rsid w:val="00B96FA5"/>
    <w:rsid w:val="00B97037"/>
    <w:rsid w:val="00B9724C"/>
    <w:rsid w:val="00BA0953"/>
    <w:rsid w:val="00BA322F"/>
    <w:rsid w:val="00BA49B2"/>
    <w:rsid w:val="00BA5359"/>
    <w:rsid w:val="00BA56C6"/>
    <w:rsid w:val="00BA583C"/>
    <w:rsid w:val="00BB132E"/>
    <w:rsid w:val="00BB1839"/>
    <w:rsid w:val="00BB26C1"/>
    <w:rsid w:val="00BB3694"/>
    <w:rsid w:val="00BB3AF6"/>
    <w:rsid w:val="00BB3BAE"/>
    <w:rsid w:val="00BB3DF1"/>
    <w:rsid w:val="00BB40F2"/>
    <w:rsid w:val="00BB552F"/>
    <w:rsid w:val="00BB56F3"/>
    <w:rsid w:val="00BB6154"/>
    <w:rsid w:val="00BB6940"/>
    <w:rsid w:val="00BB6E4C"/>
    <w:rsid w:val="00BC095D"/>
    <w:rsid w:val="00BC096E"/>
    <w:rsid w:val="00BC0D8A"/>
    <w:rsid w:val="00BC3735"/>
    <w:rsid w:val="00BC38EA"/>
    <w:rsid w:val="00BC4B8C"/>
    <w:rsid w:val="00BC5845"/>
    <w:rsid w:val="00BC588C"/>
    <w:rsid w:val="00BC6AF4"/>
    <w:rsid w:val="00BC7F56"/>
    <w:rsid w:val="00BD02E4"/>
    <w:rsid w:val="00BD0B8D"/>
    <w:rsid w:val="00BD1D31"/>
    <w:rsid w:val="00BD2934"/>
    <w:rsid w:val="00BD3A6B"/>
    <w:rsid w:val="00BD5D30"/>
    <w:rsid w:val="00BD692E"/>
    <w:rsid w:val="00BD7146"/>
    <w:rsid w:val="00BD73B1"/>
    <w:rsid w:val="00BD7EB3"/>
    <w:rsid w:val="00BE2627"/>
    <w:rsid w:val="00BE2CAD"/>
    <w:rsid w:val="00BE2D81"/>
    <w:rsid w:val="00BE39BD"/>
    <w:rsid w:val="00BE416D"/>
    <w:rsid w:val="00BE5922"/>
    <w:rsid w:val="00BE5A35"/>
    <w:rsid w:val="00BE73C9"/>
    <w:rsid w:val="00BF15D7"/>
    <w:rsid w:val="00BF21FD"/>
    <w:rsid w:val="00BF2249"/>
    <w:rsid w:val="00BF2614"/>
    <w:rsid w:val="00BF3135"/>
    <w:rsid w:val="00BF42C8"/>
    <w:rsid w:val="00BF6D88"/>
    <w:rsid w:val="00C002F9"/>
    <w:rsid w:val="00C003C2"/>
    <w:rsid w:val="00C005F7"/>
    <w:rsid w:val="00C03FFB"/>
    <w:rsid w:val="00C041E7"/>
    <w:rsid w:val="00C04CA8"/>
    <w:rsid w:val="00C04DC8"/>
    <w:rsid w:val="00C05D6A"/>
    <w:rsid w:val="00C063F5"/>
    <w:rsid w:val="00C072F3"/>
    <w:rsid w:val="00C1006D"/>
    <w:rsid w:val="00C10664"/>
    <w:rsid w:val="00C10906"/>
    <w:rsid w:val="00C114D2"/>
    <w:rsid w:val="00C11C47"/>
    <w:rsid w:val="00C12AA3"/>
    <w:rsid w:val="00C14CAF"/>
    <w:rsid w:val="00C1678A"/>
    <w:rsid w:val="00C1725F"/>
    <w:rsid w:val="00C17A5E"/>
    <w:rsid w:val="00C17E56"/>
    <w:rsid w:val="00C17F14"/>
    <w:rsid w:val="00C203DA"/>
    <w:rsid w:val="00C215A2"/>
    <w:rsid w:val="00C222F9"/>
    <w:rsid w:val="00C23D69"/>
    <w:rsid w:val="00C24E7E"/>
    <w:rsid w:val="00C26377"/>
    <w:rsid w:val="00C30684"/>
    <w:rsid w:val="00C31305"/>
    <w:rsid w:val="00C31383"/>
    <w:rsid w:val="00C31F51"/>
    <w:rsid w:val="00C320B2"/>
    <w:rsid w:val="00C3216A"/>
    <w:rsid w:val="00C343B2"/>
    <w:rsid w:val="00C34A92"/>
    <w:rsid w:val="00C34B56"/>
    <w:rsid w:val="00C35095"/>
    <w:rsid w:val="00C35896"/>
    <w:rsid w:val="00C36A01"/>
    <w:rsid w:val="00C37FF4"/>
    <w:rsid w:val="00C40329"/>
    <w:rsid w:val="00C419EB"/>
    <w:rsid w:val="00C41DC1"/>
    <w:rsid w:val="00C421D0"/>
    <w:rsid w:val="00C42C81"/>
    <w:rsid w:val="00C437A6"/>
    <w:rsid w:val="00C43A84"/>
    <w:rsid w:val="00C45060"/>
    <w:rsid w:val="00C457BC"/>
    <w:rsid w:val="00C45F86"/>
    <w:rsid w:val="00C46450"/>
    <w:rsid w:val="00C46CF7"/>
    <w:rsid w:val="00C50C97"/>
    <w:rsid w:val="00C51FBB"/>
    <w:rsid w:val="00C52879"/>
    <w:rsid w:val="00C5289D"/>
    <w:rsid w:val="00C52A0A"/>
    <w:rsid w:val="00C52A6D"/>
    <w:rsid w:val="00C52DBB"/>
    <w:rsid w:val="00C53D6B"/>
    <w:rsid w:val="00C549CC"/>
    <w:rsid w:val="00C54E16"/>
    <w:rsid w:val="00C56DD6"/>
    <w:rsid w:val="00C5795F"/>
    <w:rsid w:val="00C57A5A"/>
    <w:rsid w:val="00C57DBC"/>
    <w:rsid w:val="00C61F8D"/>
    <w:rsid w:val="00C61FE2"/>
    <w:rsid w:val="00C62229"/>
    <w:rsid w:val="00C63AEF"/>
    <w:rsid w:val="00C63CE3"/>
    <w:rsid w:val="00C63F45"/>
    <w:rsid w:val="00C646E2"/>
    <w:rsid w:val="00C67791"/>
    <w:rsid w:val="00C67F5F"/>
    <w:rsid w:val="00C67FCE"/>
    <w:rsid w:val="00C706A2"/>
    <w:rsid w:val="00C71003"/>
    <w:rsid w:val="00C7365A"/>
    <w:rsid w:val="00C7425C"/>
    <w:rsid w:val="00C74A4C"/>
    <w:rsid w:val="00C7534C"/>
    <w:rsid w:val="00C76350"/>
    <w:rsid w:val="00C76C93"/>
    <w:rsid w:val="00C774AE"/>
    <w:rsid w:val="00C77F57"/>
    <w:rsid w:val="00C80677"/>
    <w:rsid w:val="00C808F2"/>
    <w:rsid w:val="00C80D00"/>
    <w:rsid w:val="00C821A3"/>
    <w:rsid w:val="00C83D9B"/>
    <w:rsid w:val="00C87C52"/>
    <w:rsid w:val="00C915E1"/>
    <w:rsid w:val="00C91617"/>
    <w:rsid w:val="00C9174C"/>
    <w:rsid w:val="00C91B1B"/>
    <w:rsid w:val="00C91DF0"/>
    <w:rsid w:val="00C922B4"/>
    <w:rsid w:val="00C92743"/>
    <w:rsid w:val="00C92B11"/>
    <w:rsid w:val="00C92F2D"/>
    <w:rsid w:val="00C93173"/>
    <w:rsid w:val="00C932ED"/>
    <w:rsid w:val="00C9334E"/>
    <w:rsid w:val="00C94CA4"/>
    <w:rsid w:val="00C95319"/>
    <w:rsid w:val="00C953A8"/>
    <w:rsid w:val="00C9631A"/>
    <w:rsid w:val="00C96350"/>
    <w:rsid w:val="00C97390"/>
    <w:rsid w:val="00C9781F"/>
    <w:rsid w:val="00CA01BB"/>
    <w:rsid w:val="00CA07BE"/>
    <w:rsid w:val="00CA0CA5"/>
    <w:rsid w:val="00CA1C4C"/>
    <w:rsid w:val="00CA2860"/>
    <w:rsid w:val="00CA3496"/>
    <w:rsid w:val="00CA3D8F"/>
    <w:rsid w:val="00CA4C6E"/>
    <w:rsid w:val="00CA5705"/>
    <w:rsid w:val="00CA5F12"/>
    <w:rsid w:val="00CA5FD7"/>
    <w:rsid w:val="00CA6735"/>
    <w:rsid w:val="00CA72FF"/>
    <w:rsid w:val="00CA7674"/>
    <w:rsid w:val="00CA7DE2"/>
    <w:rsid w:val="00CB00EC"/>
    <w:rsid w:val="00CB19D9"/>
    <w:rsid w:val="00CB1BD6"/>
    <w:rsid w:val="00CB380C"/>
    <w:rsid w:val="00CB4919"/>
    <w:rsid w:val="00CB4C2B"/>
    <w:rsid w:val="00CB50A3"/>
    <w:rsid w:val="00CB5643"/>
    <w:rsid w:val="00CB5835"/>
    <w:rsid w:val="00CC03B2"/>
    <w:rsid w:val="00CC05B3"/>
    <w:rsid w:val="00CC1F50"/>
    <w:rsid w:val="00CC2A91"/>
    <w:rsid w:val="00CC3159"/>
    <w:rsid w:val="00CC3177"/>
    <w:rsid w:val="00CC446F"/>
    <w:rsid w:val="00CC4698"/>
    <w:rsid w:val="00CC52C6"/>
    <w:rsid w:val="00CC559A"/>
    <w:rsid w:val="00CC62B2"/>
    <w:rsid w:val="00CC6556"/>
    <w:rsid w:val="00CC65C4"/>
    <w:rsid w:val="00CC65C9"/>
    <w:rsid w:val="00CC7722"/>
    <w:rsid w:val="00CD001F"/>
    <w:rsid w:val="00CD07A5"/>
    <w:rsid w:val="00CD0852"/>
    <w:rsid w:val="00CD0E46"/>
    <w:rsid w:val="00CD148F"/>
    <w:rsid w:val="00CD14E0"/>
    <w:rsid w:val="00CD2369"/>
    <w:rsid w:val="00CD2E75"/>
    <w:rsid w:val="00CD326E"/>
    <w:rsid w:val="00CD3730"/>
    <w:rsid w:val="00CD3D36"/>
    <w:rsid w:val="00CD4D3C"/>
    <w:rsid w:val="00CD4E42"/>
    <w:rsid w:val="00CD4E72"/>
    <w:rsid w:val="00CD5037"/>
    <w:rsid w:val="00CD542E"/>
    <w:rsid w:val="00CD6D8B"/>
    <w:rsid w:val="00CE0B56"/>
    <w:rsid w:val="00CE11CE"/>
    <w:rsid w:val="00CE4686"/>
    <w:rsid w:val="00CE7174"/>
    <w:rsid w:val="00CE723A"/>
    <w:rsid w:val="00CF0C49"/>
    <w:rsid w:val="00CF0E26"/>
    <w:rsid w:val="00CF1388"/>
    <w:rsid w:val="00CF1EEC"/>
    <w:rsid w:val="00CF25C1"/>
    <w:rsid w:val="00CF32B9"/>
    <w:rsid w:val="00CF3C4C"/>
    <w:rsid w:val="00CF4388"/>
    <w:rsid w:val="00CF440F"/>
    <w:rsid w:val="00CF4DDE"/>
    <w:rsid w:val="00CF5227"/>
    <w:rsid w:val="00CF566D"/>
    <w:rsid w:val="00CF63F3"/>
    <w:rsid w:val="00CF7376"/>
    <w:rsid w:val="00D01B64"/>
    <w:rsid w:val="00D02393"/>
    <w:rsid w:val="00D03CBD"/>
    <w:rsid w:val="00D05B87"/>
    <w:rsid w:val="00D06330"/>
    <w:rsid w:val="00D11731"/>
    <w:rsid w:val="00D126C4"/>
    <w:rsid w:val="00D129BA"/>
    <w:rsid w:val="00D12CE2"/>
    <w:rsid w:val="00D14134"/>
    <w:rsid w:val="00D152B2"/>
    <w:rsid w:val="00D1573F"/>
    <w:rsid w:val="00D15922"/>
    <w:rsid w:val="00D15B4B"/>
    <w:rsid w:val="00D1600B"/>
    <w:rsid w:val="00D205BD"/>
    <w:rsid w:val="00D20FA8"/>
    <w:rsid w:val="00D21703"/>
    <w:rsid w:val="00D22193"/>
    <w:rsid w:val="00D24142"/>
    <w:rsid w:val="00D25CC7"/>
    <w:rsid w:val="00D267C1"/>
    <w:rsid w:val="00D30398"/>
    <w:rsid w:val="00D30495"/>
    <w:rsid w:val="00D30E4B"/>
    <w:rsid w:val="00D3132C"/>
    <w:rsid w:val="00D3153E"/>
    <w:rsid w:val="00D341BF"/>
    <w:rsid w:val="00D35806"/>
    <w:rsid w:val="00D36651"/>
    <w:rsid w:val="00D367E2"/>
    <w:rsid w:val="00D4085B"/>
    <w:rsid w:val="00D4094E"/>
    <w:rsid w:val="00D41BAE"/>
    <w:rsid w:val="00D41D03"/>
    <w:rsid w:val="00D41D52"/>
    <w:rsid w:val="00D422B1"/>
    <w:rsid w:val="00D431B5"/>
    <w:rsid w:val="00D435F7"/>
    <w:rsid w:val="00D4371D"/>
    <w:rsid w:val="00D43E15"/>
    <w:rsid w:val="00D43FAF"/>
    <w:rsid w:val="00D45E5A"/>
    <w:rsid w:val="00D45ECD"/>
    <w:rsid w:val="00D4745E"/>
    <w:rsid w:val="00D508E5"/>
    <w:rsid w:val="00D53D5E"/>
    <w:rsid w:val="00D54279"/>
    <w:rsid w:val="00D55F77"/>
    <w:rsid w:val="00D55FE5"/>
    <w:rsid w:val="00D56C33"/>
    <w:rsid w:val="00D56EFA"/>
    <w:rsid w:val="00D5763D"/>
    <w:rsid w:val="00D57DF1"/>
    <w:rsid w:val="00D607EA"/>
    <w:rsid w:val="00D6128C"/>
    <w:rsid w:val="00D614A7"/>
    <w:rsid w:val="00D6227F"/>
    <w:rsid w:val="00D62ACE"/>
    <w:rsid w:val="00D62DD7"/>
    <w:rsid w:val="00D631F4"/>
    <w:rsid w:val="00D63BBF"/>
    <w:rsid w:val="00D6428F"/>
    <w:rsid w:val="00D64FC5"/>
    <w:rsid w:val="00D65C8B"/>
    <w:rsid w:val="00D65E07"/>
    <w:rsid w:val="00D67A61"/>
    <w:rsid w:val="00D67EEE"/>
    <w:rsid w:val="00D70877"/>
    <w:rsid w:val="00D71A72"/>
    <w:rsid w:val="00D71D62"/>
    <w:rsid w:val="00D72242"/>
    <w:rsid w:val="00D72F53"/>
    <w:rsid w:val="00D73662"/>
    <w:rsid w:val="00D73B25"/>
    <w:rsid w:val="00D76387"/>
    <w:rsid w:val="00D765DD"/>
    <w:rsid w:val="00D811AA"/>
    <w:rsid w:val="00D814B8"/>
    <w:rsid w:val="00D822A6"/>
    <w:rsid w:val="00D82C76"/>
    <w:rsid w:val="00D84B5B"/>
    <w:rsid w:val="00D85AD9"/>
    <w:rsid w:val="00D861EB"/>
    <w:rsid w:val="00D86A0A"/>
    <w:rsid w:val="00D87298"/>
    <w:rsid w:val="00D90211"/>
    <w:rsid w:val="00D91A75"/>
    <w:rsid w:val="00D91E95"/>
    <w:rsid w:val="00D92431"/>
    <w:rsid w:val="00D93453"/>
    <w:rsid w:val="00D93C7A"/>
    <w:rsid w:val="00D95781"/>
    <w:rsid w:val="00D95CAE"/>
    <w:rsid w:val="00D96A07"/>
    <w:rsid w:val="00D9725E"/>
    <w:rsid w:val="00DA0093"/>
    <w:rsid w:val="00DA01E8"/>
    <w:rsid w:val="00DA08ED"/>
    <w:rsid w:val="00DA20A7"/>
    <w:rsid w:val="00DA23FB"/>
    <w:rsid w:val="00DA2BC9"/>
    <w:rsid w:val="00DA306A"/>
    <w:rsid w:val="00DA3257"/>
    <w:rsid w:val="00DA402C"/>
    <w:rsid w:val="00DA4964"/>
    <w:rsid w:val="00DA59ED"/>
    <w:rsid w:val="00DA5F45"/>
    <w:rsid w:val="00DA634F"/>
    <w:rsid w:val="00DA76CB"/>
    <w:rsid w:val="00DA7A34"/>
    <w:rsid w:val="00DB00DF"/>
    <w:rsid w:val="00DB1C4B"/>
    <w:rsid w:val="00DB1E8F"/>
    <w:rsid w:val="00DB20B6"/>
    <w:rsid w:val="00DB3045"/>
    <w:rsid w:val="00DB4364"/>
    <w:rsid w:val="00DB585B"/>
    <w:rsid w:val="00DB5FD5"/>
    <w:rsid w:val="00DB6684"/>
    <w:rsid w:val="00DB7C7E"/>
    <w:rsid w:val="00DB7EBE"/>
    <w:rsid w:val="00DB7F75"/>
    <w:rsid w:val="00DC05BA"/>
    <w:rsid w:val="00DC09F2"/>
    <w:rsid w:val="00DC32E3"/>
    <w:rsid w:val="00DC3F9A"/>
    <w:rsid w:val="00DC585F"/>
    <w:rsid w:val="00DC5CD9"/>
    <w:rsid w:val="00DC651A"/>
    <w:rsid w:val="00DD0DAE"/>
    <w:rsid w:val="00DD0F89"/>
    <w:rsid w:val="00DD17D0"/>
    <w:rsid w:val="00DD1D1D"/>
    <w:rsid w:val="00DD3853"/>
    <w:rsid w:val="00DD5C8E"/>
    <w:rsid w:val="00DD7104"/>
    <w:rsid w:val="00DD7429"/>
    <w:rsid w:val="00DD7B1B"/>
    <w:rsid w:val="00DE08A2"/>
    <w:rsid w:val="00DE0D68"/>
    <w:rsid w:val="00DE1915"/>
    <w:rsid w:val="00DE1FF8"/>
    <w:rsid w:val="00DE25DB"/>
    <w:rsid w:val="00DE3CB0"/>
    <w:rsid w:val="00DE40A6"/>
    <w:rsid w:val="00DE62AF"/>
    <w:rsid w:val="00DE74F4"/>
    <w:rsid w:val="00DE7C08"/>
    <w:rsid w:val="00DF2098"/>
    <w:rsid w:val="00DF32FB"/>
    <w:rsid w:val="00DF3F5F"/>
    <w:rsid w:val="00DF4AA1"/>
    <w:rsid w:val="00DF4B11"/>
    <w:rsid w:val="00DF530D"/>
    <w:rsid w:val="00DF5D29"/>
    <w:rsid w:val="00DF5E38"/>
    <w:rsid w:val="00DF69FB"/>
    <w:rsid w:val="00DF6F80"/>
    <w:rsid w:val="00DF77BF"/>
    <w:rsid w:val="00DF7A7D"/>
    <w:rsid w:val="00DF7C3C"/>
    <w:rsid w:val="00E003A4"/>
    <w:rsid w:val="00E01084"/>
    <w:rsid w:val="00E018C9"/>
    <w:rsid w:val="00E03540"/>
    <w:rsid w:val="00E03862"/>
    <w:rsid w:val="00E03B8B"/>
    <w:rsid w:val="00E041F3"/>
    <w:rsid w:val="00E04743"/>
    <w:rsid w:val="00E05359"/>
    <w:rsid w:val="00E06262"/>
    <w:rsid w:val="00E079D3"/>
    <w:rsid w:val="00E07A9D"/>
    <w:rsid w:val="00E07D8B"/>
    <w:rsid w:val="00E11111"/>
    <w:rsid w:val="00E11CEF"/>
    <w:rsid w:val="00E11D91"/>
    <w:rsid w:val="00E12348"/>
    <w:rsid w:val="00E14B31"/>
    <w:rsid w:val="00E14C4B"/>
    <w:rsid w:val="00E15046"/>
    <w:rsid w:val="00E151FC"/>
    <w:rsid w:val="00E1619B"/>
    <w:rsid w:val="00E221B8"/>
    <w:rsid w:val="00E22620"/>
    <w:rsid w:val="00E238E0"/>
    <w:rsid w:val="00E2422C"/>
    <w:rsid w:val="00E25129"/>
    <w:rsid w:val="00E25B6C"/>
    <w:rsid w:val="00E26114"/>
    <w:rsid w:val="00E26158"/>
    <w:rsid w:val="00E2635A"/>
    <w:rsid w:val="00E26377"/>
    <w:rsid w:val="00E26858"/>
    <w:rsid w:val="00E2710C"/>
    <w:rsid w:val="00E30362"/>
    <w:rsid w:val="00E31B90"/>
    <w:rsid w:val="00E31EBD"/>
    <w:rsid w:val="00E31FA5"/>
    <w:rsid w:val="00E3225A"/>
    <w:rsid w:val="00E32350"/>
    <w:rsid w:val="00E33CD5"/>
    <w:rsid w:val="00E3412A"/>
    <w:rsid w:val="00E348C2"/>
    <w:rsid w:val="00E34D8B"/>
    <w:rsid w:val="00E35561"/>
    <w:rsid w:val="00E35CF5"/>
    <w:rsid w:val="00E35E77"/>
    <w:rsid w:val="00E36C54"/>
    <w:rsid w:val="00E3799F"/>
    <w:rsid w:val="00E37A8A"/>
    <w:rsid w:val="00E4019A"/>
    <w:rsid w:val="00E40CA1"/>
    <w:rsid w:val="00E4150D"/>
    <w:rsid w:val="00E41D90"/>
    <w:rsid w:val="00E42371"/>
    <w:rsid w:val="00E42FCF"/>
    <w:rsid w:val="00E43A12"/>
    <w:rsid w:val="00E45390"/>
    <w:rsid w:val="00E45CF4"/>
    <w:rsid w:val="00E45E1B"/>
    <w:rsid w:val="00E467D4"/>
    <w:rsid w:val="00E46BE9"/>
    <w:rsid w:val="00E4784E"/>
    <w:rsid w:val="00E47D64"/>
    <w:rsid w:val="00E503E8"/>
    <w:rsid w:val="00E5085B"/>
    <w:rsid w:val="00E50BF0"/>
    <w:rsid w:val="00E51DE7"/>
    <w:rsid w:val="00E52334"/>
    <w:rsid w:val="00E55008"/>
    <w:rsid w:val="00E55DA2"/>
    <w:rsid w:val="00E57438"/>
    <w:rsid w:val="00E57D4F"/>
    <w:rsid w:val="00E57DAF"/>
    <w:rsid w:val="00E61AF6"/>
    <w:rsid w:val="00E6206B"/>
    <w:rsid w:val="00E62452"/>
    <w:rsid w:val="00E64D23"/>
    <w:rsid w:val="00E6515E"/>
    <w:rsid w:val="00E67060"/>
    <w:rsid w:val="00E67909"/>
    <w:rsid w:val="00E67A1E"/>
    <w:rsid w:val="00E67C2B"/>
    <w:rsid w:val="00E70976"/>
    <w:rsid w:val="00E71630"/>
    <w:rsid w:val="00E7174C"/>
    <w:rsid w:val="00E7287E"/>
    <w:rsid w:val="00E739FB"/>
    <w:rsid w:val="00E739FF"/>
    <w:rsid w:val="00E74EBF"/>
    <w:rsid w:val="00E75352"/>
    <w:rsid w:val="00E76CC9"/>
    <w:rsid w:val="00E76F13"/>
    <w:rsid w:val="00E77610"/>
    <w:rsid w:val="00E80178"/>
    <w:rsid w:val="00E80969"/>
    <w:rsid w:val="00E8105D"/>
    <w:rsid w:val="00E8373B"/>
    <w:rsid w:val="00E85591"/>
    <w:rsid w:val="00E8582E"/>
    <w:rsid w:val="00E85854"/>
    <w:rsid w:val="00E85CB7"/>
    <w:rsid w:val="00E871D6"/>
    <w:rsid w:val="00E87D0A"/>
    <w:rsid w:val="00E87FAC"/>
    <w:rsid w:val="00E91532"/>
    <w:rsid w:val="00E93FF2"/>
    <w:rsid w:val="00E94406"/>
    <w:rsid w:val="00E95C9B"/>
    <w:rsid w:val="00E962B8"/>
    <w:rsid w:val="00E9783C"/>
    <w:rsid w:val="00E97F53"/>
    <w:rsid w:val="00EA04AE"/>
    <w:rsid w:val="00EA28E4"/>
    <w:rsid w:val="00EA3485"/>
    <w:rsid w:val="00EA53E1"/>
    <w:rsid w:val="00EA5573"/>
    <w:rsid w:val="00EA5C9B"/>
    <w:rsid w:val="00EA5CB0"/>
    <w:rsid w:val="00EA5E42"/>
    <w:rsid w:val="00EA6853"/>
    <w:rsid w:val="00EA729C"/>
    <w:rsid w:val="00EA7490"/>
    <w:rsid w:val="00EA7601"/>
    <w:rsid w:val="00EA7ACC"/>
    <w:rsid w:val="00EA7D74"/>
    <w:rsid w:val="00EB1E6C"/>
    <w:rsid w:val="00EB27F4"/>
    <w:rsid w:val="00EB2923"/>
    <w:rsid w:val="00EB2F20"/>
    <w:rsid w:val="00EB3B14"/>
    <w:rsid w:val="00EB4C96"/>
    <w:rsid w:val="00EB4EB5"/>
    <w:rsid w:val="00EB56E9"/>
    <w:rsid w:val="00EB5AD2"/>
    <w:rsid w:val="00EB7F52"/>
    <w:rsid w:val="00EC0599"/>
    <w:rsid w:val="00EC1708"/>
    <w:rsid w:val="00EC3E15"/>
    <w:rsid w:val="00EC3E8B"/>
    <w:rsid w:val="00EC3FCD"/>
    <w:rsid w:val="00EC44CD"/>
    <w:rsid w:val="00EC62AD"/>
    <w:rsid w:val="00EC65C0"/>
    <w:rsid w:val="00EC65CB"/>
    <w:rsid w:val="00EC66ED"/>
    <w:rsid w:val="00EC6D95"/>
    <w:rsid w:val="00ED1141"/>
    <w:rsid w:val="00ED31EC"/>
    <w:rsid w:val="00ED3220"/>
    <w:rsid w:val="00ED3820"/>
    <w:rsid w:val="00ED4B1A"/>
    <w:rsid w:val="00ED4C9F"/>
    <w:rsid w:val="00ED77CB"/>
    <w:rsid w:val="00ED7A7D"/>
    <w:rsid w:val="00EE0FE4"/>
    <w:rsid w:val="00EE15BD"/>
    <w:rsid w:val="00EE1C2D"/>
    <w:rsid w:val="00EE3751"/>
    <w:rsid w:val="00EE4EED"/>
    <w:rsid w:val="00EE512F"/>
    <w:rsid w:val="00EF0429"/>
    <w:rsid w:val="00EF2A5B"/>
    <w:rsid w:val="00EF2F82"/>
    <w:rsid w:val="00EF3537"/>
    <w:rsid w:val="00EF624A"/>
    <w:rsid w:val="00EF7795"/>
    <w:rsid w:val="00F00F73"/>
    <w:rsid w:val="00F013FC"/>
    <w:rsid w:val="00F0140B"/>
    <w:rsid w:val="00F01CD4"/>
    <w:rsid w:val="00F02197"/>
    <w:rsid w:val="00F03197"/>
    <w:rsid w:val="00F0338A"/>
    <w:rsid w:val="00F0357B"/>
    <w:rsid w:val="00F043C9"/>
    <w:rsid w:val="00F04B3D"/>
    <w:rsid w:val="00F04C38"/>
    <w:rsid w:val="00F051F3"/>
    <w:rsid w:val="00F05EBA"/>
    <w:rsid w:val="00F0607C"/>
    <w:rsid w:val="00F06605"/>
    <w:rsid w:val="00F073FE"/>
    <w:rsid w:val="00F0741C"/>
    <w:rsid w:val="00F101CA"/>
    <w:rsid w:val="00F107BE"/>
    <w:rsid w:val="00F10D31"/>
    <w:rsid w:val="00F10E8B"/>
    <w:rsid w:val="00F11BE3"/>
    <w:rsid w:val="00F11E02"/>
    <w:rsid w:val="00F11E15"/>
    <w:rsid w:val="00F1264C"/>
    <w:rsid w:val="00F12DD6"/>
    <w:rsid w:val="00F15550"/>
    <w:rsid w:val="00F1640D"/>
    <w:rsid w:val="00F16694"/>
    <w:rsid w:val="00F16BA3"/>
    <w:rsid w:val="00F201B5"/>
    <w:rsid w:val="00F22146"/>
    <w:rsid w:val="00F222CE"/>
    <w:rsid w:val="00F22AE1"/>
    <w:rsid w:val="00F22CC4"/>
    <w:rsid w:val="00F23A75"/>
    <w:rsid w:val="00F23E7F"/>
    <w:rsid w:val="00F24EB7"/>
    <w:rsid w:val="00F25B5A"/>
    <w:rsid w:val="00F30A5E"/>
    <w:rsid w:val="00F31452"/>
    <w:rsid w:val="00F31959"/>
    <w:rsid w:val="00F32959"/>
    <w:rsid w:val="00F34C42"/>
    <w:rsid w:val="00F358AA"/>
    <w:rsid w:val="00F36F53"/>
    <w:rsid w:val="00F37175"/>
    <w:rsid w:val="00F37299"/>
    <w:rsid w:val="00F3736C"/>
    <w:rsid w:val="00F37B23"/>
    <w:rsid w:val="00F4046D"/>
    <w:rsid w:val="00F40E58"/>
    <w:rsid w:val="00F446C8"/>
    <w:rsid w:val="00F45B10"/>
    <w:rsid w:val="00F45D78"/>
    <w:rsid w:val="00F46CCD"/>
    <w:rsid w:val="00F479C8"/>
    <w:rsid w:val="00F47AEB"/>
    <w:rsid w:val="00F5216A"/>
    <w:rsid w:val="00F5252C"/>
    <w:rsid w:val="00F534B9"/>
    <w:rsid w:val="00F535B2"/>
    <w:rsid w:val="00F535C3"/>
    <w:rsid w:val="00F56776"/>
    <w:rsid w:val="00F56ED1"/>
    <w:rsid w:val="00F62613"/>
    <w:rsid w:val="00F62642"/>
    <w:rsid w:val="00F64E68"/>
    <w:rsid w:val="00F64F54"/>
    <w:rsid w:val="00F658F2"/>
    <w:rsid w:val="00F661AA"/>
    <w:rsid w:val="00F66432"/>
    <w:rsid w:val="00F66819"/>
    <w:rsid w:val="00F66A60"/>
    <w:rsid w:val="00F66AB1"/>
    <w:rsid w:val="00F66FA3"/>
    <w:rsid w:val="00F67ACD"/>
    <w:rsid w:val="00F703C1"/>
    <w:rsid w:val="00F72143"/>
    <w:rsid w:val="00F72399"/>
    <w:rsid w:val="00F7479F"/>
    <w:rsid w:val="00F74D8D"/>
    <w:rsid w:val="00F81382"/>
    <w:rsid w:val="00F81514"/>
    <w:rsid w:val="00F81BB1"/>
    <w:rsid w:val="00F8244F"/>
    <w:rsid w:val="00F8263E"/>
    <w:rsid w:val="00F82C87"/>
    <w:rsid w:val="00F83843"/>
    <w:rsid w:val="00F852FE"/>
    <w:rsid w:val="00F85F9C"/>
    <w:rsid w:val="00F86101"/>
    <w:rsid w:val="00F86918"/>
    <w:rsid w:val="00F86EF7"/>
    <w:rsid w:val="00F8794B"/>
    <w:rsid w:val="00F906DA"/>
    <w:rsid w:val="00F923E6"/>
    <w:rsid w:val="00F9283C"/>
    <w:rsid w:val="00F95774"/>
    <w:rsid w:val="00F96739"/>
    <w:rsid w:val="00F97004"/>
    <w:rsid w:val="00F97F22"/>
    <w:rsid w:val="00FA0B54"/>
    <w:rsid w:val="00FA0D3B"/>
    <w:rsid w:val="00FA230C"/>
    <w:rsid w:val="00FA3888"/>
    <w:rsid w:val="00FA525F"/>
    <w:rsid w:val="00FA5671"/>
    <w:rsid w:val="00FA62A2"/>
    <w:rsid w:val="00FA7DE4"/>
    <w:rsid w:val="00FB10BC"/>
    <w:rsid w:val="00FB23D7"/>
    <w:rsid w:val="00FB486C"/>
    <w:rsid w:val="00FB5531"/>
    <w:rsid w:val="00FB7097"/>
    <w:rsid w:val="00FB717C"/>
    <w:rsid w:val="00FB7D53"/>
    <w:rsid w:val="00FC02A8"/>
    <w:rsid w:val="00FC0922"/>
    <w:rsid w:val="00FC2E51"/>
    <w:rsid w:val="00FC2E57"/>
    <w:rsid w:val="00FC3821"/>
    <w:rsid w:val="00FC4225"/>
    <w:rsid w:val="00FC427F"/>
    <w:rsid w:val="00FC48D5"/>
    <w:rsid w:val="00FC4FB1"/>
    <w:rsid w:val="00FC4FB8"/>
    <w:rsid w:val="00FC7668"/>
    <w:rsid w:val="00FD0EF0"/>
    <w:rsid w:val="00FD1302"/>
    <w:rsid w:val="00FD18DF"/>
    <w:rsid w:val="00FD1FEE"/>
    <w:rsid w:val="00FD34A0"/>
    <w:rsid w:val="00FD3AE7"/>
    <w:rsid w:val="00FD697B"/>
    <w:rsid w:val="00FE083C"/>
    <w:rsid w:val="00FE1E61"/>
    <w:rsid w:val="00FE5563"/>
    <w:rsid w:val="00FE69FA"/>
    <w:rsid w:val="00FE6B19"/>
    <w:rsid w:val="00FE7852"/>
    <w:rsid w:val="00FF072B"/>
    <w:rsid w:val="00FF1701"/>
    <w:rsid w:val="00FF27E6"/>
    <w:rsid w:val="00FF2E7C"/>
    <w:rsid w:val="00FF38FC"/>
    <w:rsid w:val="00FF3B48"/>
    <w:rsid w:val="00FF47B5"/>
    <w:rsid w:val="00FF49E3"/>
    <w:rsid w:val="00FF4FB4"/>
    <w:rsid w:val="00FF511C"/>
    <w:rsid w:val="00FF5B56"/>
    <w:rsid w:val="3A05109A"/>
    <w:rsid w:val="766125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nhideWhenUsed="0" w:uiPriority="0" w:semiHidden="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2"/>
    <w:qFormat/>
    <w:uiPriority w:val="0"/>
    <w:pPr>
      <w:keepNext/>
      <w:keepLines/>
      <w:spacing w:before="312" w:beforeLines="100" w:after="312" w:afterLines="100" w:line="360" w:lineRule="auto"/>
      <w:jc w:val="center"/>
      <w:outlineLvl w:val="0"/>
    </w:pPr>
    <w:rPr>
      <w:rFonts w:ascii="宋体" w:hAnsi="宋体"/>
      <w:b/>
      <w:spacing w:val="8"/>
      <w:kern w:val="0"/>
      <w:sz w:val="2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link w:val="33"/>
    <w:qFormat/>
    <w:uiPriority w:val="0"/>
    <w:pPr>
      <w:spacing w:beforeLines="25" w:afterLines="25" w:line="300" w:lineRule="auto"/>
    </w:pPr>
    <w:rPr>
      <w:rFonts w:ascii="Arial" w:hAnsi="Arial" w:eastAsia="黑体"/>
      <w:sz w:val="20"/>
      <w:szCs w:val="20"/>
    </w:rPr>
  </w:style>
  <w:style w:type="paragraph" w:styleId="5">
    <w:name w:val="Document Map"/>
    <w:basedOn w:val="1"/>
    <w:link w:val="26"/>
    <w:qFormat/>
    <w:uiPriority w:val="0"/>
    <w:rPr>
      <w:rFonts w:ascii="宋体"/>
      <w:sz w:val="18"/>
      <w:szCs w:val="18"/>
    </w:rPr>
  </w:style>
  <w:style w:type="paragraph" w:styleId="6">
    <w:name w:val="annotation text"/>
    <w:basedOn w:val="1"/>
    <w:link w:val="37"/>
    <w:qFormat/>
    <w:uiPriority w:val="99"/>
    <w:pPr>
      <w:jc w:val="left"/>
    </w:pPr>
  </w:style>
  <w:style w:type="paragraph" w:styleId="7">
    <w:name w:val="Body Text"/>
    <w:basedOn w:val="1"/>
    <w:link w:val="32"/>
    <w:qFormat/>
    <w:uiPriority w:val="0"/>
    <w:pPr>
      <w:spacing w:after="120"/>
    </w:pPr>
  </w:style>
  <w:style w:type="paragraph" w:styleId="8">
    <w:name w:val="Body Text Indent"/>
    <w:basedOn w:val="1"/>
    <w:link w:val="34"/>
    <w:qFormat/>
    <w:uiPriority w:val="0"/>
    <w:pPr>
      <w:spacing w:line="360" w:lineRule="auto"/>
      <w:ind w:firstLine="560"/>
    </w:pPr>
    <w:rPr>
      <w:sz w:val="28"/>
      <w:szCs w:val="20"/>
    </w:rPr>
  </w:style>
  <w:style w:type="paragraph" w:styleId="9">
    <w:name w:val="Date"/>
    <w:basedOn w:val="1"/>
    <w:next w:val="1"/>
    <w:uiPriority w:val="0"/>
    <w:pPr>
      <w:ind w:left="100" w:leftChars="2500"/>
    </w:pPr>
  </w:style>
  <w:style w:type="paragraph" w:styleId="10">
    <w:name w:val="Body Text Indent 2"/>
    <w:basedOn w:val="1"/>
    <w:qFormat/>
    <w:uiPriority w:val="0"/>
    <w:pPr>
      <w:spacing w:after="120" w:line="480" w:lineRule="auto"/>
      <w:ind w:left="420" w:leftChars="200"/>
    </w:pPr>
  </w:style>
  <w:style w:type="paragraph" w:styleId="11">
    <w:name w:val="Balloon Text"/>
    <w:basedOn w:val="1"/>
    <w:link w:val="27"/>
    <w:qFormat/>
    <w:uiPriority w:val="0"/>
    <w:rPr>
      <w:sz w:val="18"/>
      <w:szCs w:val="18"/>
    </w:rPr>
  </w:style>
  <w:style w:type="paragraph" w:styleId="12">
    <w:name w:val="footer"/>
    <w:basedOn w:val="1"/>
    <w:link w:val="35"/>
    <w:qFormat/>
    <w:uiPriority w:val="99"/>
    <w:pPr>
      <w:tabs>
        <w:tab w:val="center" w:pos="4153"/>
        <w:tab w:val="right" w:pos="8306"/>
      </w:tabs>
      <w:snapToGrid w:val="0"/>
      <w:jc w:val="left"/>
    </w:pPr>
    <w:rPr>
      <w:sz w:val="18"/>
      <w:szCs w:val="18"/>
    </w:rPr>
  </w:style>
  <w:style w:type="paragraph" w:styleId="13">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annotation subject"/>
    <w:basedOn w:val="6"/>
    <w:next w:val="6"/>
    <w:semiHidden/>
    <w:qFormat/>
    <w:uiPriority w:val="0"/>
    <w:rPr>
      <w:b/>
      <w:bCs/>
    </w:rPr>
  </w:style>
  <w:style w:type="paragraph" w:styleId="16">
    <w:name w:val="Body Text First Indent"/>
    <w:basedOn w:val="7"/>
    <w:link w:val="41"/>
    <w:semiHidden/>
    <w:unhideWhenUsed/>
    <w:qFormat/>
    <w:uiPriority w:val="0"/>
    <w:pPr>
      <w:ind w:firstLine="420" w:firstLineChars="100"/>
    </w:pPr>
  </w:style>
  <w:style w:type="table" w:styleId="18">
    <w:name w:val="Table Grid"/>
    <w:basedOn w:val="1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annotation reference"/>
    <w:semiHidden/>
    <w:qFormat/>
    <w:uiPriority w:val="99"/>
    <w:rPr>
      <w:sz w:val="21"/>
      <w:szCs w:val="21"/>
    </w:rPr>
  </w:style>
  <w:style w:type="paragraph" w:customStyle="1" w:styleId="22">
    <w:name w:val="默认段落字体 Para Char"/>
    <w:basedOn w:val="1"/>
    <w:qFormat/>
    <w:uiPriority w:val="0"/>
    <w:rPr>
      <w:sz w:val="24"/>
    </w:rPr>
  </w:style>
  <w:style w:type="paragraph" w:styleId="23">
    <w:name w:val="List Paragraph"/>
    <w:basedOn w:val="1"/>
    <w:qFormat/>
    <w:uiPriority w:val="0"/>
    <w:pPr>
      <w:ind w:firstLine="420" w:firstLineChars="200"/>
    </w:pPr>
    <w:rPr>
      <w:rFonts w:ascii="Calibri" w:hAnsi="Calibri"/>
      <w:szCs w:val="22"/>
    </w:rPr>
  </w:style>
  <w:style w:type="paragraph" w:customStyle="1" w:styleId="24">
    <w:name w:val="列出段落1"/>
    <w:basedOn w:val="1"/>
    <w:qFormat/>
    <w:uiPriority w:val="0"/>
    <w:pPr>
      <w:ind w:firstLine="420" w:firstLineChars="200"/>
    </w:pPr>
    <w:rPr>
      <w:rFonts w:ascii="Calibri" w:hAnsi="Calibri"/>
      <w:szCs w:val="22"/>
    </w:rPr>
  </w:style>
  <w:style w:type="character" w:customStyle="1" w:styleId="25">
    <w:name w:val="页眉 字符"/>
    <w:link w:val="13"/>
    <w:qFormat/>
    <w:uiPriority w:val="0"/>
    <w:rPr>
      <w:kern w:val="2"/>
      <w:sz w:val="18"/>
      <w:szCs w:val="18"/>
    </w:rPr>
  </w:style>
  <w:style w:type="character" w:customStyle="1" w:styleId="26">
    <w:name w:val="文档结构图 字符"/>
    <w:link w:val="5"/>
    <w:qFormat/>
    <w:uiPriority w:val="0"/>
    <w:rPr>
      <w:rFonts w:ascii="宋体"/>
      <w:kern w:val="2"/>
      <w:sz w:val="18"/>
      <w:szCs w:val="18"/>
    </w:rPr>
  </w:style>
  <w:style w:type="character" w:customStyle="1" w:styleId="27">
    <w:name w:val="批注框文本 字符"/>
    <w:link w:val="11"/>
    <w:qFormat/>
    <w:uiPriority w:val="0"/>
    <w:rPr>
      <w:kern w:val="2"/>
      <w:sz w:val="18"/>
      <w:szCs w:val="18"/>
    </w:rPr>
  </w:style>
  <w:style w:type="paragraph" w:customStyle="1" w:styleId="28">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2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0">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paragraph" w:customStyle="1" w:styleId="31">
    <w:name w:val="_Style 27"/>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32">
    <w:name w:val="正文文本 字符"/>
    <w:link w:val="7"/>
    <w:qFormat/>
    <w:uiPriority w:val="0"/>
    <w:rPr>
      <w:kern w:val="2"/>
      <w:sz w:val="21"/>
      <w:szCs w:val="24"/>
    </w:rPr>
  </w:style>
  <w:style w:type="character" w:customStyle="1" w:styleId="33">
    <w:name w:val="题注 字符"/>
    <w:link w:val="4"/>
    <w:qFormat/>
    <w:uiPriority w:val="0"/>
    <w:rPr>
      <w:rFonts w:ascii="Arial" w:hAnsi="Arial" w:eastAsia="黑体" w:cs="Arial"/>
      <w:kern w:val="2"/>
    </w:rPr>
  </w:style>
  <w:style w:type="character" w:customStyle="1" w:styleId="34">
    <w:name w:val="正文文本缩进 字符"/>
    <w:link w:val="8"/>
    <w:qFormat/>
    <w:uiPriority w:val="0"/>
    <w:rPr>
      <w:kern w:val="2"/>
      <w:sz w:val="28"/>
    </w:rPr>
  </w:style>
  <w:style w:type="character" w:customStyle="1" w:styleId="35">
    <w:name w:val="页脚 字符"/>
    <w:link w:val="12"/>
    <w:qFormat/>
    <w:uiPriority w:val="99"/>
    <w:rPr>
      <w:kern w:val="2"/>
      <w:sz w:val="18"/>
      <w:szCs w:val="18"/>
    </w:rPr>
  </w:style>
  <w:style w:type="paragraph" w:customStyle="1" w:styleId="36">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37">
    <w:name w:val="批注文字 字符"/>
    <w:link w:val="6"/>
    <w:qFormat/>
    <w:uiPriority w:val="99"/>
    <w:rPr>
      <w:kern w:val="2"/>
      <w:sz w:val="21"/>
      <w:szCs w:val="24"/>
    </w:rPr>
  </w:style>
  <w:style w:type="character" w:customStyle="1" w:styleId="38">
    <w:name w:val="批注文字 Char"/>
    <w:qFormat/>
    <w:uiPriority w:val="0"/>
    <w:rPr>
      <w:rFonts w:ascii="Calibri" w:hAnsi="Calibri" w:eastAsia="宋体"/>
      <w:sz w:val="22"/>
      <w:szCs w:val="22"/>
      <w:lang w:val="en-US" w:eastAsia="en-US" w:bidi="en-US"/>
    </w:rPr>
  </w:style>
  <w:style w:type="paragraph" w:customStyle="1" w:styleId="39">
    <w:name w:val="正文-p"/>
    <w:basedOn w:val="16"/>
    <w:link w:val="40"/>
    <w:qFormat/>
    <w:uiPriority w:val="0"/>
    <w:pPr>
      <w:spacing w:after="0" w:line="360" w:lineRule="auto"/>
      <w:ind w:firstLine="200" w:firstLineChars="200"/>
    </w:pPr>
    <w:rPr>
      <w:sz w:val="24"/>
      <w:szCs w:val="20"/>
    </w:rPr>
  </w:style>
  <w:style w:type="character" w:customStyle="1" w:styleId="40">
    <w:name w:val="正文-p Char"/>
    <w:link w:val="39"/>
    <w:qFormat/>
    <w:uiPriority w:val="0"/>
    <w:rPr>
      <w:kern w:val="2"/>
      <w:sz w:val="24"/>
    </w:rPr>
  </w:style>
  <w:style w:type="character" w:customStyle="1" w:styleId="41">
    <w:name w:val="正文文本首行缩进 字符"/>
    <w:basedOn w:val="32"/>
    <w:link w:val="16"/>
    <w:semiHidden/>
    <w:qFormat/>
    <w:uiPriority w:val="0"/>
    <w:rPr>
      <w:kern w:val="2"/>
      <w:sz w:val="21"/>
      <w:szCs w:val="24"/>
    </w:rPr>
  </w:style>
  <w:style w:type="character" w:customStyle="1" w:styleId="42">
    <w:name w:val="标题 1 字符"/>
    <w:basedOn w:val="19"/>
    <w:link w:val="2"/>
    <w:qFormat/>
    <w:uiPriority w:val="0"/>
    <w:rPr>
      <w:rFonts w:ascii="宋体" w:hAnsi="宋体"/>
      <w:b/>
      <w:spacing w:val="8"/>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236A7C-3383-4D0A-A753-C63BDF851AF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47</Pages>
  <Words>20937</Words>
  <Characters>23561</Characters>
  <Lines>183</Lines>
  <Paragraphs>51</Paragraphs>
  <TotalTime>7</TotalTime>
  <ScaleCrop>false</ScaleCrop>
  <LinksUpToDate>false</LinksUpToDate>
  <CharactersWithSpaces>24559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2023-05-19T01:41:00Z</dcterms:created>
  <dc:creator>zhu_gh.yf</dc:creator>
  <cp:lastModifiedBy> 鬼浏几道</cp:lastModifiedBy>
  <cp:lastPrinted>2019-05-27T02:50:00Z</cp:lastPrinted>
  <dcterms:modified xsi:type="dcterms:W3CDTF">2023-07-21T03:52:52Z</dcterms:modified>
  <dc:title>关于局部修订《室外排水设计规范》的几个问题</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58020055205447CE802D137C863A4BC3_12</vt:lpwstr>
  </property>
</Properties>
</file>