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b w:val="0"/>
          <w:bCs/>
          <w:sz w:val="28"/>
          <w:szCs w:val="28"/>
        </w:rPr>
      </w:pPr>
      <w:r>
        <w:rPr>
          <w:rFonts w:ascii="Times New Roman" w:hAnsi="Times New Roman" w:eastAsia="宋体" w:cs="Times New Roman"/>
          <w:b w:val="0"/>
          <w:bCs/>
          <w:sz w:val="28"/>
          <w:szCs w:val="28"/>
        </w:rPr>
        <w:t>UDC</w:t>
      </w:r>
    </w:p>
    <w:p>
      <w:pPr>
        <w:rPr>
          <w:rFonts w:ascii="Times New Roman" w:hAnsi="Times New Roman" w:eastAsia="宋体" w:cs="Times New Roman"/>
          <w:b w:val="0"/>
          <w:bCs/>
          <w:sz w:val="84"/>
          <w:szCs w:val="84"/>
        </w:rPr>
      </w:pPr>
      <w:r>
        <w:rPr>
          <w:rFonts w:ascii="Times New Roman" w:hAnsi="Times New Roman" w:eastAsia="宋体" w:cs="Times New Roman"/>
          <w:b w:val="0"/>
          <w:bCs/>
          <w:sz w:val="28"/>
        </w:rPr>
        <w:t xml:space="preserve">                  </w:t>
      </w:r>
      <w:bookmarkStart w:id="0" w:name="_Toc212891135"/>
      <w:bookmarkStart w:id="1" w:name="_Toc207596288"/>
      <w:bookmarkStart w:id="2" w:name="_Toc217378885"/>
      <w:bookmarkStart w:id="3" w:name="_Toc207781874"/>
      <w:r>
        <w:rPr>
          <w:rFonts w:ascii="Times New Roman" w:hAnsi="Times New Roman" w:eastAsia="宋体" w:cs="Times New Roman"/>
          <w:b w:val="0"/>
          <w:bCs/>
          <w:sz w:val="30"/>
          <w:szCs w:val="30"/>
        </w:rPr>
        <w:t>中华人民共和国国家标准</w:t>
      </w:r>
      <w:r>
        <w:rPr>
          <w:rFonts w:ascii="Times New Roman" w:hAnsi="Times New Roman" w:eastAsia="宋体" w:cs="Times New Roman"/>
          <w:b w:val="0"/>
          <w:bCs/>
          <w:sz w:val="28"/>
        </w:rPr>
        <w:t xml:space="preserve">        </w:t>
      </w:r>
      <w:bookmarkEnd w:id="0"/>
      <w:bookmarkEnd w:id="1"/>
      <w:bookmarkEnd w:id="2"/>
      <w:bookmarkEnd w:id="3"/>
      <w:r>
        <w:rPr>
          <w:rFonts w:ascii="Times New Roman" w:hAnsi="Times New Roman" w:eastAsia="宋体" w:cs="Times New Roman"/>
          <w:b w:val="0"/>
          <w:bCs/>
          <w:sz w:val="84"/>
          <w:szCs w:val="84"/>
        </w:rPr>
        <w:t>GB</w:t>
      </w:r>
    </w:p>
    <w:p>
      <w:pPr>
        <w:ind w:right="-197" w:rightChars="-94"/>
        <w:rPr>
          <w:rFonts w:ascii="Times New Roman" w:hAnsi="Times New Roman" w:eastAsia="宋体" w:cs="Times New Roman"/>
          <w:b w:val="0"/>
          <w:bCs/>
          <w:sz w:val="32"/>
          <w:szCs w:val="32"/>
        </w:rPr>
      </w:pPr>
      <w:r>
        <w:rPr>
          <w:rFonts w:ascii="Times New Roman" w:hAnsi="Times New Roman" w:eastAsia="宋体" w:cs="Times New Roman"/>
          <w:b w:val="0"/>
          <w:bCs/>
          <w:sz w:val="32"/>
          <w:szCs w:val="32"/>
        </w:rPr>
        <w:t>P</w:t>
      </w:r>
      <w:r>
        <w:rPr>
          <w:rFonts w:ascii="Times New Roman" w:hAnsi="Times New Roman" w:eastAsia="宋体" w:cs="Times New Roman"/>
          <w:b w:val="0"/>
          <w:bCs/>
        </w:rPr>
        <w:t xml:space="preserve">                                                 </w:t>
      </w:r>
      <w:r>
        <w:rPr>
          <w:rFonts w:ascii="Times New Roman" w:hAnsi="Times New Roman" w:eastAsia="宋体" w:cs="Times New Roman"/>
          <w:b w:val="0"/>
          <w:bCs/>
          <w:sz w:val="32"/>
          <w:szCs w:val="32"/>
        </w:rPr>
        <w:t xml:space="preserve"> GB/T xxxxx – 202x</w:t>
      </w:r>
    </w:p>
    <w:p>
      <w:pPr>
        <w:pStyle w:val="40"/>
        <w:rPr>
          <w:rFonts w:ascii="Times New Roman" w:hAnsi="Times New Roman" w:cs="Times New Roman"/>
          <w:b w:val="0"/>
          <w:bCs/>
          <w:sz w:val="52"/>
          <w:szCs w:val="52"/>
        </w:rPr>
      </w:pPr>
      <w:bookmarkStart w:id="4" w:name="_Toc120665329"/>
      <w:bookmarkStart w:id="5" w:name="_Toc121602114"/>
      <w:bookmarkStart w:id="6" w:name="_Toc126397901"/>
      <w:bookmarkStart w:id="7" w:name="_Toc81483009"/>
      <w:bookmarkStart w:id="8" w:name="_Toc123131631"/>
      <w:bookmarkStart w:id="9" w:name="_Toc128674947"/>
      <w:bookmarkStart w:id="10" w:name="_Toc128337125"/>
      <w:bookmarkStart w:id="11" w:name="_Toc128059469"/>
      <w:bookmarkStart w:id="12" w:name="_Toc121302755"/>
      <w:bookmarkStart w:id="13" w:name="_Toc120736563"/>
      <w:bookmarkStart w:id="14" w:name="_Toc83573379"/>
      <w:bookmarkStart w:id="15" w:name="_Toc83632337"/>
      <w:bookmarkStart w:id="16" w:name="_Toc121601829"/>
      <w:bookmarkStart w:id="17" w:name="_Toc128988400"/>
      <w:bookmarkStart w:id="18" w:name="_Toc83243846"/>
      <w:bookmarkStart w:id="19" w:name="_Toc41592743"/>
      <w:bookmarkStart w:id="20" w:name="_Toc121295337"/>
      <w:bookmarkStart w:id="21" w:name="_Toc120660377"/>
      <w:bookmarkStart w:id="22" w:name="_Toc81474716"/>
      <w:bookmarkStart w:id="23" w:name="_Toc83626135"/>
      <w:bookmarkStart w:id="24" w:name="_Toc121296200"/>
      <w:bookmarkStart w:id="25" w:name="_Toc116843946"/>
      <w:r>
        <w:rPr>
          <w:rFonts w:ascii="Times New Roman" w:hAnsi="Times New Roman" w:eastAsia="黑体" w:cs="Times New Roman"/>
          <w:b w:val="0"/>
          <w:bCs/>
          <w:sz w:val="28"/>
          <w:szCs w:val="28"/>
        </w:rPr>
        <mc:AlternateContent>
          <mc:Choice Requires="wps">
            <w:drawing>
              <wp:anchor distT="0" distB="0" distL="114300" distR="114300" simplePos="0" relativeHeight="251660288" behindDoc="0" locked="0" layoutInCell="1" allowOverlap="1">
                <wp:simplePos x="0" y="0"/>
                <wp:positionH relativeFrom="column">
                  <wp:posOffset>-186690</wp:posOffset>
                </wp:positionH>
                <wp:positionV relativeFrom="paragraph">
                  <wp:posOffset>60960</wp:posOffset>
                </wp:positionV>
                <wp:extent cx="5680710" cy="0"/>
                <wp:effectExtent l="0" t="0" r="15240" b="19050"/>
                <wp:wrapNone/>
                <wp:docPr id="3" name="直接连接符 3"/>
                <wp:cNvGraphicFramePr/>
                <a:graphic xmlns:a="http://schemas.openxmlformats.org/drawingml/2006/main">
                  <a:graphicData uri="http://schemas.microsoft.com/office/word/2010/wordprocessingShape">
                    <wps:wsp>
                      <wps:cNvCnPr/>
                      <wps:spPr>
                        <a:xfrm>
                          <a:off x="0" y="0"/>
                          <a:ext cx="5680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7pt;margin-top:4.8pt;height:0pt;width:447.3pt;z-index:251660288;mso-width-relative:page;mso-height-relative:page;" filled="f" stroked="t" coordsize="21600,21600" o:gfxdata="UEsDBAoAAAAAAIdO4kAAAAAAAAAAAAAAAAAEAAAAZHJzL1BLAwQUAAAACACHTuJAk091OdUAAAAH&#10;AQAADwAAAGRycy9kb3ducmV2LnhtbE2OTU/DMBBE75X4D9YicalauylEbYjTAzS3Xiggrtt4SSLi&#10;dRq7H/DrcbnQ42hGb16+OttOHGnwrWMNs6kCQVw503Kt4e21nCxA+IBssHNMGr7Jw6q4GeWYGXfi&#10;FzpuQy0ihH2GGpoQ+kxKXzVk0U9dTxy7TzdYDDEOtTQDniLcdjJRKpUWW44PDfb01FD1tT1YDb58&#10;p335M67G6mNeO0r2z5s1an13O1OPIAKdw/8YLvpRHYrotHMHNl50GibJ8j5ONSxTELFfpA8JiN1f&#10;lkUur/2LX1BLAwQUAAAACACHTuJAhczz2NgBAACaAwAADgAAAGRycy9lMm9Eb2MueG1srVPNbhMx&#10;EL4j8Q6W72Q3qVLKKpseGpULgkjAAzhe764l/2nGzSYvwQsgcYMTR+68De1jMPZuUyiXHsjBGc98&#10;/sbf59nV5cEatleA2ruaz2clZ8pJ32jX1fzjh+sXF5xhFK4RxjtV86NCfrl+/mw1hEotfO9No4AR&#10;icNqCDXvYwxVUaDslRU480E5KrYerIi0ha5oQAzEbk2xKMvzYvDQBPBSIVJ2Mxb5xAhPIfRtq6Xa&#10;eHljlYsjKygjIknCXgfk63zbtlUyvmtbVJGZmpPSmFdqQvEurcV6JaoOROi1nK4gnnKFR5qs0I6a&#10;nqg2Igp2A/ofKqslePRtnElvi1FIdoRUzMtH3rzvRVBZC1mN4WQ6/j9a+Xa/Baabmp9x5oSlB7/9&#10;/OPXp693P7/Qevv9GztLJg0BK8JeuS1MOwxbSIoPLdj0T1rYIRt7PBmrDpFJSi7PL8qXc/Jc3teK&#10;h4MBML5W3rIU1NxolzSLSuzfYKRmBL2HpLTz19qY/G7GsaHmr5aLJTELmsWWZoBCG0gPuo4zYToa&#10;chkhM6I3ukmnEw9Ct7sywPYijUb+JaHU7S9Yar0R2I+4XJpgxhE6+TI6kaKdb47ZoJynJ8t803il&#10;mfhzn08/fFL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NPdTnVAAAABwEAAA8AAAAAAAAAAQAg&#10;AAAAIgAAAGRycy9kb3ducmV2LnhtbFBLAQIUABQAAAAIAIdO4kCFzPPY2AEAAJoDAAAOAAAAAAAA&#10;AAEAIAAAACQBAABkcnMvZTJvRG9jLnhtbFBLBQYAAAAABgAGAFkBAABuBQAAAAA=&#10;">
                <v:fill on="f" focussize="0,0"/>
                <v:stroke color="#000000 [3213]" joinstyle="round"/>
                <v:imagedata o:title=""/>
                <o:lock v:ext="edit" aspectratio="f"/>
              </v:line>
            </w:pict>
          </mc:Fallback>
        </mc:AlternateConten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40"/>
        <w:rPr>
          <w:rFonts w:ascii="Times New Roman" w:hAnsi="Times New Roman" w:cs="Times New Roman"/>
          <w:b w:val="0"/>
          <w:bCs/>
          <w:sz w:val="52"/>
          <w:szCs w:val="52"/>
        </w:rPr>
      </w:pPr>
      <w:bookmarkStart w:id="26" w:name="_Toc83243847"/>
      <w:bookmarkStart w:id="27" w:name="_Toc81483010"/>
      <w:bookmarkStart w:id="28" w:name="_Toc83632338"/>
      <w:bookmarkStart w:id="29" w:name="_Toc123131632"/>
      <w:bookmarkStart w:id="30" w:name="_Toc83626136"/>
      <w:bookmarkStart w:id="31" w:name="_Toc121295338"/>
      <w:bookmarkStart w:id="32" w:name="_Toc128337126"/>
      <w:bookmarkStart w:id="33" w:name="_Toc120665330"/>
      <w:bookmarkStart w:id="34" w:name="_Toc83573380"/>
      <w:bookmarkStart w:id="35" w:name="_Toc126397902"/>
      <w:bookmarkStart w:id="36" w:name="_Toc128988401"/>
      <w:bookmarkStart w:id="37" w:name="_Toc121602115"/>
      <w:bookmarkStart w:id="38" w:name="_Toc121302756"/>
      <w:bookmarkStart w:id="39" w:name="_Toc128059470"/>
      <w:bookmarkStart w:id="40" w:name="_Toc121601830"/>
      <w:bookmarkStart w:id="41" w:name="_Toc121296201"/>
      <w:bookmarkStart w:id="42" w:name="_Toc128674948"/>
      <w:bookmarkStart w:id="43" w:name="_Toc81474717"/>
      <w:bookmarkStart w:id="44" w:name="_Toc120736564"/>
      <w:bookmarkStart w:id="45" w:name="_Toc120660378"/>
      <w:r>
        <w:rPr>
          <w:rFonts w:ascii="Times New Roman" w:hAnsi="Times New Roman" w:cs="Times New Roman"/>
          <w:b w:val="0"/>
          <w:bCs/>
          <w:sz w:val="52"/>
          <w:szCs w:val="52"/>
        </w:rPr>
        <w:t>零碳建筑技术标准</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Times New Roman" w:hAnsi="Times New Roman" w:cs="Times New Roman"/>
          <w:b w:val="0"/>
          <w:bCs/>
          <w:sz w:val="36"/>
          <w:szCs w:val="36"/>
        </w:rPr>
      </w:pPr>
      <w:r>
        <w:rPr>
          <w:rFonts w:ascii="Times New Roman" w:hAnsi="Times New Roman" w:cs="Times New Roman"/>
          <w:b w:val="0"/>
          <w:bCs/>
          <w:sz w:val="36"/>
          <w:szCs w:val="36"/>
        </w:rPr>
        <w:t>Technical standard for zero carbon buildings</w:t>
      </w:r>
    </w:p>
    <w:p>
      <w:pPr>
        <w:jc w:val="center"/>
        <w:rPr>
          <w:rFonts w:ascii="Times New Roman" w:hAnsi="Times New Roman" w:cs="Times New Roman"/>
          <w:b w:val="0"/>
          <w:bCs/>
        </w:rPr>
      </w:pPr>
    </w:p>
    <w:p>
      <w:pPr>
        <w:jc w:val="center"/>
        <w:rPr>
          <w:rFonts w:ascii="Times New Roman" w:hAnsi="Times New Roman" w:cs="Times New Roman"/>
          <w:b w:val="0"/>
          <w:bCs/>
        </w:rPr>
      </w:pPr>
    </w:p>
    <w:p>
      <w:pPr>
        <w:jc w:val="center"/>
        <w:rPr>
          <w:rFonts w:ascii="Times New Roman" w:hAnsi="Times New Roman" w:cs="Times New Roman"/>
          <w:b w:val="0"/>
          <w:bCs/>
          <w:color w:val="FF0000"/>
          <w:sz w:val="44"/>
        </w:rPr>
      </w:pPr>
    </w:p>
    <w:p>
      <w:pPr>
        <w:pStyle w:val="71"/>
        <w:tabs>
          <w:tab w:val="left" w:pos="4817"/>
        </w:tabs>
        <w:ind w:left="1080" w:leftChars="0" w:hanging="1080" w:hangingChars="300"/>
        <w:jc w:val="center"/>
        <w:rPr>
          <w:rFonts w:hint="eastAsia" w:ascii="Times New Roman" w:hAnsi="Times New Roman" w:cs="Times New Roman" w:eastAsiaTheme="minorEastAsia"/>
          <w:b w:val="0"/>
          <w:bCs/>
          <w:color w:val="auto"/>
          <w:sz w:val="36"/>
          <w:szCs w:val="20"/>
          <w:lang w:eastAsia="zh-CN"/>
        </w:rPr>
      </w:pPr>
      <w:r>
        <w:rPr>
          <w:rFonts w:hint="eastAsia" w:ascii="Times New Roman" w:hAnsi="Times New Roman" w:cs="Times New Roman"/>
          <w:b w:val="0"/>
          <w:bCs/>
          <w:color w:val="auto"/>
          <w:sz w:val="36"/>
          <w:szCs w:val="20"/>
          <w:lang w:eastAsia="zh-CN"/>
        </w:rPr>
        <w:t>（</w:t>
      </w:r>
      <w:r>
        <w:rPr>
          <w:rFonts w:hint="eastAsia" w:ascii="Times New Roman" w:hAnsi="Times New Roman" w:cs="Times New Roman"/>
          <w:b w:val="0"/>
          <w:bCs/>
          <w:color w:val="auto"/>
          <w:sz w:val="36"/>
          <w:szCs w:val="20"/>
          <w:lang w:val="en-US" w:eastAsia="zh-CN"/>
        </w:rPr>
        <w:t>征求意见稿</w:t>
      </w:r>
      <w:r>
        <w:rPr>
          <w:rFonts w:hint="eastAsia" w:ascii="Times New Roman" w:hAnsi="Times New Roman" w:cs="Times New Roman"/>
          <w:b w:val="0"/>
          <w:bCs/>
          <w:color w:val="auto"/>
          <w:sz w:val="36"/>
          <w:szCs w:val="20"/>
          <w:lang w:eastAsia="zh-CN"/>
        </w:rPr>
        <w:t>）</w:t>
      </w:r>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bookmarkStart w:id="148" w:name="_GoBack"/>
      <w:bookmarkEnd w:id="148"/>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p>
    <w:p>
      <w:pPr>
        <w:pStyle w:val="71"/>
        <w:tabs>
          <w:tab w:val="left" w:pos="4817"/>
        </w:tabs>
        <w:ind w:left="1080" w:firstLine="0" w:firstLineChars="0"/>
        <w:jc w:val="left"/>
        <w:rPr>
          <w:rFonts w:ascii="Times New Roman" w:hAnsi="Times New Roman" w:cs="Times New Roman"/>
          <w:b w:val="0"/>
          <w:bCs/>
          <w:color w:val="FF0000"/>
          <w:sz w:val="36"/>
          <w:szCs w:val="20"/>
        </w:rPr>
      </w:pPr>
    </w:p>
    <w:p>
      <w:pPr>
        <w:tabs>
          <w:tab w:val="left" w:pos="4817"/>
        </w:tabs>
        <w:jc w:val="left"/>
        <w:rPr>
          <w:rFonts w:ascii="Times New Roman" w:hAnsi="Times New Roman" w:cs="Times New Roman"/>
          <w:b w:val="0"/>
          <w:bCs/>
          <w:color w:val="FF0000"/>
          <w:sz w:val="36"/>
          <w:szCs w:val="20"/>
        </w:rPr>
      </w:pPr>
    </w:p>
    <w:p>
      <w:pPr>
        <w:jc w:val="center"/>
        <w:rPr>
          <w:rFonts w:ascii="Times New Roman" w:hAnsi="Times New Roman" w:cs="Times New Roman"/>
          <w:b w:val="0"/>
          <w:bCs/>
          <w:color w:val="FF0000"/>
          <w:sz w:val="44"/>
        </w:rPr>
      </w:pPr>
    </w:p>
    <w:p>
      <w:pPr>
        <w:jc w:val="center"/>
        <w:rPr>
          <w:rFonts w:ascii="Times New Roman" w:hAnsi="Times New Roman" w:cs="Times New Roman"/>
          <w:b w:val="0"/>
          <w:bCs/>
          <w:color w:val="FF0000"/>
          <w:sz w:val="44"/>
        </w:rPr>
      </w:pPr>
    </w:p>
    <w:p>
      <w:pPr>
        <w:rPr>
          <w:rFonts w:ascii="Times New Roman" w:hAnsi="Times New Roman" w:eastAsia="宋体" w:cs="Times New Roman"/>
          <w:b w:val="0"/>
          <w:bCs/>
          <w:sz w:val="30"/>
          <w:szCs w:val="30"/>
        </w:rPr>
      </w:pPr>
      <w:r>
        <w:rPr>
          <w:rFonts w:ascii="Times New Roman" w:hAnsi="Times New Roman" w:eastAsia="宋体" w:cs="Times New Roman"/>
          <w:b w:val="0"/>
          <w:bCs/>
          <w:sz w:val="30"/>
          <w:szCs w:val="30"/>
        </w:rPr>
        <w:t>20xx-xx-xx 发布                          20xx-xx-xx 实施</w:t>
      </w:r>
    </w:p>
    <w:p>
      <w:pPr>
        <w:rPr>
          <w:rFonts w:ascii="Times New Roman" w:hAnsi="Times New Roman" w:eastAsia="黑体" w:cs="Times New Roman"/>
          <w:b w:val="0"/>
          <w:bCs/>
          <w:sz w:val="30"/>
          <w:szCs w:val="30"/>
        </w:rPr>
      </w:pPr>
      <w:r>
        <w:rPr>
          <w:rFonts w:ascii="Times New Roman" w:hAnsi="Times New Roman" w:eastAsia="黑体" w:cs="Times New Roman"/>
          <w:b w:val="0"/>
          <w:bCs/>
          <w:sz w:val="28"/>
          <w:szCs w:val="28"/>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37465</wp:posOffset>
                </wp:positionV>
                <wp:extent cx="5680710" cy="0"/>
                <wp:effectExtent l="0" t="0" r="15240" b="19050"/>
                <wp:wrapNone/>
                <wp:docPr id="1" name="直接连接符 1"/>
                <wp:cNvGraphicFramePr/>
                <a:graphic xmlns:a="http://schemas.openxmlformats.org/drawingml/2006/main">
                  <a:graphicData uri="http://schemas.microsoft.com/office/word/2010/wordprocessingShape">
                    <wps:wsp>
                      <wps:cNvCnPr/>
                      <wps:spPr>
                        <a:xfrm>
                          <a:off x="0" y="0"/>
                          <a:ext cx="5680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2.95pt;height:0pt;width:447.3pt;z-index:251659264;mso-width-relative:page;mso-height-relative:page;" filled="f" stroked="t" coordsize="21600,21600" o:gfxdata="UEsDBAoAAAAAAIdO4kAAAAAAAAAAAAAAAAAEAAAAZHJzL1BLAwQUAAAACACHTuJA5PYxjtQAAAAH&#10;AQAADwAAAGRycy9kb3ducmV2LnhtbE2OPU/DQBBEeyT+w2mRaKLk7FhEifE5BeCOhgREu/FtbAvf&#10;nuO7fMCvZ6GB8mlGM69YX1yvTjSGzrOBdJaAIq697bgx8LqtpktQISJb7D2TgU8KsC6vrwrMrT/z&#10;C502sVEywiFHA22MQ651qFtyGGZ+IJZs70eHUXBstB3xLOOu1/MkWWiHHctDiwM9tFR/bI7OQKje&#10;6FB9TepJ8p41nuaHx+cnNOb2Jk3uQUW6xL8y/OiLOpTitPNHtkH1BqZZlknVwN0KlOTLRSq8+2Vd&#10;Fvq/f/kNUEsDBBQAAAAIAIdO4kB3Nuh62AEAAJoDAAAOAAAAZHJzL2Uyb0RvYy54bWytU81uEzEQ&#10;viPxDpbvZDeRUsoqmx4alQuCSMADTLzeXUv+k8fNJi/BCyBxgxNH7rwN7WMw9m5T2l56IAdnPDP+&#10;xt/nb1cXB6PZXgZUztZ8Pis5k1a4Rtmu5p8/Xb065wwj2Aa0s7LmR4n8Yv3yxWrwlVy43ulGBkYg&#10;FqvB17yP0VdFgaKXBnDmvLRUbF0wEGkbuqIJMBC60cWiLM+KwYXGByckImU3Y5FPiOE5gK5tlZAb&#10;J66NtHFEDVJDJErYK498nW/btlLED22LMjJdc2Ia80pDKN6ltVivoOoC+F6J6QrwnCs84mRAWRp6&#10;gtpABHYd1BMoo0Rw6No4E84UI5GsCLGYl4+0+diDl5kLSY3+JDr+P1jxfr8NTDXkBM4sGHrwm6+/&#10;/nz5fvv7G603P3+weRJp8FhR76XdhmmHfhsS40MbTPonLuyQhT2ehJWHyAQll2fn5es5aS7uasX9&#10;QR8wvpXOsBTUXCubOEMF+3cYaRi13rWktHVXSuv8btqyoeZvloslIQN5sSUPUGg88UHbcQa6I5OL&#10;GDIiOq2adDrhYOh2lzqwPSRr5F8iStMetKXRG8B+7MulqU1b6k66jEqkaOeaYxYo5+nJMt5kr+SJ&#10;f/f59P0ntf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PYxjtQAAAAHAQAADwAAAAAAAAABACAA&#10;AAAiAAAAZHJzL2Rvd25yZXYueG1sUEsBAhQAFAAAAAgAh07iQHc26HrYAQAAmgMAAA4AAAAAAAAA&#10;AQAgAAAAIwEAAGRycy9lMm9Eb2MueG1sUEsFBgAAAAAGAAYAWQEAAG0FAAAAAA==&#10;">
                <v:fill on="f" focussize="0,0"/>
                <v:stroke color="#000000 [3213]" joinstyle="round"/>
                <v:imagedata o:title=""/>
                <o:lock v:ext="edit" aspectratio="f"/>
              </v:line>
            </w:pict>
          </mc:Fallback>
        </mc:AlternateContent>
      </w: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96"/>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96" w:type="dxa"/>
          </w:tcPr>
          <w:p>
            <w:pPr>
              <w:pStyle w:val="21"/>
              <w:spacing w:line="360" w:lineRule="auto"/>
              <w:jc w:val="center"/>
              <w:rPr>
                <w:rFonts w:ascii="Times New Roman" w:hAnsi="Times New Roman" w:eastAsia="黑体" w:cs="Times New Roman"/>
                <w:b w:val="0"/>
                <w:bCs/>
                <w:sz w:val="30"/>
                <w:szCs w:val="30"/>
              </w:rPr>
            </w:pPr>
            <w:r>
              <w:rPr>
                <w:rFonts w:ascii="Times New Roman" w:hAnsi="Times New Roman" w:eastAsia="黑体" w:cs="Times New Roman"/>
                <w:b w:val="0"/>
                <w:bCs/>
                <w:sz w:val="30"/>
                <w:szCs w:val="30"/>
              </w:rPr>
              <w:t xml:space="preserve">中华人民共和国住房和城乡建设部    </w:t>
            </w:r>
          </w:p>
        </w:tc>
        <w:tc>
          <w:tcPr>
            <w:tcW w:w="2200" w:type="dxa"/>
            <w:vMerge w:val="restart"/>
            <w:vAlign w:val="center"/>
          </w:tcPr>
          <w:p>
            <w:pPr>
              <w:pStyle w:val="21"/>
              <w:spacing w:line="360" w:lineRule="auto"/>
              <w:jc w:val="center"/>
              <w:rPr>
                <w:rFonts w:ascii="Times New Roman" w:hAnsi="Times New Roman" w:eastAsia="黑体" w:cs="Times New Roman"/>
                <w:b w:val="0"/>
                <w:bCs/>
                <w:sz w:val="30"/>
                <w:szCs w:val="30"/>
              </w:rPr>
            </w:pPr>
            <w:r>
              <w:rPr>
                <w:rFonts w:ascii="Times New Roman" w:hAnsi="Times New Roman" w:eastAsia="黑体" w:cs="Times New Roman"/>
                <w:b w:val="0"/>
                <w:bCs/>
                <w:sz w:val="30"/>
                <w:szCs w:val="30"/>
              </w:rPr>
              <w:t>联合发布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96" w:type="dxa"/>
          </w:tcPr>
          <w:p>
            <w:pPr>
              <w:pStyle w:val="21"/>
              <w:spacing w:line="360" w:lineRule="auto"/>
              <w:jc w:val="center"/>
              <w:rPr>
                <w:rFonts w:ascii="Times New Roman" w:hAnsi="Times New Roman" w:eastAsia="黑体" w:cs="Times New Roman"/>
                <w:b w:val="0"/>
                <w:bCs/>
                <w:sz w:val="30"/>
                <w:szCs w:val="30"/>
              </w:rPr>
            </w:pPr>
            <w:r>
              <w:rPr>
                <w:rFonts w:ascii="Times New Roman" w:hAnsi="Times New Roman" w:eastAsia="黑体" w:cs="Times New Roman"/>
                <w:b w:val="0"/>
                <w:bCs/>
                <w:sz w:val="30"/>
                <w:szCs w:val="30"/>
              </w:rPr>
              <w:t>国 家 市 场 监 督 管 理 总 局</w:t>
            </w:r>
          </w:p>
        </w:tc>
        <w:tc>
          <w:tcPr>
            <w:tcW w:w="2200" w:type="dxa"/>
            <w:vMerge w:val="continue"/>
          </w:tcPr>
          <w:p>
            <w:pPr>
              <w:pStyle w:val="21"/>
              <w:spacing w:line="360" w:lineRule="auto"/>
              <w:jc w:val="center"/>
              <w:rPr>
                <w:rFonts w:ascii="Times New Roman" w:hAnsi="Times New Roman" w:eastAsia="黑体" w:cs="Times New Roman"/>
                <w:b w:val="0"/>
                <w:bCs/>
                <w:sz w:val="30"/>
                <w:szCs w:val="30"/>
              </w:rPr>
            </w:pPr>
          </w:p>
        </w:tc>
      </w:tr>
    </w:tbl>
    <w:p>
      <w:pPr>
        <w:pStyle w:val="21"/>
        <w:spacing w:line="360" w:lineRule="auto"/>
        <w:jc w:val="center"/>
        <w:rPr>
          <w:rFonts w:ascii="Times New Roman" w:hAnsi="Times New Roman" w:eastAsia="黑体"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2"/>
          <w:szCs w:val="32"/>
        </w:rPr>
      </w:pPr>
    </w:p>
    <w:p>
      <w:pPr>
        <w:pStyle w:val="21"/>
        <w:spacing w:line="360" w:lineRule="auto"/>
        <w:jc w:val="center"/>
        <w:rPr>
          <w:rFonts w:ascii="Times New Roman" w:hAnsi="Times New Roman" w:cs="Times New Roman"/>
          <w:b w:val="0"/>
          <w:bCs/>
          <w:sz w:val="32"/>
          <w:szCs w:val="32"/>
        </w:rPr>
      </w:pPr>
    </w:p>
    <w:p>
      <w:pPr>
        <w:pStyle w:val="21"/>
        <w:spacing w:line="360" w:lineRule="auto"/>
        <w:jc w:val="center"/>
        <w:rPr>
          <w:rFonts w:ascii="Times New Roman" w:hAnsi="Times New Roman" w:cs="Times New Roman"/>
          <w:b w:val="0"/>
          <w:bCs/>
          <w:sz w:val="32"/>
          <w:szCs w:val="32"/>
        </w:rPr>
      </w:pPr>
      <w:r>
        <w:rPr>
          <w:rFonts w:ascii="Times New Roman" w:hAnsi="Times New Roman" w:cs="Times New Roman"/>
          <w:b w:val="0"/>
          <w:bCs/>
          <w:sz w:val="32"/>
          <w:szCs w:val="32"/>
        </w:rPr>
        <w:t>中华人民共和国国家标准</w:t>
      </w:r>
    </w:p>
    <w:p>
      <w:pPr>
        <w:pStyle w:val="21"/>
        <w:spacing w:line="360" w:lineRule="auto"/>
        <w:jc w:val="center"/>
        <w:rPr>
          <w:rFonts w:ascii="Times New Roman" w:hAnsi="Times New Roman" w:cs="Times New Roman"/>
          <w:b w:val="0"/>
          <w:bCs/>
          <w:sz w:val="32"/>
          <w:szCs w:val="32"/>
        </w:rPr>
      </w:pPr>
    </w:p>
    <w:p>
      <w:pPr>
        <w:pStyle w:val="40"/>
        <w:rPr>
          <w:rFonts w:ascii="Times New Roman" w:hAnsi="Times New Roman" w:cs="Times New Roman"/>
          <w:b w:val="0"/>
          <w:bCs/>
          <w:sz w:val="52"/>
          <w:szCs w:val="52"/>
        </w:rPr>
      </w:pPr>
      <w:bookmarkStart w:id="46" w:name="_Toc121601831"/>
      <w:bookmarkStart w:id="47" w:name="_Toc120736565"/>
      <w:bookmarkStart w:id="48" w:name="_Toc121602116"/>
      <w:bookmarkStart w:id="49" w:name="_Toc128337127"/>
      <w:bookmarkStart w:id="50" w:name="_Toc120660379"/>
      <w:bookmarkStart w:id="51" w:name="_Toc121296202"/>
      <w:bookmarkStart w:id="52" w:name="_Toc128674949"/>
      <w:bookmarkStart w:id="53" w:name="_Toc121302757"/>
      <w:bookmarkStart w:id="54" w:name="_Toc128988402"/>
      <w:bookmarkStart w:id="55" w:name="_Toc123131633"/>
      <w:bookmarkStart w:id="56" w:name="_Toc126397903"/>
      <w:bookmarkStart w:id="57" w:name="_Toc121295339"/>
      <w:bookmarkStart w:id="58" w:name="_Toc128059471"/>
      <w:bookmarkStart w:id="59" w:name="_Toc120665331"/>
      <w:r>
        <w:rPr>
          <w:rFonts w:ascii="Times New Roman" w:hAnsi="Times New Roman" w:cs="Times New Roman"/>
          <w:b w:val="0"/>
          <w:bCs/>
          <w:sz w:val="52"/>
          <w:szCs w:val="52"/>
        </w:rPr>
        <w:t>零碳建筑技术标准</w:t>
      </w:r>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21"/>
        <w:spacing w:line="360" w:lineRule="auto"/>
        <w:jc w:val="center"/>
        <w:rPr>
          <w:rFonts w:ascii="Times New Roman" w:hAnsi="Times New Roman" w:cs="Times New Roman"/>
          <w:b w:val="0"/>
          <w:bCs/>
          <w:sz w:val="32"/>
          <w:szCs w:val="32"/>
        </w:rPr>
      </w:pPr>
      <w:r>
        <w:rPr>
          <w:rFonts w:ascii="Times New Roman" w:hAnsi="Times New Roman" w:cs="Times New Roman"/>
          <w:b w:val="0"/>
          <w:bCs/>
          <w:sz w:val="32"/>
          <w:szCs w:val="32"/>
        </w:rPr>
        <w:t>Technical standard for zero carbon buildings</w:t>
      </w:r>
    </w:p>
    <w:p>
      <w:pPr>
        <w:pStyle w:val="21"/>
        <w:spacing w:line="360" w:lineRule="auto"/>
        <w:jc w:val="center"/>
        <w:rPr>
          <w:rFonts w:ascii="Times New Roman" w:hAnsi="Times New Roman" w:cs="Times New Roman"/>
          <w:b w:val="0"/>
          <w:bCs/>
          <w:sz w:val="32"/>
          <w:szCs w:val="32"/>
        </w:rPr>
      </w:pPr>
      <w:r>
        <w:rPr>
          <w:rFonts w:ascii="Times New Roman" w:hAnsi="Times New Roman" w:cs="Times New Roman"/>
          <w:b w:val="0"/>
          <w:bCs/>
          <w:sz w:val="32"/>
          <w:szCs w:val="32"/>
        </w:rPr>
        <w:t>GB/T xxxxx – 202x</w:t>
      </w:r>
    </w:p>
    <w:p>
      <w:pPr>
        <w:pStyle w:val="21"/>
        <w:spacing w:line="360" w:lineRule="auto"/>
        <w:jc w:val="center"/>
        <w:rPr>
          <w:rFonts w:ascii="Times New Roman" w:hAnsi="Times New Roman" w:cs="Times New Roman"/>
          <w:b w:val="0"/>
          <w:bCs/>
          <w:sz w:val="32"/>
          <w:szCs w:val="32"/>
        </w:rPr>
      </w:pPr>
    </w:p>
    <w:p>
      <w:pPr>
        <w:pStyle w:val="21"/>
        <w:spacing w:line="360" w:lineRule="auto"/>
        <w:jc w:val="center"/>
        <w:rPr>
          <w:rFonts w:ascii="Times New Roman" w:hAnsi="Times New Roman" w:cs="Times New Roman"/>
          <w:b w:val="0"/>
          <w:bCs/>
          <w:sz w:val="32"/>
          <w:szCs w:val="32"/>
        </w:rPr>
      </w:pPr>
      <w:r>
        <w:rPr>
          <w:rFonts w:ascii="Times New Roman" w:hAnsi="Times New Roman" w:cs="Times New Roman"/>
          <w:b w:val="0"/>
          <w:bCs/>
          <w:sz w:val="32"/>
          <w:szCs w:val="32"/>
        </w:rPr>
        <w:t>主编部门：中华人民共和国住房和城乡建设部</w:t>
      </w:r>
    </w:p>
    <w:p>
      <w:pPr>
        <w:pStyle w:val="21"/>
        <w:spacing w:line="360" w:lineRule="auto"/>
        <w:jc w:val="center"/>
        <w:rPr>
          <w:rFonts w:ascii="Times New Roman" w:hAnsi="Times New Roman" w:eastAsia="黑体" w:cs="Times New Roman"/>
          <w:b w:val="0"/>
          <w:bCs/>
          <w:sz w:val="30"/>
          <w:szCs w:val="30"/>
        </w:rPr>
      </w:pPr>
      <w:r>
        <w:rPr>
          <w:rFonts w:ascii="Times New Roman" w:hAnsi="Times New Roman" w:cs="Times New Roman"/>
          <w:b w:val="0"/>
          <w:bCs/>
          <w:sz w:val="32"/>
          <w:szCs w:val="32"/>
        </w:rPr>
        <w:t>批准部门：</w:t>
      </w:r>
      <w:r>
        <w:rPr>
          <w:rFonts w:ascii="Times New Roman" w:hAnsi="Times New Roman" w:eastAsia="黑体" w:cs="Times New Roman"/>
          <w:b w:val="0"/>
          <w:bCs/>
          <w:sz w:val="30"/>
          <w:szCs w:val="30"/>
        </w:rPr>
        <w:t>中华人民共和国住房和城乡建设部</w:t>
      </w:r>
    </w:p>
    <w:p>
      <w:pPr>
        <w:pStyle w:val="21"/>
        <w:spacing w:line="360" w:lineRule="auto"/>
        <w:jc w:val="center"/>
        <w:rPr>
          <w:rFonts w:ascii="Times New Roman" w:hAnsi="Times New Roman" w:cs="Times New Roman"/>
          <w:b w:val="0"/>
          <w:bCs/>
          <w:sz w:val="30"/>
          <w:szCs w:val="30"/>
        </w:rPr>
      </w:pPr>
      <w:r>
        <w:rPr>
          <w:rFonts w:ascii="Times New Roman" w:hAnsi="Times New Roman" w:eastAsia="黑体" w:cs="Times New Roman"/>
          <w:b w:val="0"/>
          <w:bCs/>
          <w:sz w:val="30"/>
          <w:szCs w:val="30"/>
        </w:rPr>
        <w:t>实施日期：</w:t>
      </w:r>
      <w:r>
        <w:rPr>
          <w:rFonts w:ascii="Times New Roman" w:hAnsi="Times New Roman" w:cs="Times New Roman"/>
          <w:b w:val="0"/>
          <w:bCs/>
          <w:sz w:val="30"/>
          <w:szCs w:val="30"/>
        </w:rPr>
        <w:t>20xx年xx月xx日</w:t>
      </w: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p>
    <w:p>
      <w:pPr>
        <w:pStyle w:val="21"/>
        <w:spacing w:line="360" w:lineRule="auto"/>
        <w:rPr>
          <w:rFonts w:ascii="Times New Roman" w:hAnsi="Times New Roman" w:cs="Times New Roman"/>
          <w:b w:val="0"/>
          <w:bCs/>
          <w:sz w:val="30"/>
          <w:szCs w:val="30"/>
        </w:rPr>
      </w:pPr>
    </w:p>
    <w:p>
      <w:pPr>
        <w:pStyle w:val="21"/>
        <w:spacing w:line="360" w:lineRule="auto"/>
        <w:jc w:val="center"/>
        <w:rPr>
          <w:rFonts w:ascii="Times New Roman" w:hAnsi="Times New Roman" w:cs="Times New Roman"/>
          <w:b w:val="0"/>
          <w:bCs/>
          <w:sz w:val="30"/>
          <w:szCs w:val="30"/>
        </w:rPr>
      </w:pPr>
      <w:r>
        <w:rPr>
          <w:rFonts w:ascii="Times New Roman" w:hAnsi="Times New Roman" w:cs="Times New Roman"/>
          <w:b w:val="0"/>
          <w:bCs/>
          <w:sz w:val="30"/>
          <w:szCs w:val="30"/>
        </w:rPr>
        <w:t>中国建筑工业出版社</w:t>
      </w:r>
    </w:p>
    <w:p>
      <w:pPr>
        <w:pStyle w:val="21"/>
        <w:spacing w:line="360" w:lineRule="auto"/>
        <w:jc w:val="center"/>
        <w:rPr>
          <w:rFonts w:ascii="Times New Roman" w:hAnsi="Times New Roman" w:cs="Times New Roman"/>
          <w:b w:val="0"/>
          <w:bCs/>
          <w:sz w:val="30"/>
          <w:szCs w:val="30"/>
        </w:rPr>
      </w:pPr>
      <w:r>
        <w:rPr>
          <w:rFonts w:ascii="Times New Roman" w:hAnsi="Times New Roman" w:cs="Times New Roman"/>
          <w:b w:val="0"/>
          <w:bCs/>
          <w:sz w:val="30"/>
          <w:szCs w:val="30"/>
        </w:rPr>
        <w:t>20xx 北京</w:t>
      </w:r>
    </w:p>
    <w:p>
      <w:pPr>
        <w:pStyle w:val="39"/>
        <w:spacing w:line="480" w:lineRule="atLeast"/>
        <w:jc w:val="center"/>
        <w:rPr>
          <w:rStyle w:val="46"/>
          <w:rFonts w:ascii="Times New Roman" w:hAnsi="Times New Roman" w:cs="Times New Roman"/>
          <w:b w:val="0"/>
          <w:bCs/>
          <w:color w:val="111111"/>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pStyle w:val="39"/>
        <w:spacing w:line="480" w:lineRule="atLeast"/>
        <w:jc w:val="center"/>
        <w:rPr>
          <w:rFonts w:ascii="Times New Roman" w:hAnsi="Times New Roman" w:cs="Times New Roman"/>
          <w:b w:val="0"/>
          <w:bCs/>
          <w:color w:val="111111"/>
          <w:sz w:val="32"/>
          <w:szCs w:val="32"/>
        </w:rPr>
      </w:pPr>
      <w:r>
        <w:rPr>
          <w:rStyle w:val="46"/>
          <w:rFonts w:ascii="Times New Roman" w:hAnsi="Times New Roman" w:cs="Times New Roman"/>
          <w:b w:val="0"/>
          <w:bCs/>
          <w:color w:val="111111"/>
          <w:sz w:val="32"/>
          <w:szCs w:val="32"/>
        </w:rPr>
        <w:t>前  言</w:t>
      </w:r>
    </w:p>
    <w:p>
      <w:pPr>
        <w:widowControl/>
        <w:spacing w:line="400" w:lineRule="exact"/>
        <w:ind w:firstLine="420" w:firstLineChars="200"/>
        <w:jc w:val="left"/>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根据《住房与城乡建设部标准定额司关于开展&lt;零碳建筑技术标准&gt;编制工作的函》（建司局函标 [2021] 38号）的要求，标准编制组经广泛调查研究，认真总结实践经验，参考有关国外标准，并在广泛征求意见的基础上，编制了本标准。</w:t>
      </w:r>
    </w:p>
    <w:p>
      <w:pPr>
        <w:widowControl/>
        <w:spacing w:line="400" w:lineRule="exact"/>
        <w:ind w:firstLine="420" w:firstLineChars="200"/>
        <w:jc w:val="left"/>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本标准的主要技术内容是：1. 总则；2. 术语；3. 技术指标；4. 建筑降碳设计；5. 区域降碳设计；6. 低碳建造；7. 低碳运行；8. 检测与判定；9. 碳抵消。</w:t>
      </w:r>
    </w:p>
    <w:p>
      <w:pPr>
        <w:widowControl/>
        <w:spacing w:line="400" w:lineRule="exact"/>
        <w:ind w:firstLine="420" w:firstLineChars="200"/>
        <w:jc w:val="left"/>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本标准由住房和城乡建设部负责管理， 由中国建筑科学研究院有限公司负责具体技术内容的解释。执行过程中如有意见和建议，请寄送中国建筑科学研究院有限公司（地址：北京市北三环东路 30 号，邮政编码： 100013）。</w:t>
      </w:r>
      <w:r>
        <w:rPr>
          <w:rFonts w:ascii="Times New Roman" w:hAnsi="Times New Roman" w:eastAsia="宋体" w:cs="Times New Roman"/>
          <w:b w:val="0"/>
          <w:bCs/>
          <w:color w:val="111111"/>
          <w:szCs w:val="21"/>
        </w:rPr>
        <w:br w:type="page"/>
      </w:r>
    </w:p>
    <w:p>
      <w:pPr>
        <w:pStyle w:val="28"/>
        <w:tabs>
          <w:tab w:val="right" w:leader="dot" w:pos="8296"/>
        </w:tabs>
        <w:jc w:val="center"/>
        <w:rPr>
          <w:rStyle w:val="54"/>
          <w:rFonts w:ascii="Times New Roman" w:hAnsi="Times New Roman" w:cs="Times New Roman"/>
          <w:b w:val="0"/>
          <w:bCs/>
          <w:sz w:val="32"/>
          <w:szCs w:val="32"/>
        </w:rPr>
      </w:pPr>
      <w:bookmarkStart w:id="60" w:name="_Toc120736566"/>
      <w:bookmarkStart w:id="61" w:name="_Toc83573381"/>
      <w:bookmarkStart w:id="62" w:name="_Toc121602117"/>
      <w:bookmarkStart w:id="63" w:name="_Toc81474718"/>
      <w:bookmarkStart w:id="64" w:name="_Toc83632339"/>
      <w:bookmarkStart w:id="65" w:name="_Toc120660380"/>
      <w:bookmarkStart w:id="66" w:name="_Toc83626137"/>
      <w:bookmarkStart w:id="67" w:name="_Toc120665332"/>
      <w:bookmarkStart w:id="68" w:name="_Toc83243848"/>
      <w:bookmarkStart w:id="69" w:name="_Toc81483011"/>
      <w:bookmarkStart w:id="70" w:name="_Toc121601832"/>
      <w:bookmarkStart w:id="71" w:name="_Toc121296203"/>
      <w:bookmarkStart w:id="72" w:name="_Toc123131634"/>
      <w:bookmarkStart w:id="73" w:name="_Toc121295340"/>
      <w:bookmarkStart w:id="74" w:name="_Toc121302758"/>
      <w:bookmarkStart w:id="75" w:name="_Toc126397904"/>
      <w:bookmarkStart w:id="76" w:name="_Toc128988403"/>
      <w:bookmarkStart w:id="77" w:name="_Toc128059472"/>
      <w:bookmarkStart w:id="78" w:name="_Toc128337128"/>
      <w:bookmarkStart w:id="79" w:name="_Toc128674950"/>
      <w:r>
        <w:rPr>
          <w:rStyle w:val="54"/>
          <w:rFonts w:ascii="Times New Roman" w:hAnsi="Times New Roman" w:cs="Times New Roman"/>
          <w:b w:val="0"/>
          <w:bCs/>
          <w:sz w:val="32"/>
          <w:szCs w:val="32"/>
        </w:rPr>
        <w:t xml:space="preserve">目  </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Style w:val="54"/>
          <w:rFonts w:ascii="Times New Roman" w:hAnsi="Times New Roman" w:cs="Times New Roman"/>
          <w:b w:val="0"/>
          <w:bCs/>
          <w:sz w:val="32"/>
          <w:szCs w:val="32"/>
        </w:rPr>
        <w:t>次</w:t>
      </w:r>
      <w:bookmarkEnd w:id="75"/>
      <w:bookmarkEnd w:id="76"/>
      <w:bookmarkEnd w:id="77"/>
      <w:bookmarkEnd w:id="78"/>
      <w:bookmarkEnd w:id="79"/>
    </w:p>
    <w:p>
      <w:pPr>
        <w:pStyle w:val="28"/>
        <w:tabs>
          <w:tab w:val="right" w:leader="dot" w:pos="8296"/>
        </w:tabs>
        <w:rPr>
          <w:b w:val="0"/>
          <w:bCs/>
        </w:rPr>
      </w:pPr>
      <w:r>
        <w:rPr>
          <w:rStyle w:val="54"/>
          <w:rFonts w:ascii="Times New Roman" w:hAnsi="Times New Roman" w:eastAsia="宋体" w:cs="Times New Roman"/>
          <w:b w:val="0"/>
          <w:bCs/>
          <w:sz w:val="21"/>
          <w:szCs w:val="32"/>
        </w:rPr>
        <w:fldChar w:fldCharType="begin"/>
      </w:r>
      <w:r>
        <w:rPr>
          <w:rStyle w:val="54"/>
          <w:rFonts w:ascii="Times New Roman" w:hAnsi="Times New Roman" w:eastAsia="宋体" w:cs="Times New Roman"/>
          <w:b w:val="0"/>
          <w:bCs/>
          <w:sz w:val="21"/>
          <w:szCs w:val="32"/>
        </w:rPr>
        <w:instrText xml:space="preserve"> TOC \o "1-2" \h \z \u </w:instrText>
      </w:r>
      <w:r>
        <w:rPr>
          <w:rStyle w:val="54"/>
          <w:rFonts w:ascii="Times New Roman" w:hAnsi="Times New Roman" w:eastAsia="宋体" w:cs="Times New Roman"/>
          <w:b w:val="0"/>
          <w:bCs/>
          <w:sz w:val="21"/>
          <w:szCs w:val="32"/>
        </w:rPr>
        <w:fldChar w:fldCharType="separate"/>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"_Toc128988404" </w:instrText>
      </w:r>
      <w:r>
        <w:rPr>
          <w:rFonts w:ascii="Times New Roman" w:hAnsi="Times New Roman" w:cs="Times New Roman"/>
          <w:b w:val="0"/>
          <w:bCs/>
          <w:sz w:val="24"/>
          <w:szCs w:val="24"/>
        </w:rPr>
        <w:fldChar w:fldCharType="separate"/>
      </w:r>
      <w:r>
        <w:rPr>
          <w:rStyle w:val="51"/>
          <w:rFonts w:ascii="Times New Roman" w:hAnsi="Times New Roman" w:cs="Times New Roman"/>
          <w:b w:val="0"/>
          <w:bCs/>
          <w:kern w:val="44"/>
          <w:sz w:val="24"/>
          <w:szCs w:val="24"/>
        </w:rPr>
        <w:t>1 总 则</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_Toc128988404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"_Toc128988405" </w:instrText>
      </w:r>
      <w:r>
        <w:rPr>
          <w:rFonts w:ascii="Times New Roman" w:hAnsi="Times New Roman" w:cs="Times New Roman"/>
          <w:b w:val="0"/>
          <w:bCs/>
          <w:sz w:val="24"/>
          <w:szCs w:val="24"/>
        </w:rPr>
        <w:fldChar w:fldCharType="separate"/>
      </w:r>
      <w:r>
        <w:rPr>
          <w:rStyle w:val="51"/>
          <w:rFonts w:ascii="Times New Roman" w:hAnsi="Times New Roman" w:cs="Times New Roman"/>
          <w:b w:val="0"/>
          <w:bCs/>
          <w:kern w:val="44"/>
          <w:sz w:val="24"/>
          <w:szCs w:val="24"/>
        </w:rPr>
        <w:t>2 术 语</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_Toc128988405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4</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"_Toc128988406"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3 技术指标</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_Toc128988406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8</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"_Toc128988407"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3.1 室内环境参数</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_Toc128988407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8</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"_Toc128988408"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3.2 建筑碳排放指标</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_Toc128988408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8</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"_Toc128988409"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3.3 区域碳排放指标</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_Toc128988409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10</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"_Toc128988410"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4建筑降碳设计</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_Toc128988410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13</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"_Toc128988411"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4.1 建筑设计</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_Toc128988411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13</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"_Toc128988412"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4.2 围护结构</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_Toc128988412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15</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"_Toc128988413"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4.3 机电设施</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_Toc128988413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17</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"_Toc128988414"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4.4 新型供配电</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_Toc128988414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18</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"_Toc128988415"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4.5 可再生能源利用</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_Toc128988415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19</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"_Toc128988416"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4.6 监测与控制</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_Toc128988416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20</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"_Toc128988417"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5 区域降碳设计</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_Toc128988417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21</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"_Toc128988418"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5.1 规划与设计</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_Toc128988418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21</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"_Toc128988419"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5.2 智慧区域</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_Toc128988419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24</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"_Toc128988420"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6 低碳建造</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_Toc128988420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26</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"_Toc128988421"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6.1 施工管理</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_Toc128988421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26</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"_Toc128988422"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6.2 施工措施</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_Toc128988422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26</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"_Toc128988423"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6.3 拆除与回收</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_Toc128988423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27</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"_Toc128988424"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7 低碳运行</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_Toc128988424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28</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"_Toc128988425"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7.1 一般规定</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_Toc128988425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28</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"_Toc128988426"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7.2 调适和维护</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_Toc128988426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28</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"_Toc128988427"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7.3 低碳运行管理</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_Toc128988427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29</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"_Toc128988428"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7.4 低碳行为</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_Toc128988428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31</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"_Toc128988429"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8 检测与判定</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_Toc128988429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32</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"_Toc128988430"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8.1 一般规定</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_Toc128988430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32</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"_Toc128988431"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8.2 检测与监测</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_Toc128988431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32</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"_Toc128988432"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8.3 核算</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_Toc128988432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32</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35"/>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"_Toc128988433"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8.4 判定</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_Toc128988433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33</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HYPERLINK \l "_Toc128988434" </w:instrText>
      </w:r>
      <w:r>
        <w:rPr>
          <w:rFonts w:ascii="Times New Roman" w:hAnsi="Times New Roman" w:cs="Times New Roman"/>
          <w:b w:val="0"/>
          <w:bCs/>
          <w:sz w:val="24"/>
          <w:szCs w:val="24"/>
        </w:rPr>
        <w:fldChar w:fldCharType="separate"/>
      </w:r>
      <w:r>
        <w:rPr>
          <w:rStyle w:val="51"/>
          <w:rFonts w:ascii="Times New Roman" w:hAnsi="Times New Roman" w:cs="Times New Roman"/>
          <w:b w:val="0"/>
          <w:bCs/>
          <w:sz w:val="24"/>
          <w:szCs w:val="24"/>
        </w:rPr>
        <w:t>9 碳抵消</w:t>
      </w:r>
      <w:r>
        <w:rPr>
          <w:rFonts w:ascii="Times New Roman" w:hAnsi="Times New Roman" w:cs="Times New Roman"/>
          <w:b w:val="0"/>
          <w:bCs/>
          <w:sz w:val="24"/>
          <w:szCs w:val="24"/>
        </w:rPr>
        <w:tab/>
      </w:r>
      <w:r>
        <w:rPr>
          <w:rFonts w:ascii="Times New Roman" w:hAnsi="Times New Roman" w:cs="Times New Roman"/>
          <w:b w:val="0"/>
          <w:bCs/>
          <w:sz w:val="24"/>
          <w:szCs w:val="24"/>
        </w:rPr>
        <w:fldChar w:fldCharType="begin"/>
      </w:r>
      <w:r>
        <w:rPr>
          <w:rFonts w:ascii="Times New Roman" w:hAnsi="Times New Roman" w:cs="Times New Roman"/>
          <w:b w:val="0"/>
          <w:bCs/>
          <w:sz w:val="24"/>
          <w:szCs w:val="24"/>
        </w:rPr>
        <w:instrText xml:space="preserve"> PAGEREF _Toc128988434 \h </w:instrText>
      </w:r>
      <w:r>
        <w:rPr>
          <w:rFonts w:ascii="Times New Roman" w:hAnsi="Times New Roman" w:cs="Times New Roman"/>
          <w:b w:val="0"/>
          <w:bCs/>
          <w:sz w:val="24"/>
          <w:szCs w:val="24"/>
        </w:rPr>
        <w:fldChar w:fldCharType="separate"/>
      </w:r>
      <w:r>
        <w:rPr>
          <w:rFonts w:ascii="Times New Roman" w:hAnsi="Times New Roman" w:cs="Times New Roman"/>
          <w:b w:val="0"/>
          <w:bCs/>
          <w:sz w:val="24"/>
          <w:szCs w:val="24"/>
        </w:rPr>
        <w:t>35</w:t>
      </w:r>
      <w:r>
        <w:rPr>
          <w:rFonts w:ascii="Times New Roman" w:hAnsi="Times New Roman" w:cs="Times New Roman"/>
          <w:b w:val="0"/>
          <w:bCs/>
          <w:sz w:val="24"/>
          <w:szCs w:val="24"/>
        </w:rPr>
        <w:fldChar w:fldCharType="end"/>
      </w:r>
      <w:r>
        <w:rPr>
          <w:rFonts w:ascii="Times New Roman" w:hAnsi="Times New Roman" w:cs="Times New Roman"/>
          <w:b w:val="0"/>
          <w:bCs/>
          <w:sz w:val="24"/>
          <w:szCs w:val="24"/>
        </w:rPr>
        <w:fldChar w:fldCharType="end"/>
      </w:r>
    </w:p>
    <w:p>
      <w:pPr>
        <w:pStyle w:val="28"/>
        <w:tabs>
          <w:tab w:val="right" w:leader="dot" w:pos="8296"/>
        </w:tabs>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"_Toc128988435" </w:instrText>
      </w:r>
      <w:r>
        <w:rPr>
          <w:rFonts w:hint="default" w:ascii="Times New Roman" w:hAnsi="Times New Roman" w:eastAsia="宋体" w:cs="Times New Roman"/>
          <w:b w:val="0"/>
          <w:bCs/>
          <w:sz w:val="24"/>
          <w:szCs w:val="24"/>
        </w:rPr>
        <w:fldChar w:fldCharType="separate"/>
      </w:r>
      <w:r>
        <w:rPr>
          <w:rStyle w:val="51"/>
          <w:rFonts w:hint="default" w:ascii="Times New Roman" w:hAnsi="Times New Roman" w:eastAsia="宋体" w:cs="Times New Roman"/>
          <w:b w:val="0"/>
          <w:bCs/>
          <w:kern w:val="0"/>
          <w:sz w:val="24"/>
          <w:szCs w:val="24"/>
        </w:rPr>
        <w:t>附录A建筑碳排放指标计算</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_Toc128988435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36</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pPr>
        <w:pStyle w:val="28"/>
        <w:tabs>
          <w:tab w:val="right" w:leader="dot" w:pos="8296"/>
        </w:tabs>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"_Toc128988436" </w:instrText>
      </w:r>
      <w:r>
        <w:rPr>
          <w:rFonts w:hint="default" w:ascii="Times New Roman" w:hAnsi="Times New Roman" w:eastAsia="宋体" w:cs="Times New Roman"/>
          <w:b w:val="0"/>
          <w:bCs/>
          <w:sz w:val="24"/>
          <w:szCs w:val="24"/>
        </w:rPr>
        <w:fldChar w:fldCharType="separate"/>
      </w:r>
      <w:r>
        <w:rPr>
          <w:rStyle w:val="51"/>
          <w:rFonts w:hint="default" w:ascii="Times New Roman" w:hAnsi="Times New Roman" w:eastAsia="宋体" w:cs="Times New Roman"/>
          <w:b w:val="0"/>
          <w:bCs/>
          <w:kern w:val="0"/>
          <w:sz w:val="24"/>
          <w:szCs w:val="24"/>
        </w:rPr>
        <w:t>附录B建筑碳排放指标计算报告书</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_Toc128988436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38</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pPr>
        <w:pStyle w:val="28"/>
        <w:tabs>
          <w:tab w:val="right" w:leader="dot" w:pos="8296"/>
        </w:tabs>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"_Toc128988437" </w:instrText>
      </w:r>
      <w:r>
        <w:rPr>
          <w:rFonts w:hint="default" w:ascii="Times New Roman" w:hAnsi="Times New Roman" w:eastAsia="宋体" w:cs="Times New Roman"/>
          <w:b w:val="0"/>
          <w:bCs/>
          <w:sz w:val="24"/>
          <w:szCs w:val="24"/>
        </w:rPr>
        <w:fldChar w:fldCharType="separate"/>
      </w:r>
      <w:r>
        <w:rPr>
          <w:rStyle w:val="51"/>
          <w:rFonts w:hint="default" w:ascii="Times New Roman" w:hAnsi="Times New Roman" w:eastAsia="宋体" w:cs="Times New Roman"/>
          <w:b w:val="0"/>
          <w:bCs/>
          <w:kern w:val="0"/>
          <w:sz w:val="24"/>
          <w:szCs w:val="24"/>
        </w:rPr>
        <w:t>附录C区域碳排放指标计算</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_Toc128988437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44</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pPr>
        <w:pStyle w:val="28"/>
        <w:tabs>
          <w:tab w:val="right" w:leader="dot" w:pos="8296"/>
        </w:tabs>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"_Toc128988438" </w:instrText>
      </w:r>
      <w:r>
        <w:rPr>
          <w:rFonts w:hint="default" w:ascii="Times New Roman" w:hAnsi="Times New Roman" w:eastAsia="宋体" w:cs="Times New Roman"/>
          <w:b w:val="0"/>
          <w:bCs/>
          <w:sz w:val="24"/>
          <w:szCs w:val="24"/>
        </w:rPr>
        <w:fldChar w:fldCharType="separate"/>
      </w:r>
      <w:r>
        <w:rPr>
          <w:rStyle w:val="51"/>
          <w:rFonts w:hint="default" w:ascii="Times New Roman" w:hAnsi="Times New Roman" w:eastAsia="宋体" w:cs="Times New Roman"/>
          <w:b w:val="0"/>
          <w:bCs/>
          <w:kern w:val="0"/>
          <w:sz w:val="24"/>
          <w:szCs w:val="24"/>
        </w:rPr>
        <w:t>附录D区域碳排放指标计算报告书</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_Toc128988438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48</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pPr>
        <w:pStyle w:val="28"/>
        <w:tabs>
          <w:tab w:val="right" w:leader="dot" w:pos="8296"/>
        </w:tabs>
        <w:rPr>
          <w:rFonts w:ascii="Times New Roman" w:hAnsi="Times New Roman" w:cs="Times New Roman"/>
          <w:b w:val="0"/>
          <w:bCs/>
          <w:sz w:val="24"/>
          <w:szCs w:val="24"/>
        </w:rPr>
      </w:pP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HYPERLINK \l "_Toc128988439" </w:instrText>
      </w:r>
      <w:r>
        <w:rPr>
          <w:rFonts w:hint="default" w:ascii="Times New Roman" w:hAnsi="Times New Roman" w:eastAsia="宋体" w:cs="Times New Roman"/>
          <w:b w:val="0"/>
          <w:bCs/>
          <w:sz w:val="24"/>
          <w:szCs w:val="24"/>
        </w:rPr>
        <w:fldChar w:fldCharType="separate"/>
      </w:r>
      <w:r>
        <w:rPr>
          <w:rStyle w:val="51"/>
          <w:rFonts w:hint="default" w:ascii="Times New Roman" w:hAnsi="Times New Roman" w:eastAsia="宋体" w:cs="Times New Roman"/>
          <w:b w:val="0"/>
          <w:bCs/>
          <w:kern w:val="0"/>
          <w:sz w:val="24"/>
          <w:szCs w:val="24"/>
        </w:rPr>
        <w:t>引用标准名录</w:t>
      </w:r>
      <w:r>
        <w:rPr>
          <w:rFonts w:hint="default" w:ascii="Times New Roman" w:hAnsi="Times New Roman" w:eastAsia="宋体" w:cs="Times New Roman"/>
          <w:b w:val="0"/>
          <w:bCs/>
          <w:sz w:val="24"/>
          <w:szCs w:val="24"/>
        </w:rPr>
        <w:tab/>
      </w:r>
      <w:r>
        <w:rPr>
          <w:rFonts w:hint="default" w:ascii="Times New Roman" w:hAnsi="Times New Roman" w:eastAsia="宋体" w:cs="Times New Roman"/>
          <w:b w:val="0"/>
          <w:bCs/>
          <w:sz w:val="24"/>
          <w:szCs w:val="24"/>
        </w:rPr>
        <w:fldChar w:fldCharType="begin"/>
      </w:r>
      <w:r>
        <w:rPr>
          <w:rFonts w:hint="default" w:ascii="Times New Roman" w:hAnsi="Times New Roman" w:eastAsia="宋体" w:cs="Times New Roman"/>
          <w:b w:val="0"/>
          <w:bCs/>
          <w:sz w:val="24"/>
          <w:szCs w:val="24"/>
        </w:rPr>
        <w:instrText xml:space="preserve"> PAGEREF _Toc128988439 \h </w:instrText>
      </w:r>
      <w:r>
        <w:rPr>
          <w:rFonts w:hint="default" w:ascii="Times New Roman" w:hAnsi="Times New Roman" w:eastAsia="宋体" w:cs="Times New Roman"/>
          <w:b w:val="0"/>
          <w:bCs/>
          <w:sz w:val="24"/>
          <w:szCs w:val="24"/>
        </w:rPr>
        <w:fldChar w:fldCharType="separate"/>
      </w:r>
      <w:r>
        <w:rPr>
          <w:rFonts w:hint="default" w:ascii="Times New Roman" w:hAnsi="Times New Roman" w:eastAsia="宋体" w:cs="Times New Roman"/>
          <w:b w:val="0"/>
          <w:bCs/>
          <w:sz w:val="24"/>
          <w:szCs w:val="24"/>
        </w:rPr>
        <w:t>53</w:t>
      </w:r>
      <w:r>
        <w:rPr>
          <w:rFonts w:hint="default" w:ascii="Times New Roman" w:hAnsi="Times New Roman" w:eastAsia="宋体" w:cs="Times New Roman"/>
          <w:b w:val="0"/>
          <w:bCs/>
          <w:sz w:val="24"/>
          <w:szCs w:val="24"/>
        </w:rPr>
        <w:fldChar w:fldCharType="end"/>
      </w:r>
      <w:r>
        <w:rPr>
          <w:rFonts w:hint="default" w:ascii="Times New Roman" w:hAnsi="Times New Roman" w:eastAsia="宋体" w:cs="Times New Roman"/>
          <w:b w:val="0"/>
          <w:bCs/>
          <w:sz w:val="24"/>
          <w:szCs w:val="24"/>
        </w:rPr>
        <w:fldChar w:fldCharType="end"/>
      </w:r>
    </w:p>
    <w:p>
      <w:pPr>
        <w:spacing w:line="288" w:lineRule="auto"/>
        <w:rPr>
          <w:rStyle w:val="54"/>
          <w:rFonts w:ascii="Times New Roman" w:hAnsi="Times New Roman" w:eastAsia="宋体" w:cs="Times New Roman"/>
          <w:b w:val="0"/>
          <w:bCs/>
          <w:sz w:val="21"/>
          <w:szCs w:val="32"/>
        </w:rPr>
        <w:sectPr>
          <w:pgSz w:w="11906" w:h="16838"/>
          <w:pgMar w:top="1440" w:right="1800" w:bottom="1440" w:left="1800" w:header="851" w:footer="992" w:gutter="0"/>
          <w:pgNumType w:start="1"/>
          <w:cols w:space="425" w:num="1"/>
          <w:docGrid w:type="lines" w:linePitch="312" w:charSpace="0"/>
        </w:sectPr>
      </w:pPr>
      <w:r>
        <w:rPr>
          <w:rStyle w:val="54"/>
          <w:rFonts w:ascii="Times New Roman" w:hAnsi="Times New Roman" w:eastAsia="宋体" w:cs="Times New Roman"/>
          <w:b w:val="0"/>
          <w:bCs/>
          <w:sz w:val="21"/>
          <w:szCs w:val="32"/>
        </w:rPr>
        <w:fldChar w:fldCharType="end"/>
      </w:r>
    </w:p>
    <w:p>
      <w:pPr>
        <w:pStyle w:val="40"/>
        <w:rPr>
          <w:rFonts w:ascii="Times New Roman" w:hAnsi="Times New Roman" w:cs="Times New Roman"/>
          <w:b w:val="0"/>
          <w:bCs/>
        </w:rPr>
      </w:pPr>
      <w:bookmarkStart w:id="80" w:name="_Toc128988404"/>
      <w:r>
        <w:rPr>
          <w:rStyle w:val="54"/>
          <w:rFonts w:ascii="Times New Roman" w:hAnsi="Times New Roman" w:cs="Times New Roman"/>
          <w:b w:val="0"/>
          <w:bCs/>
          <w:sz w:val="32"/>
          <w:szCs w:val="32"/>
        </w:rPr>
        <w:t>1 总 则</w:t>
      </w:r>
      <w:bookmarkEnd w:id="80"/>
    </w:p>
    <w:p>
      <w:pPr>
        <w:pStyle w:val="4"/>
        <w:rPr>
          <w:rFonts w:cs="Times New Roman"/>
          <w:b w:val="0"/>
          <w:bCs/>
        </w:rPr>
      </w:pPr>
      <w:r>
        <w:rPr>
          <w:rFonts w:cs="Times New Roman"/>
          <w:b w:val="0"/>
          <w:bCs/>
        </w:rPr>
        <w:t>1.0.1 为实现国家2030年前碳达峰、2060年前碳中和目标，降低建筑用能需求，提高能源利用效率，营造健康舒适的建筑室内环境，发展可再生能源和零碳能源建筑应用，引导建筑和以建筑为主要碳排放的区域逐步实现低碳、近零碳、零碳排放，制定本标准。</w:t>
      </w:r>
    </w:p>
    <w:p>
      <w:pPr>
        <w:pStyle w:val="4"/>
        <w:rPr>
          <w:rFonts w:cs="Times New Roman"/>
          <w:b w:val="0"/>
          <w:bCs/>
        </w:rPr>
      </w:pPr>
      <w:r>
        <w:rPr>
          <w:rFonts w:cs="Times New Roman"/>
          <w:b w:val="0"/>
          <w:bCs/>
        </w:rPr>
        <w:t>1.0.2 本标准适用于新建与既有改造的低碳、近零碳、零碳建筑与区域的设计、建造、运行和判定。</w:t>
      </w:r>
    </w:p>
    <w:p>
      <w:pPr>
        <w:pStyle w:val="4"/>
        <w:rPr>
          <w:rFonts w:cs="Times New Roman"/>
          <w:b w:val="0"/>
          <w:bCs/>
        </w:rPr>
      </w:pPr>
      <w:r>
        <w:rPr>
          <w:rFonts w:cs="Times New Roman"/>
          <w:b w:val="0"/>
          <w:bCs/>
        </w:rPr>
        <w:t>1.0.3 低碳、近零碳、零碳建筑与区域的设计、建造、运行除应符合本标准规定外，尚应符合国家现行有关标准的规定。</w:t>
      </w:r>
    </w:p>
    <w:p>
      <w:pPr>
        <w:widowControl/>
        <w:jc w:val="left"/>
        <w:rPr>
          <w:rFonts w:ascii="Times New Roman" w:hAnsi="Times New Roman" w:eastAsia="楷体" w:cs="Times New Roman"/>
          <w:b w:val="0"/>
          <w:bCs/>
          <w:color w:val="111111"/>
          <w:szCs w:val="21"/>
        </w:rPr>
      </w:pPr>
      <w:r>
        <w:rPr>
          <w:rFonts w:ascii="Times New Roman" w:hAnsi="Times New Roman" w:eastAsia="楷体" w:cs="Times New Roman"/>
          <w:b w:val="0"/>
          <w:bCs/>
          <w:color w:val="111111"/>
          <w:szCs w:val="21"/>
        </w:rPr>
        <w:br w:type="page"/>
      </w:r>
    </w:p>
    <w:p>
      <w:pPr>
        <w:pStyle w:val="40"/>
        <w:rPr>
          <w:rStyle w:val="54"/>
          <w:rFonts w:ascii="Times New Roman" w:hAnsi="Times New Roman" w:cs="Times New Roman"/>
          <w:b w:val="0"/>
          <w:bCs/>
          <w:sz w:val="32"/>
          <w:szCs w:val="32"/>
        </w:rPr>
      </w:pPr>
      <w:bookmarkStart w:id="81" w:name="_Toc128988405"/>
      <w:r>
        <w:rPr>
          <w:rStyle w:val="54"/>
          <w:rFonts w:ascii="Times New Roman" w:hAnsi="Times New Roman" w:cs="Times New Roman"/>
          <w:b w:val="0"/>
          <w:bCs/>
          <w:sz w:val="32"/>
          <w:szCs w:val="32"/>
        </w:rPr>
        <w:t>2 术 语</w:t>
      </w:r>
      <w:bookmarkEnd w:id="81"/>
    </w:p>
    <w:p>
      <w:pPr>
        <w:pStyle w:val="4"/>
        <w:rPr>
          <w:rFonts w:cs="Times New Roman"/>
          <w:b w:val="0"/>
          <w:bCs/>
        </w:rPr>
      </w:pPr>
      <w:r>
        <w:rPr>
          <w:rFonts w:cs="Times New Roman"/>
          <w:b w:val="0"/>
          <w:bCs/>
        </w:rPr>
        <w:t>2.0.1 低碳建筑 low carbon building</w:t>
      </w:r>
    </w:p>
    <w:p>
      <w:pPr>
        <w:spacing w:after="260" w:line="400" w:lineRule="exact"/>
        <w:ind w:firstLine="420" w:firstLineChars="20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适应气候特征与场地条件，在满足室内环境参数的基础上，通过优化建筑设计降低建筑用能需求，提高能源设备与系统效率，充分利用可再生能源和建筑蓄能，符合本标准第3.2.1、3.2.2条规定的建筑。</w:t>
      </w:r>
    </w:p>
    <w:p>
      <w:pPr>
        <w:rPr>
          <w:rFonts w:ascii="Times New Roman" w:hAnsi="Times New Roman" w:cs="Times New Roman"/>
          <w:b w:val="0"/>
          <w:bCs/>
        </w:rPr>
      </w:pPr>
    </w:p>
    <w:p>
      <w:pPr>
        <w:pStyle w:val="4"/>
        <w:rPr>
          <w:rFonts w:cs="Times New Roman"/>
          <w:b w:val="0"/>
          <w:bCs/>
        </w:rPr>
      </w:pPr>
      <w:r>
        <w:rPr>
          <w:rFonts w:cs="Times New Roman"/>
          <w:b w:val="0"/>
          <w:bCs/>
        </w:rPr>
        <w:t>2.0.2 近零碳建筑 nearly zero carbon building</w:t>
      </w:r>
    </w:p>
    <w:p>
      <w:pPr>
        <w:spacing w:after="260" w:line="400" w:lineRule="exact"/>
        <w:ind w:firstLine="420" w:firstLineChars="20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适应气候特征与场地条件，在满足室内环境参数的基础上，通过优化建筑设计降低建筑用能需求，提高能源设备与系统效率，充分利用可再生能源和建筑蓄能，符合本标准第3.2.3、3.2.4条</w:t>
      </w:r>
      <w:r>
        <w:rPr>
          <w:rFonts w:hint="eastAsia" w:ascii="Times New Roman" w:hAnsi="Times New Roman" w:eastAsia="宋体" w:cs="Times New Roman"/>
          <w:b w:val="0"/>
          <w:bCs/>
          <w:color w:val="111111"/>
          <w:szCs w:val="21"/>
        </w:rPr>
        <w:t>或8</w:t>
      </w:r>
      <w:r>
        <w:rPr>
          <w:rFonts w:ascii="Times New Roman" w:hAnsi="Times New Roman" w:eastAsia="宋体" w:cs="Times New Roman"/>
          <w:b w:val="0"/>
          <w:bCs/>
          <w:color w:val="111111"/>
          <w:szCs w:val="21"/>
        </w:rPr>
        <w:t>.4.6</w:t>
      </w:r>
      <w:r>
        <w:rPr>
          <w:rFonts w:hint="eastAsia" w:ascii="Times New Roman" w:hAnsi="Times New Roman" w:eastAsia="宋体" w:cs="Times New Roman"/>
          <w:b w:val="0"/>
          <w:bCs/>
          <w:color w:val="111111"/>
          <w:szCs w:val="21"/>
        </w:rPr>
        <w:t>条</w:t>
      </w:r>
      <w:r>
        <w:rPr>
          <w:rFonts w:ascii="Times New Roman" w:hAnsi="Times New Roman" w:eastAsia="宋体" w:cs="Times New Roman"/>
          <w:b w:val="0"/>
          <w:bCs/>
          <w:color w:val="111111"/>
          <w:szCs w:val="21"/>
        </w:rPr>
        <w:t>规定的建筑。</w:t>
      </w:r>
    </w:p>
    <w:p>
      <w:pPr>
        <w:rPr>
          <w:rFonts w:ascii="Times New Roman" w:hAnsi="Times New Roman" w:cs="Times New Roman"/>
          <w:b w:val="0"/>
          <w:bCs/>
        </w:rPr>
      </w:pPr>
    </w:p>
    <w:p>
      <w:pPr>
        <w:pStyle w:val="4"/>
        <w:rPr>
          <w:rFonts w:cs="Times New Roman"/>
          <w:b w:val="0"/>
          <w:bCs/>
        </w:rPr>
      </w:pPr>
      <w:r>
        <w:rPr>
          <w:rFonts w:cs="Times New Roman"/>
          <w:b w:val="0"/>
          <w:bCs/>
        </w:rPr>
        <w:t>2.0.3 零碳建筑 zero carbon building</w:t>
      </w:r>
    </w:p>
    <w:p>
      <w:pPr>
        <w:spacing w:after="260" w:line="400" w:lineRule="exact"/>
        <w:ind w:firstLine="420" w:firstLineChars="200"/>
        <w:rPr>
          <w:rFonts w:ascii="Times New Roman" w:hAnsi="Times New Roman" w:eastAsia="宋体" w:cs="Times New Roman"/>
          <w:b w:val="0"/>
          <w:bCs/>
          <w:szCs w:val="21"/>
        </w:rPr>
      </w:pPr>
      <w:bookmarkStart w:id="82" w:name="_Hlk116808023"/>
      <w:r>
        <w:rPr>
          <w:rFonts w:ascii="Times New Roman" w:hAnsi="Times New Roman" w:eastAsia="宋体" w:cs="Times New Roman"/>
          <w:b w:val="0"/>
          <w:bCs/>
          <w:color w:val="111111"/>
          <w:szCs w:val="21"/>
        </w:rPr>
        <w:t>适应气候特征与场地条件，在满足室内环境参数的基础上，通过优化建筑设计降低建筑用能需求，提高能源设备与系统效率，充分利用可再生能源和建筑蓄能，</w:t>
      </w:r>
      <w:r>
        <w:rPr>
          <w:rFonts w:ascii="Times New Roman" w:hAnsi="Times New Roman" w:eastAsia="宋体" w:cs="Times New Roman"/>
          <w:b w:val="0"/>
          <w:bCs/>
          <w:szCs w:val="21"/>
        </w:rPr>
        <w:t>在实现近零碳建筑基础上，可结合碳排放权交易和绿色电力交易</w:t>
      </w:r>
      <w:bookmarkEnd w:id="82"/>
      <w:r>
        <w:rPr>
          <w:rFonts w:ascii="Times New Roman" w:hAnsi="Times New Roman" w:eastAsia="宋体" w:cs="Times New Roman"/>
          <w:b w:val="0"/>
          <w:bCs/>
          <w:szCs w:val="21"/>
        </w:rPr>
        <w:t>等碳抵消方式，</w:t>
      </w:r>
      <w:r>
        <w:rPr>
          <w:rFonts w:hint="eastAsia" w:ascii="Times New Roman" w:hAnsi="Times New Roman" w:eastAsia="宋体" w:cs="Times New Roman"/>
          <w:b w:val="0"/>
          <w:bCs/>
          <w:szCs w:val="21"/>
        </w:rPr>
        <w:t>符合</w:t>
      </w:r>
      <w:r>
        <w:rPr>
          <w:rFonts w:ascii="Times New Roman" w:hAnsi="Times New Roman" w:eastAsia="宋体" w:cs="Times New Roman"/>
          <w:b w:val="0"/>
          <w:bCs/>
          <w:color w:val="111111"/>
          <w:szCs w:val="21"/>
        </w:rPr>
        <w:t>本标准第3.2.5</w:t>
      </w:r>
      <w:r>
        <w:rPr>
          <w:rFonts w:hint="eastAsia" w:ascii="Times New Roman" w:hAnsi="Times New Roman" w:eastAsia="宋体" w:cs="Times New Roman"/>
          <w:b w:val="0"/>
          <w:bCs/>
          <w:color w:val="111111"/>
          <w:szCs w:val="21"/>
        </w:rPr>
        <w:t>条或8</w:t>
      </w:r>
      <w:r>
        <w:rPr>
          <w:rFonts w:ascii="Times New Roman" w:hAnsi="Times New Roman" w:eastAsia="宋体" w:cs="Times New Roman"/>
          <w:b w:val="0"/>
          <w:bCs/>
          <w:color w:val="111111"/>
          <w:szCs w:val="21"/>
        </w:rPr>
        <w:t>.4.7</w:t>
      </w:r>
      <w:r>
        <w:rPr>
          <w:rFonts w:hint="eastAsia" w:ascii="Times New Roman" w:hAnsi="Times New Roman" w:eastAsia="宋体" w:cs="Times New Roman"/>
          <w:b w:val="0"/>
          <w:bCs/>
          <w:color w:val="111111"/>
          <w:szCs w:val="21"/>
        </w:rPr>
        <w:t>条规定的建筑</w:t>
      </w:r>
      <w:r>
        <w:rPr>
          <w:rFonts w:ascii="Times New Roman" w:hAnsi="Times New Roman" w:eastAsia="宋体" w:cs="Times New Roman"/>
          <w:b w:val="0"/>
          <w:bCs/>
          <w:szCs w:val="21"/>
        </w:rPr>
        <w:t>。</w:t>
      </w:r>
    </w:p>
    <w:p>
      <w:pPr>
        <w:spacing w:line="400" w:lineRule="exact"/>
        <w:rPr>
          <w:rFonts w:ascii="Times New Roman" w:hAnsi="Times New Roman" w:eastAsia="楷体" w:cs="Times New Roman"/>
          <w:b w:val="0"/>
          <w:bCs/>
          <w:color w:val="111111"/>
          <w:szCs w:val="21"/>
        </w:rPr>
      </w:pPr>
    </w:p>
    <w:p>
      <w:pPr>
        <w:pStyle w:val="4"/>
        <w:rPr>
          <w:rFonts w:cs="Times New Roman"/>
          <w:b w:val="0"/>
          <w:bCs/>
        </w:rPr>
      </w:pPr>
      <w:r>
        <w:rPr>
          <w:rFonts w:cs="Times New Roman"/>
          <w:b w:val="0"/>
          <w:bCs/>
        </w:rPr>
        <w:t xml:space="preserve">2.0.4 </w:t>
      </w:r>
      <w:r>
        <w:rPr>
          <w:rFonts w:hint="eastAsia" w:cs="Times New Roman"/>
          <w:b w:val="0"/>
          <w:bCs/>
        </w:rPr>
        <w:t>全过程零碳建筑</w:t>
      </w:r>
      <w:r>
        <w:rPr>
          <w:rFonts w:cs="Times New Roman"/>
          <w:b w:val="0"/>
          <w:bCs/>
        </w:rPr>
        <w:t xml:space="preserve"> whole process zero carbon building</w:t>
      </w:r>
    </w:p>
    <w:p>
      <w:pPr>
        <w:spacing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在满足零碳建筑技术指标的基础上，通过采用低碳建材、低碳结构形式和材料减量化设计，可结合碳排放权交易和绿色电力交易等碳抵消方式，</w:t>
      </w:r>
      <w:r>
        <w:rPr>
          <w:rFonts w:hint="eastAsia" w:ascii="Times New Roman" w:hAnsi="Times New Roman" w:eastAsia="宋体" w:cs="Times New Roman"/>
          <w:b w:val="0"/>
          <w:bCs/>
          <w:szCs w:val="21"/>
        </w:rPr>
        <w:t>建筑建材、建造和运行全过程的总碳排放量不大于零的建筑。</w:t>
      </w:r>
    </w:p>
    <w:p>
      <w:pPr>
        <w:spacing w:line="400" w:lineRule="exact"/>
        <w:ind w:firstLine="420" w:firstLineChars="200"/>
        <w:rPr>
          <w:rFonts w:ascii="Times New Roman" w:hAnsi="Times New Roman" w:eastAsia="楷体" w:cs="Times New Roman"/>
          <w:b w:val="0"/>
          <w:bCs/>
          <w:color w:val="111111"/>
          <w:szCs w:val="21"/>
        </w:rPr>
      </w:pPr>
    </w:p>
    <w:p>
      <w:pPr>
        <w:pStyle w:val="4"/>
        <w:rPr>
          <w:rFonts w:cs="Times New Roman"/>
          <w:b w:val="0"/>
          <w:bCs/>
        </w:rPr>
      </w:pPr>
      <w:r>
        <w:rPr>
          <w:rFonts w:cs="Times New Roman"/>
          <w:b w:val="0"/>
          <w:bCs/>
        </w:rPr>
        <w:t xml:space="preserve">2.0.5 基准建筑 reference building </w:t>
      </w:r>
    </w:p>
    <w:p>
      <w:pPr>
        <w:spacing w:line="360" w:lineRule="auto"/>
        <w:ind w:firstLine="480"/>
        <w:rPr>
          <w:rFonts w:ascii="Times New Roman" w:hAnsi="Times New Roman" w:cs="Times New Roman"/>
          <w:b w:val="0"/>
          <w:bCs/>
        </w:rPr>
      </w:pPr>
      <w:r>
        <w:rPr>
          <w:rFonts w:ascii="Times New Roman" w:hAnsi="Times New Roman" w:cs="Times New Roman"/>
          <w:b w:val="0"/>
          <w:bCs/>
        </w:rPr>
        <w:t>用于计算建筑降碳率的标准比对建筑。</w:t>
      </w:r>
    </w:p>
    <w:p>
      <w:pPr>
        <w:spacing w:before="312" w:beforeLines="10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2.0.6 区域district</w:t>
      </w:r>
    </w:p>
    <w:p>
      <w:pPr>
        <w:spacing w:before="312" w:beforeLines="10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以居住、办公、医疗、商业、教学等功能为主且具有清晰物理边界的地理范围。</w:t>
      </w:r>
    </w:p>
    <w:p>
      <w:pPr>
        <w:spacing w:before="312" w:beforeLines="10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2.0.7 低碳区域 low carbon district</w:t>
      </w:r>
    </w:p>
    <w:p>
      <w:pPr>
        <w:spacing w:before="312" w:beforeLines="10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综合考虑区域内的建筑及周边环境、能源结构、市政基础设施、交通等因素，优化区域规划设计和运行管理，统筹降低区域用能需求，充分利用区域内的可再生能源、蓄能、碳汇，</w:t>
      </w:r>
      <w:r>
        <w:rPr>
          <w:rFonts w:ascii="Times New Roman" w:hAnsi="Times New Roman" w:eastAsia="宋体" w:cs="Times New Roman"/>
          <w:b w:val="0"/>
          <w:bCs/>
          <w:color w:val="111111"/>
          <w:szCs w:val="21"/>
        </w:rPr>
        <w:t>实现年运行碳排放符合本标准第3.3.1条规定的区域。</w:t>
      </w:r>
    </w:p>
    <w:p>
      <w:pPr>
        <w:spacing w:after="260" w:line="400" w:lineRule="exact"/>
        <w:rPr>
          <w:rFonts w:ascii="Times New Roman" w:hAnsi="Times New Roman" w:eastAsia="楷体" w:cs="Times New Roman"/>
          <w:b w:val="0"/>
          <w:bCs/>
          <w:szCs w:val="21"/>
        </w:rPr>
      </w:pPr>
    </w:p>
    <w:p>
      <w:pPr>
        <w:pStyle w:val="4"/>
        <w:rPr>
          <w:rFonts w:cs="Times New Roman"/>
          <w:b w:val="0"/>
          <w:bCs/>
        </w:rPr>
      </w:pPr>
      <w:r>
        <w:rPr>
          <w:rFonts w:cs="Times New Roman"/>
          <w:b w:val="0"/>
          <w:bCs/>
        </w:rPr>
        <w:t xml:space="preserve">2.0.8 近零碳区域 nearly zero carbon </w:t>
      </w:r>
      <w:r>
        <w:rPr>
          <w:rFonts w:eastAsia="宋体" w:cs="Times New Roman"/>
          <w:b w:val="0"/>
          <w:bCs/>
          <w:szCs w:val="21"/>
        </w:rPr>
        <w:t>district</w:t>
      </w:r>
    </w:p>
    <w:p>
      <w:pPr>
        <w:spacing w:after="260" w:line="400" w:lineRule="exact"/>
        <w:ind w:firstLine="420" w:firstLineChars="200"/>
        <w:rPr>
          <w:rFonts w:ascii="Times New Roman" w:hAnsi="Times New Roman" w:eastAsia="楷体" w:cs="Times New Roman"/>
          <w:b w:val="0"/>
          <w:bCs/>
          <w:color w:val="111111"/>
          <w:szCs w:val="21"/>
        </w:rPr>
      </w:pPr>
      <w:r>
        <w:rPr>
          <w:rFonts w:ascii="Times New Roman" w:hAnsi="Times New Roman" w:eastAsia="宋体" w:cs="Times New Roman"/>
          <w:b w:val="0"/>
          <w:bCs/>
          <w:szCs w:val="21"/>
        </w:rPr>
        <w:t>综合考虑区域内的建筑及周边环境、能源结构、市政基础设施、交通等因素，优化区域规划设计和运行管理，统筹降低区域用能需求，充分利用区域内的可再生能源、蓄能、碳汇，</w:t>
      </w:r>
      <w:r>
        <w:rPr>
          <w:rFonts w:ascii="Times New Roman" w:hAnsi="Times New Roman" w:eastAsia="宋体" w:cs="Times New Roman"/>
          <w:b w:val="0"/>
          <w:bCs/>
          <w:color w:val="111111"/>
          <w:szCs w:val="21"/>
        </w:rPr>
        <w:t>实现年运行碳排放符合本标准第3.3.2条规定的区域。</w:t>
      </w:r>
    </w:p>
    <w:p>
      <w:pPr>
        <w:spacing w:before="312" w:beforeLines="10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2.0.9 零碳区域 zero carbon district</w:t>
      </w:r>
    </w:p>
    <w:p>
      <w:pPr>
        <w:spacing w:before="312" w:beforeLines="100" w:line="400" w:lineRule="exact"/>
        <w:ind w:firstLine="420" w:firstLineChars="200"/>
        <w:rPr>
          <w:rFonts w:ascii="Times New Roman" w:hAnsi="Times New Roman" w:eastAsia="宋体" w:cs="Times New Roman"/>
          <w:b w:val="0"/>
          <w:bCs/>
          <w:szCs w:val="21"/>
        </w:rPr>
      </w:pPr>
      <w:bookmarkStart w:id="83" w:name="_Hlk121125846"/>
      <w:r>
        <w:rPr>
          <w:rFonts w:ascii="Times New Roman" w:hAnsi="Times New Roman" w:eastAsia="宋体" w:cs="Times New Roman"/>
          <w:b w:val="0"/>
          <w:bCs/>
          <w:szCs w:val="21"/>
        </w:rPr>
        <w:t>综合考虑区域内的建筑及周边环境、能源结构、市政基础设施、交通等因素，优化区域规划设计和运行管理，统筹降低区域用能需求，充分利用区域内的可再生能源、蓄能、碳汇，可结合碳排放权交易和绿色电力交易等碳抵消方式，实现年运行碳排放量不大于零的区域。</w:t>
      </w:r>
    </w:p>
    <w:bookmarkEnd w:id="83"/>
    <w:p>
      <w:pPr>
        <w:spacing w:after="260" w:line="400" w:lineRule="exact"/>
        <w:rPr>
          <w:rFonts w:ascii="Times New Roman" w:hAnsi="Times New Roman" w:eastAsia="楷体" w:cs="Times New Roman"/>
          <w:b w:val="0"/>
          <w:bCs/>
          <w:szCs w:val="21"/>
        </w:rPr>
      </w:pPr>
    </w:p>
    <w:p>
      <w:pPr>
        <w:pStyle w:val="4"/>
        <w:rPr>
          <w:rFonts w:cs="Times New Roman"/>
          <w:b w:val="0"/>
          <w:bCs/>
        </w:rPr>
      </w:pPr>
      <w:r>
        <w:rPr>
          <w:rFonts w:cs="Times New Roman"/>
          <w:b w:val="0"/>
          <w:bCs/>
        </w:rPr>
        <w:t xml:space="preserve">2.0.10 基准区域 reference district </w:t>
      </w:r>
    </w:p>
    <w:p>
      <w:pPr>
        <w:spacing w:line="360" w:lineRule="auto"/>
        <w:ind w:firstLine="480"/>
        <w:rPr>
          <w:rFonts w:ascii="Times New Roman" w:hAnsi="Times New Roman" w:cs="Times New Roman"/>
          <w:b w:val="0"/>
          <w:bCs/>
        </w:rPr>
      </w:pPr>
      <w:r>
        <w:rPr>
          <w:rFonts w:ascii="Times New Roman" w:hAnsi="Times New Roman" w:cs="Times New Roman"/>
          <w:b w:val="0"/>
          <w:bCs/>
        </w:rPr>
        <w:t>用于计算区域降碳率的标准比对区域。</w:t>
      </w:r>
    </w:p>
    <w:p>
      <w:pPr>
        <w:spacing w:line="400" w:lineRule="exact"/>
        <w:rPr>
          <w:rFonts w:ascii="Times New Roman" w:hAnsi="Times New Roman" w:eastAsia="楷体" w:cs="Times New Roman"/>
          <w:b w:val="0"/>
          <w:bCs/>
          <w:szCs w:val="21"/>
        </w:rPr>
      </w:pPr>
    </w:p>
    <w:p>
      <w:pPr>
        <w:pStyle w:val="4"/>
        <w:rPr>
          <w:rFonts w:cs="Times New Roman"/>
          <w:b w:val="0"/>
          <w:bCs/>
        </w:rPr>
      </w:pPr>
      <w:r>
        <w:rPr>
          <w:rFonts w:eastAsia="宋体" w:cs="Times New Roman"/>
          <w:b w:val="0"/>
          <w:bCs/>
        </w:rPr>
        <w:t>2.0.11 建筑碳排放强度building carbon dioxide emission intensity</w:t>
      </w:r>
    </w:p>
    <w:p>
      <w:pPr>
        <w:spacing w:after="260" w:line="400" w:lineRule="exact"/>
        <w:ind w:firstLine="420" w:firstLineChars="20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在设定计算条件或实际运行条件下，年供暖、通风、空调、照明、生活热水、电梯、插座与炊事等终端能耗和建筑本体及周边可再生能源系统发电量，按碳排放因子换算为碳排放量后，两者的差值与建筑面积的比值。</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2.0.12 建筑降碳率building carbon dioxide reducing ratio</w:t>
      </w:r>
    </w:p>
    <w:p>
      <w:pPr>
        <w:spacing w:after="312" w:afterLines="100" w:line="400" w:lineRule="exact"/>
        <w:ind w:firstLine="420" w:firstLineChars="20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基准建筑碳排放强度和设计建筑碳排放强度的差值，与基准建筑碳排放强度的比值。</w:t>
      </w:r>
    </w:p>
    <w:p>
      <w:pPr>
        <w:spacing w:before="312" w:beforeLines="10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2.0.13 区域人均碳排放量 district carbon emissions per capita</w:t>
      </w:r>
    </w:p>
    <w:p>
      <w:pPr>
        <w:spacing w:before="312" w:beforeLines="100" w:after="156" w:afterLines="5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在</w:t>
      </w:r>
      <w:r>
        <w:rPr>
          <w:rFonts w:ascii="Times New Roman" w:hAnsi="Times New Roman" w:eastAsia="宋体" w:cs="Times New Roman"/>
          <w:b w:val="0"/>
          <w:bCs/>
          <w:color w:val="111111"/>
          <w:szCs w:val="21"/>
        </w:rPr>
        <w:t>设定计算条件或实际运行条件下</w:t>
      </w:r>
      <w:r>
        <w:rPr>
          <w:rFonts w:ascii="Times New Roman" w:hAnsi="Times New Roman" w:eastAsia="宋体" w:cs="Times New Roman"/>
          <w:b w:val="0"/>
          <w:bCs/>
          <w:szCs w:val="21"/>
        </w:rPr>
        <w:t>，用于满足区域自身功能而产生的区域碳排放量与区域总人数的比值。</w:t>
      </w:r>
    </w:p>
    <w:p>
      <w:pPr>
        <w:pStyle w:val="4"/>
        <w:rPr>
          <w:rFonts w:cs="Times New Roman"/>
          <w:b w:val="0"/>
          <w:bCs/>
        </w:rPr>
      </w:pPr>
      <w:r>
        <w:rPr>
          <w:rFonts w:cs="Times New Roman"/>
          <w:b w:val="0"/>
          <w:bCs/>
        </w:rPr>
        <w:t xml:space="preserve">2.0.14 区域降碳率district </w:t>
      </w:r>
      <w:r>
        <w:rPr>
          <w:rFonts w:eastAsia="宋体" w:cs="Times New Roman"/>
          <w:b w:val="0"/>
          <w:bCs/>
        </w:rPr>
        <w:t>carbon dioxide reduction ratio</w:t>
      </w:r>
      <w:r>
        <w:rPr>
          <w:rFonts w:cs="Times New Roman"/>
          <w:b w:val="0"/>
          <w:bCs/>
        </w:rPr>
        <w:t xml:space="preserve"> </w:t>
      </w:r>
    </w:p>
    <w:p>
      <w:pPr>
        <w:spacing w:after="260" w:line="400" w:lineRule="exact"/>
        <w:ind w:firstLine="420" w:firstLineChars="200"/>
        <w:rPr>
          <w:rFonts w:ascii="Times New Roman" w:hAnsi="Times New Roman" w:eastAsia="楷体" w:cs="Times New Roman"/>
          <w:b w:val="0"/>
          <w:bCs/>
          <w:szCs w:val="21"/>
        </w:rPr>
      </w:pPr>
      <w:r>
        <w:rPr>
          <w:rFonts w:ascii="Times New Roman" w:hAnsi="Times New Roman" w:eastAsia="宋体" w:cs="Times New Roman"/>
          <w:b w:val="0"/>
          <w:bCs/>
          <w:color w:val="111111"/>
          <w:szCs w:val="21"/>
        </w:rPr>
        <w:t>基准区域碳排放量和设计区域碳排放量的差值，与基准区域碳排放量的比值。</w:t>
      </w:r>
    </w:p>
    <w:p>
      <w:pPr>
        <w:pStyle w:val="4"/>
        <w:rPr>
          <w:rFonts w:cs="Times New Roman"/>
          <w:b w:val="0"/>
          <w:bCs/>
        </w:rPr>
      </w:pPr>
      <w:r>
        <w:rPr>
          <w:rFonts w:cs="Times New Roman"/>
          <w:b w:val="0"/>
          <w:bCs/>
        </w:rPr>
        <w:t xml:space="preserve">2.0.15 直接碳排放direct carbon emissions </w:t>
      </w:r>
    </w:p>
    <w:p>
      <w:pPr>
        <w:spacing w:after="26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建筑与区域运行阶段用于满足功能需求的直接燃烧化石能源带来的碳排放。</w:t>
      </w:r>
    </w:p>
    <w:p>
      <w:pPr>
        <w:spacing w:line="400" w:lineRule="exact"/>
        <w:rPr>
          <w:rFonts w:ascii="Times New Roman" w:hAnsi="Times New Roman" w:eastAsia="楷体" w:cs="Times New Roman"/>
          <w:b w:val="0"/>
          <w:bCs/>
          <w:szCs w:val="21"/>
        </w:rPr>
      </w:pPr>
    </w:p>
    <w:p>
      <w:pPr>
        <w:pStyle w:val="4"/>
        <w:rPr>
          <w:rFonts w:cs="Times New Roman"/>
          <w:b w:val="0"/>
          <w:bCs/>
        </w:rPr>
      </w:pPr>
      <w:r>
        <w:rPr>
          <w:rFonts w:cs="Times New Roman"/>
          <w:b w:val="0"/>
          <w:bCs/>
        </w:rPr>
        <w:t xml:space="preserve">2.0.16 间接碳排放indirect carbon emissions </w:t>
      </w:r>
    </w:p>
    <w:p>
      <w:pPr>
        <w:spacing w:after="26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建筑与区域运行阶段的外购电力、外购热力、外购冷力等产生的碳排放。</w:t>
      </w:r>
    </w:p>
    <w:p>
      <w:pPr>
        <w:pStyle w:val="4"/>
        <w:rPr>
          <w:rFonts w:cs="Times New Roman"/>
          <w:b w:val="0"/>
          <w:bCs/>
        </w:rPr>
      </w:pPr>
      <w:r>
        <w:rPr>
          <w:rFonts w:cs="Times New Roman"/>
          <w:b w:val="0"/>
          <w:bCs/>
        </w:rPr>
        <w:t xml:space="preserve">2.0.17 隐含碳排放embodied carbon emissions </w:t>
      </w:r>
    </w:p>
    <w:p>
      <w:pPr>
        <w:spacing w:after="260" w:line="400" w:lineRule="exact"/>
        <w:ind w:firstLine="420" w:firstLineChars="200"/>
        <w:rPr>
          <w:rFonts w:ascii="Times New Roman" w:hAnsi="Times New Roman" w:eastAsia="楷体" w:cs="Times New Roman"/>
          <w:b w:val="0"/>
          <w:bCs/>
          <w:szCs w:val="21"/>
        </w:rPr>
      </w:pPr>
      <w:r>
        <w:rPr>
          <w:rFonts w:ascii="Times New Roman" w:hAnsi="Times New Roman" w:eastAsia="宋体" w:cs="Times New Roman"/>
          <w:b w:val="0"/>
          <w:bCs/>
          <w:szCs w:val="21"/>
        </w:rPr>
        <w:t>建筑使用的建材生产与运输、建筑建造、建筑拆除过程中产生的碳排放。</w:t>
      </w:r>
    </w:p>
    <w:p>
      <w:pPr>
        <w:pStyle w:val="4"/>
        <w:rPr>
          <w:rFonts w:cs="Times New Roman"/>
          <w:b w:val="0"/>
          <w:bCs/>
        </w:rPr>
      </w:pPr>
      <w:r>
        <w:rPr>
          <w:rFonts w:cs="Times New Roman"/>
          <w:b w:val="0"/>
          <w:bCs/>
        </w:rPr>
        <w:t>2.0.18 碳抵消 carbon offset</w:t>
      </w:r>
    </w:p>
    <w:p>
      <w:pPr>
        <w:pStyle w:val="184"/>
        <w:ind w:firstLine="420"/>
        <w:rPr>
          <w:b w:val="0"/>
          <w:bCs/>
          <w:color w:val="000000" w:themeColor="text1"/>
          <w:sz w:val="21"/>
          <w:szCs w:val="21"/>
          <w:highlight w:val="yellow"/>
          <w14:textFill>
            <w14:solidFill>
              <w14:schemeClr w14:val="tx1"/>
            </w14:solidFill>
          </w14:textFill>
        </w:rPr>
      </w:pPr>
      <w:r>
        <w:rPr>
          <w:b w:val="0"/>
          <w:bCs/>
          <w:color w:val="000000" w:themeColor="text1"/>
          <w:sz w:val="21"/>
          <w:szCs w:val="21"/>
          <w14:textFill>
            <w14:solidFill>
              <w14:schemeClr w14:val="tx1"/>
            </w14:solidFill>
          </w14:textFill>
        </w:rPr>
        <w:t>用于减少温室气体排放源和增加温室气体吸收，用来实现补偿或抵消其他排放源产生温室气体排放的活动。建筑或区域碳抵消可通过绿色电力交易、碳排放权交易等非技术措施实现。</w:t>
      </w:r>
    </w:p>
    <w:p>
      <w:pPr>
        <w:rPr>
          <w:rFonts w:ascii="Times New Roman" w:hAnsi="Times New Roman" w:cs="Times New Roman"/>
          <w:b w:val="0"/>
          <w:bCs/>
        </w:rPr>
      </w:pPr>
    </w:p>
    <w:p>
      <w:pPr>
        <w:pStyle w:val="4"/>
        <w:rPr>
          <w:rFonts w:cs="Times New Roman"/>
          <w:b w:val="0"/>
          <w:bCs/>
        </w:rPr>
      </w:pPr>
      <w:r>
        <w:rPr>
          <w:rFonts w:cs="Times New Roman"/>
          <w:b w:val="0"/>
          <w:bCs/>
        </w:rPr>
        <w:t xml:space="preserve">2.0.19 绿色电力 green power </w:t>
      </w:r>
    </w:p>
    <w:p>
      <w:pPr>
        <w:spacing w:after="26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在生产电力的过程中，二氧化碳排放量为零或趋近于零的电力。</w:t>
      </w:r>
    </w:p>
    <w:p>
      <w:pPr>
        <w:rPr>
          <w:rFonts w:ascii="Times New Roman" w:hAnsi="Times New Roman" w:cs="Times New Roman"/>
          <w:b w:val="0"/>
          <w:bCs/>
        </w:rPr>
      </w:pPr>
    </w:p>
    <w:p>
      <w:pPr>
        <w:pStyle w:val="4"/>
        <w:rPr>
          <w:rFonts w:cs="Times New Roman"/>
          <w:b w:val="0"/>
          <w:bCs/>
        </w:rPr>
      </w:pPr>
      <w:r>
        <w:rPr>
          <w:rFonts w:cs="Times New Roman"/>
          <w:b w:val="0"/>
          <w:bCs/>
        </w:rPr>
        <w:t>2.0.20 绿色电力交易 green electricity trade</w:t>
      </w:r>
    </w:p>
    <w:p>
      <w:pPr>
        <w:pStyle w:val="184"/>
        <w:ind w:firstLine="420"/>
        <w:rPr>
          <w:b w:val="0"/>
          <w:bCs/>
          <w:sz w:val="21"/>
          <w:szCs w:val="21"/>
        </w:rPr>
      </w:pPr>
      <w:r>
        <w:rPr>
          <w:b w:val="0"/>
          <w:bCs/>
          <w:sz w:val="21"/>
          <w:szCs w:val="21"/>
        </w:rPr>
        <w:t>用以满足电力用户购买、消费绿色电力需求，以绿色电力产品为标的物的电力中长期交易。</w:t>
      </w:r>
    </w:p>
    <w:p>
      <w:pPr>
        <w:pStyle w:val="4"/>
        <w:rPr>
          <w:rFonts w:cs="Times New Roman"/>
          <w:b w:val="0"/>
          <w:bCs/>
        </w:rPr>
      </w:pPr>
      <w:r>
        <w:rPr>
          <w:rFonts w:cs="Times New Roman"/>
          <w:b w:val="0"/>
          <w:bCs/>
        </w:rPr>
        <w:t>2.0.21 碳排放权交易 carbon trade</w:t>
      </w:r>
    </w:p>
    <w:p>
      <w:pPr>
        <w:spacing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履约机构、非履约机构或个人通过交易的方式获得或出售碳信用产品，从而促进全社会温室气体减排、控制全社会碳排放总量的市场机制。</w:t>
      </w:r>
    </w:p>
    <w:p>
      <w:pPr>
        <w:spacing w:after="260" w:line="400" w:lineRule="exact"/>
        <w:rPr>
          <w:rFonts w:ascii="Times New Roman" w:hAnsi="Times New Roman" w:eastAsia="宋体" w:cs="Times New Roman"/>
          <w:b w:val="0"/>
          <w:bCs/>
          <w:szCs w:val="21"/>
        </w:rPr>
      </w:pPr>
    </w:p>
    <w:p>
      <w:pPr>
        <w:pStyle w:val="4"/>
        <w:rPr>
          <w:rFonts w:cs="Times New Roman"/>
          <w:b w:val="0"/>
          <w:bCs/>
        </w:rPr>
      </w:pPr>
      <w:r>
        <w:rPr>
          <w:rFonts w:cs="Times New Roman"/>
          <w:b w:val="0"/>
          <w:bCs/>
        </w:rPr>
        <w:t>2.0.22 碳排放因子 carbon emission factor</w:t>
      </w:r>
    </w:p>
    <w:p>
      <w:pPr>
        <w:spacing w:after="260" w:line="400" w:lineRule="exact"/>
        <w:ind w:firstLine="420" w:firstLineChars="200"/>
        <w:rPr>
          <w:rFonts w:ascii="Times New Roman" w:hAnsi="Times New Roman" w:eastAsia="楷体" w:cs="Times New Roman"/>
          <w:b w:val="0"/>
          <w:bCs/>
          <w:szCs w:val="21"/>
        </w:rPr>
      </w:pPr>
      <w:r>
        <w:rPr>
          <w:rFonts w:hint="eastAsia" w:ascii="Times New Roman" w:hAnsi="Times New Roman" w:eastAsia="宋体" w:cs="Times New Roman"/>
          <w:b w:val="0"/>
          <w:bCs/>
          <w:szCs w:val="21"/>
        </w:rPr>
        <w:t>用于量化导致二氧化碳排放的生产或消耗的活动系数，表示单位材料或单位能源消耗产生的二氧化碳排放系数。</w:t>
      </w:r>
      <w:r>
        <w:rPr>
          <w:rFonts w:hint="eastAsia"/>
          <w:b w:val="0"/>
          <w:bCs/>
        </w:rPr>
        <w:t>例如每单位化石燃料燃烧所产生的二氧化碳</w:t>
      </w:r>
      <w:r>
        <w:rPr>
          <w:b w:val="0"/>
          <w:bCs/>
        </w:rPr>
        <w:t xml:space="preserve"> </w:t>
      </w:r>
      <w:r>
        <w:rPr>
          <w:rFonts w:hint="eastAsia"/>
          <w:b w:val="0"/>
          <w:bCs/>
        </w:rPr>
        <w:t>排放量、每单位购入使用电量所对应的二氧化碳排放量等。</w:t>
      </w:r>
    </w:p>
    <w:p>
      <w:pPr>
        <w:pStyle w:val="4"/>
        <w:rPr>
          <w:rFonts w:cs="Times New Roman"/>
          <w:b w:val="0"/>
          <w:bCs/>
        </w:rPr>
      </w:pPr>
      <w:r>
        <w:rPr>
          <w:rFonts w:cs="Times New Roman"/>
          <w:b w:val="0"/>
          <w:bCs/>
        </w:rPr>
        <w:t>2.0.23 光伏建筑一体化 building integrated photovoltaic（BIPV）</w:t>
      </w:r>
    </w:p>
    <w:p>
      <w:pPr>
        <w:spacing w:after="26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光伏发电设备作为建筑材料或构件应用于建筑上的形式，也称建筑集成光伏发电系统。</w:t>
      </w:r>
    </w:p>
    <w:p>
      <w:pPr>
        <w:spacing w:before="120" w:after="260" w:line="400" w:lineRule="exact"/>
        <w:outlineLvl w:val="2"/>
        <w:rPr>
          <w:rFonts w:ascii="Times New Roman" w:hAnsi="Times New Roman" w:cs="Times New Roman"/>
          <w:b w:val="0"/>
          <w:bCs/>
          <w:szCs w:val="32"/>
        </w:rPr>
      </w:pPr>
      <w:r>
        <w:rPr>
          <w:rFonts w:ascii="Times New Roman" w:hAnsi="Times New Roman" w:cs="Times New Roman"/>
          <w:b w:val="0"/>
          <w:bCs/>
          <w:szCs w:val="32"/>
        </w:rPr>
        <w:t>2.0.24 电气化率 electrification rate</w:t>
      </w:r>
    </w:p>
    <w:p>
      <w:pPr>
        <w:spacing w:after="260"/>
        <w:ind w:firstLine="420"/>
        <w:rPr>
          <w:rFonts w:ascii="Times New Roman" w:hAnsi="Times New Roman" w:eastAsia="楷体" w:cs="Times New Roman"/>
          <w:b w:val="0"/>
          <w:bCs/>
          <w:color w:val="111111"/>
          <w:szCs w:val="21"/>
        </w:rPr>
      </w:pPr>
      <w:r>
        <w:rPr>
          <w:rFonts w:ascii="Times New Roman" w:hAnsi="Times New Roman" w:cs="Times New Roman"/>
          <w:b w:val="0"/>
          <w:bCs/>
          <w:color w:val="111111"/>
          <w:szCs w:val="21"/>
        </w:rPr>
        <w:t>终端电力能源消费与区域终端全部能源消费的比值。</w:t>
      </w:r>
    </w:p>
    <w:p>
      <w:pPr>
        <w:pStyle w:val="4"/>
        <w:rPr>
          <w:rFonts w:cs="Times New Roman"/>
          <w:b w:val="0"/>
          <w:bCs/>
        </w:rPr>
      </w:pPr>
      <w:r>
        <w:rPr>
          <w:rFonts w:cs="Times New Roman"/>
          <w:b w:val="0"/>
          <w:bCs/>
        </w:rPr>
        <w:t>2.0.25 碳汇 carbon sink</w:t>
      </w:r>
    </w:p>
    <w:p>
      <w:pPr>
        <w:spacing w:after="260" w:line="400" w:lineRule="exact"/>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在划定的范围内，绿化、植被从空气中吸收并存储的二氧化碳量。</w:t>
      </w:r>
    </w:p>
    <w:p>
      <w:pPr>
        <w:spacing w:line="400" w:lineRule="exact"/>
        <w:rPr>
          <w:rFonts w:ascii="Times New Roman" w:hAnsi="Times New Roman" w:eastAsia="楷体" w:cs="Times New Roman"/>
          <w:b w:val="0"/>
          <w:bCs/>
          <w:color w:val="111111"/>
          <w:szCs w:val="21"/>
        </w:rPr>
      </w:pPr>
      <w:r>
        <w:rPr>
          <w:rFonts w:ascii="Times New Roman" w:hAnsi="Times New Roman" w:eastAsia="宋体" w:cs="Times New Roman"/>
          <w:b w:val="0"/>
          <w:bCs/>
          <w:color w:val="111111"/>
          <w:szCs w:val="21"/>
        </w:rPr>
        <w:br w:type="page"/>
      </w:r>
    </w:p>
    <w:p>
      <w:pPr>
        <w:spacing w:line="400" w:lineRule="exact"/>
        <w:rPr>
          <w:rFonts w:ascii="Times New Roman" w:hAnsi="Times New Roman" w:eastAsia="宋体" w:cs="Times New Roman"/>
          <w:b w:val="0"/>
          <w:bCs/>
          <w:color w:val="111111"/>
          <w:szCs w:val="21"/>
        </w:rPr>
      </w:pPr>
    </w:p>
    <w:p>
      <w:pPr>
        <w:pStyle w:val="40"/>
        <w:rPr>
          <w:rFonts w:ascii="Times New Roman" w:hAnsi="Times New Roman" w:cs="Times New Roman"/>
          <w:b w:val="0"/>
          <w:bCs/>
        </w:rPr>
      </w:pPr>
      <w:bookmarkStart w:id="84" w:name="_Toc81474517"/>
      <w:bookmarkStart w:id="85" w:name="_Toc128988406"/>
      <w:r>
        <w:rPr>
          <w:rFonts w:ascii="Times New Roman" w:hAnsi="Times New Roman" w:cs="Times New Roman"/>
          <w:b w:val="0"/>
          <w:bCs/>
        </w:rPr>
        <w:t xml:space="preserve">3 </w:t>
      </w:r>
      <w:bookmarkEnd w:id="84"/>
      <w:r>
        <w:rPr>
          <w:rFonts w:ascii="Times New Roman" w:hAnsi="Times New Roman" w:cs="Times New Roman"/>
          <w:b w:val="0"/>
          <w:bCs/>
        </w:rPr>
        <w:t>技术指标</w:t>
      </w:r>
      <w:bookmarkEnd w:id="85"/>
    </w:p>
    <w:p>
      <w:pPr>
        <w:pStyle w:val="30"/>
        <w:rPr>
          <w:rFonts w:ascii="Times New Roman" w:hAnsi="Times New Roman" w:cs="Times New Roman"/>
          <w:b w:val="0"/>
          <w:bCs/>
          <w:sz w:val="30"/>
          <w:szCs w:val="30"/>
        </w:rPr>
      </w:pPr>
      <w:bookmarkStart w:id="86" w:name="_Toc81474518"/>
      <w:bookmarkStart w:id="87" w:name="_Toc128988407"/>
      <w:r>
        <w:rPr>
          <w:rFonts w:ascii="Times New Roman" w:hAnsi="Times New Roman" w:cs="Times New Roman"/>
          <w:b w:val="0"/>
          <w:bCs/>
          <w:sz w:val="30"/>
          <w:szCs w:val="30"/>
        </w:rPr>
        <w:t xml:space="preserve">3.1 </w:t>
      </w:r>
      <w:bookmarkEnd w:id="86"/>
      <w:r>
        <w:rPr>
          <w:rFonts w:ascii="Times New Roman" w:hAnsi="Times New Roman" w:cs="Times New Roman"/>
          <w:b w:val="0"/>
          <w:bCs/>
          <w:sz w:val="30"/>
          <w:szCs w:val="30"/>
        </w:rPr>
        <w:t>室内环境参数</w:t>
      </w:r>
      <w:bookmarkEnd w:id="87"/>
    </w:p>
    <w:p>
      <w:pPr>
        <w:pStyle w:val="4"/>
        <w:rPr>
          <w:rFonts w:cs="Times New Roman"/>
          <w:b w:val="0"/>
          <w:bCs/>
        </w:rPr>
      </w:pPr>
      <w:r>
        <w:rPr>
          <w:rFonts w:cs="Times New Roman"/>
          <w:b w:val="0"/>
          <w:bCs/>
        </w:rPr>
        <w:t>3.1.1 建筑主要功能房间室内热湿环境参数应符合表3.1.1规定。</w:t>
      </w:r>
    </w:p>
    <w:p>
      <w:pPr>
        <w:pStyle w:val="13"/>
        <w:keepNext/>
        <w:spacing w:before="156" w:afterLines="0" w:line="360" w:lineRule="auto"/>
        <w:ind w:firstLine="357"/>
        <w:rPr>
          <w:rFonts w:ascii="Times New Roman" w:hAnsi="Times New Roman" w:eastAsia="黑体"/>
          <w:b w:val="0"/>
          <w:bCs/>
          <w:szCs w:val="22"/>
        </w:rPr>
      </w:pPr>
      <w:r>
        <w:rPr>
          <w:rFonts w:ascii="Times New Roman" w:hAnsi="Times New Roman" w:eastAsia="黑体"/>
          <w:b w:val="0"/>
          <w:bCs/>
          <w:szCs w:val="22"/>
        </w:rPr>
        <w:t>表3.1.1建</w:t>
      </w:r>
      <w:r>
        <w:rPr>
          <w:rFonts w:ascii="Times New Roman" w:hAnsi="Times New Roman" w:eastAsia="黑体"/>
          <w:b w:val="0"/>
          <w:bCs/>
          <w:szCs w:val="21"/>
        </w:rPr>
        <w:t>筑主要房间室内热湿环境参数</w:t>
      </w:r>
    </w:p>
    <w:tbl>
      <w:tblPr>
        <w:tblStyle w:val="43"/>
        <w:tblW w:w="50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2516"/>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092" w:type="pct"/>
            <w:shd w:val="clear" w:color="auto" w:fill="auto"/>
            <w:vAlign w:val="center"/>
          </w:tcPr>
          <w:p>
            <w:pPr>
              <w:ind w:leftChars="-47" w:hanging="98" w:hangingChars="47"/>
              <w:jc w:val="center"/>
              <w:rPr>
                <w:rFonts w:ascii="Times New Roman" w:hAnsi="Times New Roman" w:cs="Times New Roman"/>
                <w:b w:val="0"/>
                <w:bCs/>
                <w:szCs w:val="21"/>
              </w:rPr>
            </w:pPr>
            <w:r>
              <w:rPr>
                <w:rFonts w:ascii="Times New Roman" w:hAnsi="Times New Roman" w:cs="Times New Roman"/>
                <w:b w:val="0"/>
                <w:bCs/>
                <w:szCs w:val="21"/>
              </w:rPr>
              <w:t>室内热湿环境参数</w:t>
            </w:r>
          </w:p>
        </w:tc>
        <w:tc>
          <w:tcPr>
            <w:tcW w:w="1454" w:type="pct"/>
            <w:shd w:val="clear" w:color="auto" w:fill="auto"/>
            <w:vAlign w:val="center"/>
          </w:tcPr>
          <w:p>
            <w:pPr>
              <w:ind w:left="-47"/>
              <w:jc w:val="center"/>
              <w:rPr>
                <w:rFonts w:ascii="Times New Roman" w:hAnsi="Times New Roman" w:cs="Times New Roman"/>
                <w:b w:val="0"/>
                <w:bCs/>
                <w:szCs w:val="21"/>
              </w:rPr>
            </w:pPr>
            <w:r>
              <w:rPr>
                <w:rFonts w:ascii="Times New Roman" w:hAnsi="Times New Roman" w:cs="Times New Roman"/>
                <w:b w:val="0"/>
                <w:bCs/>
                <w:szCs w:val="21"/>
              </w:rPr>
              <w:t>冬季</w:t>
            </w:r>
          </w:p>
        </w:tc>
        <w:tc>
          <w:tcPr>
            <w:tcW w:w="1454" w:type="pct"/>
            <w:shd w:val="clear" w:color="auto" w:fill="auto"/>
            <w:vAlign w:val="center"/>
          </w:tcPr>
          <w:p>
            <w:pPr>
              <w:ind w:left="-47"/>
              <w:jc w:val="center"/>
              <w:rPr>
                <w:rFonts w:ascii="Times New Roman" w:hAnsi="Times New Roman" w:cs="Times New Roman"/>
                <w:b w:val="0"/>
                <w:bCs/>
                <w:szCs w:val="21"/>
              </w:rPr>
            </w:pPr>
            <w:r>
              <w:rPr>
                <w:rFonts w:ascii="Times New Roman" w:hAnsi="Times New Roman" w:cs="Times New Roman"/>
                <w:b w:val="0"/>
                <w:bCs/>
                <w:szCs w:val="21"/>
              </w:rPr>
              <w:t>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092" w:type="pct"/>
            <w:shd w:val="clear" w:color="auto" w:fill="auto"/>
            <w:vAlign w:val="center"/>
          </w:tcPr>
          <w:p>
            <w:pPr>
              <w:ind w:left="-47" w:firstLine="25" w:firstLineChars="12"/>
              <w:jc w:val="center"/>
              <w:rPr>
                <w:rFonts w:ascii="Times New Roman" w:hAnsi="Times New Roman" w:cs="Times New Roman"/>
                <w:b w:val="0"/>
                <w:bCs/>
                <w:szCs w:val="21"/>
              </w:rPr>
            </w:pPr>
            <w:r>
              <w:rPr>
                <w:rFonts w:ascii="Times New Roman" w:hAnsi="Times New Roman" w:cs="Times New Roman"/>
                <w:b w:val="0"/>
                <w:bCs/>
                <w:szCs w:val="21"/>
              </w:rPr>
              <w:t>温度（℃）</w:t>
            </w:r>
          </w:p>
        </w:tc>
        <w:tc>
          <w:tcPr>
            <w:tcW w:w="1454" w:type="pct"/>
            <w:shd w:val="clear" w:color="auto" w:fill="auto"/>
            <w:vAlign w:val="center"/>
          </w:tcPr>
          <w:p>
            <w:pPr>
              <w:ind w:left="-47"/>
              <w:jc w:val="center"/>
              <w:rPr>
                <w:rFonts w:ascii="Times New Roman" w:hAnsi="Times New Roman" w:cs="Times New Roman"/>
                <w:b w:val="0"/>
                <w:bCs/>
                <w:szCs w:val="21"/>
              </w:rPr>
            </w:pPr>
            <w:r>
              <w:rPr>
                <w:rFonts w:ascii="Times New Roman" w:hAnsi="Times New Roman" w:cs="Times New Roman"/>
                <w:b w:val="0"/>
                <w:bCs/>
                <w:szCs w:val="21"/>
              </w:rPr>
              <w:t>≥20</w:t>
            </w:r>
          </w:p>
        </w:tc>
        <w:tc>
          <w:tcPr>
            <w:tcW w:w="1454" w:type="pct"/>
            <w:shd w:val="clear" w:color="auto" w:fill="auto"/>
            <w:vAlign w:val="center"/>
          </w:tcPr>
          <w:p>
            <w:pPr>
              <w:ind w:left="-47"/>
              <w:jc w:val="center"/>
              <w:rPr>
                <w:rFonts w:ascii="Times New Roman" w:hAnsi="Times New Roman" w:cs="Times New Roman"/>
                <w:b w:val="0"/>
                <w:bCs/>
                <w:szCs w:val="21"/>
              </w:rPr>
            </w:pPr>
            <w:r>
              <w:rPr>
                <w:rFonts w:ascii="Times New Roman" w:hAnsi="Times New Roman" w:cs="Times New Roman"/>
                <w:b w:val="0"/>
                <w:bCs/>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92" w:type="pct"/>
            <w:shd w:val="clear" w:color="auto" w:fill="auto"/>
            <w:vAlign w:val="center"/>
          </w:tcPr>
          <w:p>
            <w:pPr>
              <w:ind w:left="-47"/>
              <w:jc w:val="center"/>
              <w:rPr>
                <w:rFonts w:ascii="Times New Roman" w:hAnsi="Times New Roman" w:cs="Times New Roman"/>
                <w:b w:val="0"/>
                <w:bCs/>
                <w:szCs w:val="21"/>
              </w:rPr>
            </w:pPr>
            <w:r>
              <w:rPr>
                <w:rFonts w:ascii="Times New Roman" w:hAnsi="Times New Roman" w:cs="Times New Roman"/>
                <w:b w:val="0"/>
                <w:bCs/>
                <w:szCs w:val="21"/>
              </w:rPr>
              <w:t>相对湿度（%）</w:t>
            </w:r>
          </w:p>
        </w:tc>
        <w:tc>
          <w:tcPr>
            <w:tcW w:w="1454" w:type="pct"/>
            <w:shd w:val="clear" w:color="auto" w:fill="auto"/>
            <w:vAlign w:val="center"/>
          </w:tcPr>
          <w:p>
            <w:pPr>
              <w:ind w:left="-47"/>
              <w:jc w:val="center"/>
              <w:rPr>
                <w:rFonts w:ascii="Times New Roman" w:hAnsi="Times New Roman" w:cs="Times New Roman"/>
                <w:b w:val="0"/>
                <w:bCs/>
                <w:szCs w:val="21"/>
              </w:rPr>
            </w:pPr>
            <w:r>
              <w:rPr>
                <w:rFonts w:ascii="Times New Roman" w:hAnsi="Times New Roman" w:cs="Times New Roman"/>
                <w:b w:val="0"/>
                <w:bCs/>
                <w:szCs w:val="21"/>
              </w:rPr>
              <w:t>≥30</w:t>
            </w:r>
          </w:p>
        </w:tc>
        <w:tc>
          <w:tcPr>
            <w:tcW w:w="1454" w:type="pct"/>
            <w:shd w:val="clear" w:color="auto" w:fill="auto"/>
            <w:vAlign w:val="center"/>
          </w:tcPr>
          <w:p>
            <w:pPr>
              <w:ind w:left="-47"/>
              <w:jc w:val="center"/>
              <w:rPr>
                <w:rFonts w:ascii="Times New Roman" w:hAnsi="Times New Roman" w:cs="Times New Roman"/>
                <w:b w:val="0"/>
                <w:bCs/>
                <w:szCs w:val="21"/>
              </w:rPr>
            </w:pPr>
            <w:r>
              <w:rPr>
                <w:rFonts w:ascii="Times New Roman" w:hAnsi="Times New Roman" w:cs="Times New Roman"/>
                <w:b w:val="0"/>
                <w:bCs/>
                <w:szCs w:val="21"/>
              </w:rPr>
              <w:t>≤60</w:t>
            </w:r>
          </w:p>
        </w:tc>
      </w:tr>
    </w:tbl>
    <w:p>
      <w:pPr>
        <w:spacing w:line="360" w:lineRule="auto"/>
        <w:rPr>
          <w:rFonts w:ascii="Times New Roman" w:hAnsi="Times New Roman" w:cs="Times New Roman"/>
          <w:b w:val="0"/>
          <w:bCs/>
          <w:sz w:val="20"/>
          <w:szCs w:val="20"/>
        </w:rPr>
      </w:pPr>
      <w:r>
        <w:rPr>
          <w:rFonts w:ascii="Times New Roman" w:hAnsi="Times New Roman" w:cs="Times New Roman"/>
          <w:b w:val="0"/>
          <w:bCs/>
          <w:sz w:val="20"/>
          <w:szCs w:val="20"/>
        </w:rPr>
        <w:t>注：</w:t>
      </w:r>
      <w:r>
        <w:rPr>
          <w:rFonts w:ascii="Times New Roman" w:hAnsi="Times New Roman" w:cs="Times New Roman"/>
          <w:b w:val="0"/>
          <w:bCs/>
        </w:rPr>
        <w:t xml:space="preserve">1 </w:t>
      </w:r>
      <w:r>
        <w:rPr>
          <w:rFonts w:ascii="Times New Roman" w:hAnsi="Times New Roman" w:cs="Times New Roman"/>
          <w:b w:val="0"/>
          <w:bCs/>
          <w:sz w:val="20"/>
          <w:szCs w:val="20"/>
        </w:rPr>
        <w:t>冬季室内相对湿度不参与设备选型和能效指标的计算。</w:t>
      </w:r>
    </w:p>
    <w:p>
      <w:pPr>
        <w:spacing w:after="240" w:line="360" w:lineRule="auto"/>
        <w:ind w:firstLine="420" w:firstLineChars="200"/>
        <w:rPr>
          <w:rFonts w:ascii="Times New Roman" w:hAnsi="Times New Roman" w:cs="Times New Roman"/>
          <w:b w:val="0"/>
          <w:bCs/>
          <w:sz w:val="20"/>
          <w:szCs w:val="20"/>
        </w:rPr>
      </w:pPr>
      <w:r>
        <w:rPr>
          <w:rFonts w:ascii="Times New Roman" w:hAnsi="Times New Roman" w:cs="Times New Roman"/>
          <w:b w:val="0"/>
          <w:bCs/>
          <w:szCs w:val="20"/>
        </w:rPr>
        <w:t xml:space="preserve">2 </w:t>
      </w:r>
      <w:r>
        <w:rPr>
          <w:rFonts w:ascii="Times New Roman" w:hAnsi="Times New Roman" w:cs="Times New Roman"/>
          <w:b w:val="0"/>
          <w:bCs/>
          <w:sz w:val="20"/>
          <w:szCs w:val="20"/>
        </w:rPr>
        <w:t>当严寒地区不设置空调设施时，夏季室内热湿环境参数可不参与设备选型和能效指标的计算；当夏热冬暖和温和地区不设置供暖设施时，冬季室内热湿环境参数可不参与设备选型和能效指标的计算</w:t>
      </w:r>
      <w:r>
        <w:rPr>
          <w:rFonts w:ascii="Times New Roman" w:hAnsi="Times New Roman" w:eastAsia="楷体" w:cs="Times New Roman"/>
          <w:b w:val="0"/>
          <w:bCs/>
          <w:color w:val="111111"/>
          <w:szCs w:val="21"/>
        </w:rPr>
        <w:t>。</w:t>
      </w:r>
    </w:p>
    <w:p>
      <w:pPr>
        <w:pStyle w:val="4"/>
        <w:rPr>
          <w:rFonts w:cs="Times New Roman"/>
          <w:b w:val="0"/>
          <w:bCs/>
        </w:rPr>
      </w:pPr>
      <w:r>
        <w:rPr>
          <w:rFonts w:cs="Times New Roman"/>
          <w:b w:val="0"/>
          <w:bCs/>
        </w:rPr>
        <w:t>3.1.2 居住建筑主要功能房间的室内新风量应符合现行国家标准《近零能耗建筑技术标准》GB/T51350的规定。公共建筑的新风量应符合现行国家标准《民用建筑供暖通风与空气调节设计规范》GB50736的规定。</w:t>
      </w:r>
    </w:p>
    <w:p>
      <w:pPr>
        <w:widowControl/>
        <w:adjustRightInd/>
        <w:snapToGrid/>
        <w:jc w:val="left"/>
        <w:rPr>
          <w:rFonts w:ascii="Times New Roman" w:hAnsi="Times New Roman" w:eastAsia="宋体" w:cs="Times New Roman"/>
          <w:b w:val="0"/>
          <w:bCs/>
          <w:kern w:val="28"/>
          <w:sz w:val="30"/>
          <w:szCs w:val="30"/>
          <w:highlight w:val="yellow"/>
        </w:rPr>
      </w:pPr>
    </w:p>
    <w:p>
      <w:pPr>
        <w:pStyle w:val="30"/>
        <w:rPr>
          <w:rFonts w:ascii="Times New Roman" w:hAnsi="Times New Roman" w:cs="Times New Roman"/>
          <w:b w:val="0"/>
          <w:bCs/>
          <w:sz w:val="30"/>
          <w:szCs w:val="30"/>
        </w:rPr>
      </w:pPr>
      <w:bookmarkStart w:id="88" w:name="_Toc128988408"/>
      <w:bookmarkStart w:id="89" w:name="_Toc126397909"/>
      <w:r>
        <w:rPr>
          <w:rFonts w:ascii="Times New Roman" w:hAnsi="Times New Roman" w:cs="Times New Roman"/>
          <w:b w:val="0"/>
          <w:bCs/>
          <w:sz w:val="30"/>
          <w:szCs w:val="30"/>
        </w:rPr>
        <w:t>3.2 建筑碳排放指标</w:t>
      </w:r>
      <w:bookmarkEnd w:id="88"/>
      <w:bookmarkEnd w:id="89"/>
    </w:p>
    <w:p>
      <w:pPr>
        <w:spacing w:line="360" w:lineRule="auto"/>
        <w:jc w:val="center"/>
        <w:rPr>
          <w:rFonts w:ascii="Times New Roman" w:hAnsi="Times New Roman" w:cs="Times New Roman"/>
          <w:b w:val="0"/>
          <w:bCs/>
        </w:rPr>
      </w:pPr>
      <w:r>
        <w:rPr>
          <w:rFonts w:ascii="Times New Roman" w:hAnsi="Times New Roman" w:cs="Times New Roman"/>
          <w:b w:val="0"/>
          <w:bCs/>
        </w:rPr>
        <w:t>I 低碳建筑</w:t>
      </w:r>
    </w:p>
    <w:p>
      <w:pPr>
        <w:adjustRightInd/>
        <w:snapToGrid/>
        <w:spacing w:line="360" w:lineRule="auto"/>
        <w:jc w:val="left"/>
        <w:outlineLvl w:val="2"/>
        <w:rPr>
          <w:rFonts w:ascii="Times New Roman" w:hAnsi="Times New Roman" w:cs="Times New Roman"/>
          <w:b w:val="0"/>
          <w:bCs/>
          <w:szCs w:val="32"/>
        </w:rPr>
      </w:pPr>
      <w:r>
        <w:rPr>
          <w:rFonts w:ascii="Times New Roman" w:hAnsi="Times New Roman" w:cs="Times New Roman"/>
          <w:b w:val="0"/>
          <w:bCs/>
          <w:szCs w:val="32"/>
        </w:rPr>
        <w:t>3.2.1低碳居住建筑的建筑碳排放强度应不高于表3.2.1规定的限值。</w:t>
      </w:r>
    </w:p>
    <w:p>
      <w:pPr>
        <w:spacing w:before="156" w:beforeLines="50" w:after="156" w:afterLines="50" w:line="360" w:lineRule="auto"/>
        <w:jc w:val="center"/>
        <w:rPr>
          <w:rFonts w:ascii="Times New Roman" w:hAnsi="Times New Roman" w:cs="Times New Roman"/>
          <w:b w:val="0"/>
          <w:bCs/>
        </w:rPr>
      </w:pPr>
      <w:r>
        <w:rPr>
          <w:rFonts w:ascii="Times New Roman" w:hAnsi="Times New Roman" w:cs="Times New Roman"/>
          <w:b w:val="0"/>
          <w:bCs/>
        </w:rPr>
        <w:t>表3.2.1低碳居住建筑碳排放强度限值(kg CO</w:t>
      </w:r>
      <w:r>
        <w:rPr>
          <w:rFonts w:ascii="Times New Roman" w:hAnsi="Times New Roman" w:cs="Times New Roman"/>
          <w:b w:val="0"/>
          <w:bCs/>
          <w:vertAlign w:val="subscript"/>
        </w:rPr>
        <w:t>2</w:t>
      </w: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 xml:space="preserve"> a)</w:t>
      </w:r>
    </w:p>
    <w:tbl>
      <w:tblPr>
        <w:tblStyle w:val="43"/>
        <w:tblW w:w="5000" w:type="pct"/>
        <w:jc w:val="cente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autofit"/>
        <w:tblCellMar>
          <w:top w:w="0" w:type="dxa"/>
          <w:left w:w="0" w:type="dxa"/>
          <w:bottom w:w="0" w:type="dxa"/>
          <w:right w:w="0" w:type="dxa"/>
        </w:tblCellMar>
      </w:tblPr>
      <w:tblGrid>
        <w:gridCol w:w="1322"/>
        <w:gridCol w:w="1542"/>
        <w:gridCol w:w="1403"/>
        <w:gridCol w:w="1542"/>
        <w:gridCol w:w="1475"/>
        <w:gridCol w:w="1058"/>
      </w:tblGrid>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Ex>
        <w:trPr>
          <w:trHeight w:val="712" w:hRule="atLeast"/>
          <w:jc w:val="center"/>
        </w:trPr>
        <w:tc>
          <w:tcPr>
            <w:tcW w:w="793" w:type="pct"/>
            <w:shd w:val="clear" w:color="auto" w:fill="auto"/>
            <w:tcMar>
              <w:top w:w="15" w:type="dxa"/>
              <w:left w:w="15" w:type="dxa"/>
              <w:bottom w:w="0" w:type="dxa"/>
              <w:right w:w="15" w:type="dxa"/>
            </w:tcMar>
            <w:vAlign w:val="center"/>
          </w:tcPr>
          <w:p>
            <w:pPr>
              <w:widowControl/>
              <w:adjustRightInd/>
              <w:snapToGrid/>
              <w:jc w:val="center"/>
              <w:rPr>
                <w:rFonts w:ascii="Times New Roman" w:hAnsi="Times New Roman" w:eastAsia="宋体" w:cs="Times New Roman"/>
                <w:b w:val="0"/>
                <w:bCs/>
                <w:kern w:val="0"/>
                <w:szCs w:val="21"/>
              </w:rPr>
            </w:pPr>
          </w:p>
        </w:tc>
        <w:tc>
          <w:tcPr>
            <w:tcW w:w="92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严寒地区</w:t>
            </w:r>
          </w:p>
        </w:tc>
        <w:tc>
          <w:tcPr>
            <w:tcW w:w="841"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寒冷地区</w:t>
            </w:r>
          </w:p>
        </w:tc>
        <w:tc>
          <w:tcPr>
            <w:tcW w:w="92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夏热冬冷地区</w:t>
            </w:r>
          </w:p>
        </w:tc>
        <w:tc>
          <w:tcPr>
            <w:tcW w:w="88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夏热冬暖地区</w:t>
            </w:r>
          </w:p>
        </w:tc>
        <w:tc>
          <w:tcPr>
            <w:tcW w:w="63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温和地区</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Ex>
        <w:trPr>
          <w:trHeight w:val="656" w:hRule="atLeast"/>
          <w:jc w:val="center"/>
        </w:trPr>
        <w:tc>
          <w:tcPr>
            <w:tcW w:w="793"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低碳建筑</w:t>
            </w:r>
          </w:p>
        </w:tc>
        <w:tc>
          <w:tcPr>
            <w:tcW w:w="92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kern w:val="24"/>
                <w:szCs w:val="21"/>
              </w:rPr>
              <w:t>23</w:t>
            </w:r>
          </w:p>
        </w:tc>
        <w:tc>
          <w:tcPr>
            <w:tcW w:w="841"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kern w:val="24"/>
                <w:szCs w:val="21"/>
              </w:rPr>
              <w:t>21</w:t>
            </w:r>
          </w:p>
        </w:tc>
        <w:tc>
          <w:tcPr>
            <w:tcW w:w="92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kern w:val="24"/>
                <w:szCs w:val="21"/>
              </w:rPr>
              <w:t>21</w:t>
            </w:r>
          </w:p>
        </w:tc>
        <w:tc>
          <w:tcPr>
            <w:tcW w:w="88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kern w:val="24"/>
                <w:szCs w:val="21"/>
              </w:rPr>
              <w:t>23</w:t>
            </w:r>
          </w:p>
        </w:tc>
        <w:tc>
          <w:tcPr>
            <w:tcW w:w="63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kern w:val="24"/>
                <w:szCs w:val="21"/>
              </w:rPr>
              <w:t>18</w:t>
            </w:r>
          </w:p>
        </w:tc>
      </w:tr>
    </w:tbl>
    <w:p>
      <w:pPr>
        <w:spacing w:line="400" w:lineRule="exact"/>
        <w:rPr>
          <w:rFonts w:ascii="Times New Roman" w:hAnsi="Times New Roman" w:eastAsia="楷体" w:cs="Times New Roman"/>
          <w:b w:val="0"/>
          <w:bCs/>
          <w:color w:val="111111"/>
          <w:szCs w:val="21"/>
        </w:rPr>
      </w:pPr>
    </w:p>
    <w:p>
      <w:pPr>
        <w:adjustRightInd/>
        <w:snapToGrid/>
        <w:spacing w:line="360" w:lineRule="auto"/>
        <w:jc w:val="left"/>
        <w:outlineLvl w:val="2"/>
        <w:rPr>
          <w:rFonts w:ascii="Times New Roman" w:hAnsi="Times New Roman" w:cs="Times New Roman"/>
          <w:b w:val="0"/>
          <w:bCs/>
          <w:szCs w:val="32"/>
        </w:rPr>
      </w:pPr>
      <w:r>
        <w:rPr>
          <w:rFonts w:ascii="Times New Roman" w:hAnsi="Times New Roman" w:cs="Times New Roman"/>
          <w:b w:val="0"/>
          <w:bCs/>
          <w:szCs w:val="32"/>
        </w:rPr>
        <w:t>3.2.2低碳公共建筑碳排放指标应满足下列条件之一：</w:t>
      </w:r>
    </w:p>
    <w:p>
      <w:pPr>
        <w:spacing w:before="240" w:line="360" w:lineRule="auto"/>
        <w:rPr>
          <w:rFonts w:ascii="Times New Roman" w:hAnsi="Times New Roman" w:cs="Times New Roman"/>
          <w:b w:val="0"/>
          <w:bCs/>
        </w:rPr>
      </w:pPr>
      <w:r>
        <w:rPr>
          <w:rFonts w:ascii="Times New Roman" w:hAnsi="Times New Roman" w:cs="Times New Roman"/>
          <w:b w:val="0"/>
          <w:bCs/>
        </w:rPr>
        <w:t>1 建筑降碳率应符合表</w:t>
      </w:r>
      <w:r>
        <w:rPr>
          <w:rFonts w:ascii="Times New Roman" w:hAnsi="Times New Roman" w:cs="Times New Roman"/>
          <w:b w:val="0"/>
          <w:bCs/>
          <w:szCs w:val="32"/>
        </w:rPr>
        <w:t>3.2.2-1</w:t>
      </w:r>
      <w:r>
        <w:rPr>
          <w:rFonts w:ascii="Times New Roman" w:hAnsi="Times New Roman" w:cs="Times New Roman"/>
          <w:b w:val="0"/>
          <w:bCs/>
        </w:rPr>
        <w:t>的规定；</w:t>
      </w:r>
    </w:p>
    <w:p>
      <w:pPr>
        <w:spacing w:before="156" w:beforeLines="50" w:after="156" w:afterLines="50" w:line="360" w:lineRule="auto"/>
        <w:jc w:val="center"/>
        <w:rPr>
          <w:rFonts w:ascii="Times New Roman" w:hAnsi="Times New Roman" w:cs="Times New Roman"/>
          <w:b w:val="0"/>
          <w:bCs/>
        </w:rPr>
      </w:pPr>
      <w:r>
        <w:rPr>
          <w:rFonts w:ascii="Times New Roman" w:hAnsi="Times New Roman" w:cs="Times New Roman"/>
          <w:b w:val="0"/>
          <w:bCs/>
        </w:rPr>
        <w:t>表3.2.2-1低碳公共建筑降碳率</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1238"/>
        <w:gridCol w:w="1238"/>
        <w:gridCol w:w="1102"/>
        <w:gridCol w:w="1375"/>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75" w:type="pct"/>
            <w:tcBorders>
              <w:tl2br w:val="nil"/>
            </w:tcBorders>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气候区</w:t>
            </w:r>
          </w:p>
        </w:tc>
        <w:tc>
          <w:tcPr>
            <w:tcW w:w="72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严寒</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地区</w:t>
            </w:r>
          </w:p>
        </w:tc>
        <w:tc>
          <w:tcPr>
            <w:tcW w:w="72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寒冷</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地区</w:t>
            </w:r>
          </w:p>
        </w:tc>
        <w:tc>
          <w:tcPr>
            <w:tcW w:w="64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夏热冬</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冷地区</w:t>
            </w:r>
          </w:p>
        </w:tc>
        <w:tc>
          <w:tcPr>
            <w:tcW w:w="80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夏热冬</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暖地区</w:t>
            </w:r>
          </w:p>
        </w:tc>
        <w:tc>
          <w:tcPr>
            <w:tcW w:w="921"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温和</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175"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建筑降碳率</w:t>
            </w:r>
          </w:p>
        </w:tc>
        <w:tc>
          <w:tcPr>
            <w:tcW w:w="72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20"/>
                <w:szCs w:val="20"/>
              </w:rPr>
              <w:t>≥40%</w:t>
            </w:r>
          </w:p>
        </w:tc>
        <w:tc>
          <w:tcPr>
            <w:tcW w:w="72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20"/>
                <w:szCs w:val="20"/>
              </w:rPr>
              <w:t>≥35%</w:t>
            </w:r>
          </w:p>
        </w:tc>
        <w:tc>
          <w:tcPr>
            <w:tcW w:w="2373" w:type="pct"/>
            <w:gridSpan w:val="3"/>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20"/>
                <w:szCs w:val="20"/>
              </w:rPr>
              <w:t>≥30%</w:t>
            </w:r>
          </w:p>
        </w:tc>
      </w:tr>
    </w:tbl>
    <w:p>
      <w:pPr>
        <w:spacing w:line="360" w:lineRule="auto"/>
        <w:rPr>
          <w:rFonts w:ascii="Times New Roman" w:hAnsi="Times New Roman" w:cs="Times New Roman"/>
          <w:b w:val="0"/>
          <w:bCs/>
        </w:rPr>
      </w:pPr>
    </w:p>
    <w:p>
      <w:pPr>
        <w:spacing w:line="360" w:lineRule="auto"/>
        <w:rPr>
          <w:rFonts w:ascii="Times New Roman" w:hAnsi="Times New Roman" w:cs="Times New Roman"/>
          <w:b w:val="0"/>
          <w:bCs/>
        </w:rPr>
      </w:pPr>
      <w:r>
        <w:rPr>
          <w:rFonts w:ascii="Times New Roman" w:hAnsi="Times New Roman" w:cs="Times New Roman"/>
          <w:b w:val="0"/>
          <w:bCs/>
        </w:rPr>
        <w:t>2 建筑碳排放强度应不高于表</w:t>
      </w:r>
      <w:r>
        <w:rPr>
          <w:rFonts w:ascii="Times New Roman" w:hAnsi="Times New Roman" w:cs="Times New Roman"/>
          <w:b w:val="0"/>
          <w:bCs/>
          <w:szCs w:val="32"/>
        </w:rPr>
        <w:t>3.2.2-2</w:t>
      </w:r>
      <w:r>
        <w:rPr>
          <w:rFonts w:ascii="Times New Roman" w:hAnsi="Times New Roman" w:cs="Times New Roman"/>
          <w:b w:val="0"/>
          <w:bCs/>
        </w:rPr>
        <w:t>规定的限值。</w:t>
      </w:r>
    </w:p>
    <w:p>
      <w:pPr>
        <w:spacing w:before="156" w:beforeLines="50" w:after="156" w:afterLines="50" w:line="360" w:lineRule="auto"/>
        <w:jc w:val="center"/>
        <w:rPr>
          <w:rFonts w:ascii="Times New Roman" w:hAnsi="Times New Roman" w:cs="Times New Roman"/>
          <w:b w:val="0"/>
          <w:bCs/>
        </w:rPr>
      </w:pPr>
      <w:r>
        <w:rPr>
          <w:rFonts w:ascii="Times New Roman" w:hAnsi="Times New Roman" w:cs="Times New Roman"/>
          <w:b w:val="0"/>
          <w:bCs/>
        </w:rPr>
        <w:t>表3.2.2-2低碳公共建筑碳排放强度限值(kg CO</w:t>
      </w:r>
      <w:r>
        <w:rPr>
          <w:rFonts w:ascii="Times New Roman" w:hAnsi="Times New Roman" w:cs="Times New Roman"/>
          <w:b w:val="0"/>
          <w:bCs/>
          <w:vertAlign w:val="subscript"/>
        </w:rPr>
        <w:t>2</w:t>
      </w: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 xml:space="preserve"> a)</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074"/>
        <w:gridCol w:w="1074"/>
        <w:gridCol w:w="1074"/>
        <w:gridCol w:w="1074"/>
        <w:gridCol w:w="1074"/>
        <w:gridCol w:w="107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64" w:type="pct"/>
            <w:tcBorders>
              <w:tl2br w:val="single" w:color="auto" w:sz="4" w:space="0"/>
            </w:tcBorders>
            <w:shd w:val="clear" w:color="auto" w:fill="auto"/>
            <w:noWrap/>
            <w:vAlign w:val="bottom"/>
          </w:tcPr>
          <w:p>
            <w:pPr>
              <w:widowControl/>
              <w:adjustRightInd/>
              <w:snapToGrid/>
              <w:jc w:val="right"/>
              <w:rPr>
                <w:rFonts w:ascii="Times New Roman" w:hAnsi="Times New Roman" w:eastAsia="宋体" w:cs="Times New Roman"/>
                <w:b w:val="0"/>
                <w:bCs/>
                <w:kern w:val="0"/>
                <w:sz w:val="18"/>
                <w:szCs w:val="18"/>
              </w:rPr>
            </w:pPr>
            <w:r>
              <w:rPr>
                <w:rFonts w:ascii="Times New Roman" w:hAnsi="Times New Roman" w:eastAsia="宋体" w:cs="Times New Roman"/>
                <w:b w:val="0"/>
                <w:bCs/>
                <w:kern w:val="0"/>
                <w:sz w:val="18"/>
                <w:szCs w:val="18"/>
              </w:rPr>
              <w:t>建筑类型</w:t>
            </w:r>
          </w:p>
          <w:p>
            <w:pPr>
              <w:widowControl/>
              <w:adjustRightInd/>
              <w:snapToGrid/>
              <w:jc w:val="left"/>
              <w:rPr>
                <w:rFonts w:ascii="Times New Roman" w:hAnsi="Times New Roman" w:eastAsia="宋体" w:cs="Times New Roman"/>
                <w:b w:val="0"/>
                <w:bCs/>
                <w:kern w:val="0"/>
                <w:sz w:val="18"/>
                <w:szCs w:val="18"/>
              </w:rPr>
            </w:pPr>
          </w:p>
          <w:p>
            <w:pPr>
              <w:widowControl/>
              <w:adjustRightInd/>
              <w:snapToGrid/>
              <w:jc w:val="left"/>
              <w:rPr>
                <w:rFonts w:ascii="Times New Roman" w:hAnsi="Times New Roman" w:eastAsia="宋体" w:cs="Times New Roman"/>
                <w:b w:val="0"/>
                <w:bCs/>
                <w:kern w:val="0"/>
                <w:sz w:val="18"/>
                <w:szCs w:val="18"/>
              </w:rPr>
            </w:pPr>
            <w:r>
              <w:rPr>
                <w:rFonts w:ascii="Times New Roman" w:hAnsi="Times New Roman" w:eastAsia="宋体" w:cs="Times New Roman"/>
                <w:b w:val="0"/>
                <w:bCs/>
                <w:kern w:val="0"/>
                <w:sz w:val="18"/>
                <w:szCs w:val="18"/>
              </w:rPr>
              <w:t>气候区</w:t>
            </w:r>
          </w:p>
          <w:p>
            <w:pPr>
              <w:widowControl/>
              <w:adjustRightInd/>
              <w:snapToGrid/>
              <w:jc w:val="right"/>
              <w:rPr>
                <w:rFonts w:ascii="Times New Roman" w:hAnsi="Times New Roman" w:eastAsia="宋体" w:cs="Times New Roman"/>
                <w:b w:val="0"/>
                <w:bCs/>
                <w:kern w:val="0"/>
                <w:sz w:val="18"/>
                <w:szCs w:val="18"/>
              </w:rPr>
            </w:pPr>
          </w:p>
        </w:tc>
        <w:tc>
          <w:tcPr>
            <w:tcW w:w="600"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小型办公</w:t>
            </w:r>
          </w:p>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建筑</w:t>
            </w:r>
          </w:p>
        </w:tc>
        <w:tc>
          <w:tcPr>
            <w:tcW w:w="600"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大型办公</w:t>
            </w:r>
          </w:p>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建筑</w:t>
            </w:r>
          </w:p>
        </w:tc>
        <w:tc>
          <w:tcPr>
            <w:tcW w:w="600"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小型酒店</w:t>
            </w:r>
          </w:p>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建筑</w:t>
            </w:r>
          </w:p>
        </w:tc>
        <w:tc>
          <w:tcPr>
            <w:tcW w:w="600"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大型酒店</w:t>
            </w:r>
          </w:p>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建筑</w:t>
            </w:r>
          </w:p>
        </w:tc>
        <w:tc>
          <w:tcPr>
            <w:tcW w:w="600"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商场建筑</w:t>
            </w:r>
          </w:p>
        </w:tc>
        <w:tc>
          <w:tcPr>
            <w:tcW w:w="600" w:type="pct"/>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医院建筑-医技综合楼</w:t>
            </w:r>
          </w:p>
        </w:tc>
        <w:tc>
          <w:tcPr>
            <w:tcW w:w="600" w:type="pct"/>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学校建筑-教学楼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4"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严寒地区</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23</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25</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30</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35</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65</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55</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4"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寒冷地区</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21</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25</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30</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40</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68</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55</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4"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夏热冬冷</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21</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28</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33</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43</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75</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60</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4"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夏热冬暖</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23</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30</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36</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45</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85</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65</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64" w:type="pct"/>
            <w:shd w:val="clear" w:color="auto" w:fill="auto"/>
            <w:noWrap/>
            <w:vAlign w:val="center"/>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温和地区</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18</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22</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28</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30</w:t>
            </w:r>
          </w:p>
        </w:tc>
        <w:tc>
          <w:tcPr>
            <w:tcW w:w="600" w:type="pct"/>
            <w:shd w:val="clear" w:color="auto" w:fill="auto"/>
            <w:noWrap/>
          </w:tcPr>
          <w:p>
            <w:pPr>
              <w:widowControl/>
              <w:adjustRightInd/>
              <w:snapToGrid/>
              <w:jc w:val="center"/>
              <w:rPr>
                <w:rFonts w:ascii="Times New Roman" w:hAnsi="Times New Roman" w:eastAsia="宋体" w:cs="Times New Roman"/>
                <w:b w:val="0"/>
                <w:bCs/>
                <w:color w:val="000000"/>
                <w:kern w:val="0"/>
                <w:sz w:val="18"/>
                <w:szCs w:val="18"/>
              </w:rPr>
            </w:pPr>
            <w:r>
              <w:rPr>
                <w:rFonts w:ascii="Times New Roman" w:hAnsi="Times New Roman" w:cs="Times New Roman"/>
                <w:b w:val="0"/>
                <w:bCs/>
              </w:rPr>
              <w:t>63</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45</w:t>
            </w:r>
          </w:p>
        </w:tc>
        <w:tc>
          <w:tcPr>
            <w:tcW w:w="600" w:type="pct"/>
          </w:tcPr>
          <w:p>
            <w:pPr>
              <w:widowControl/>
              <w:adjustRightInd/>
              <w:snapToGrid/>
              <w:jc w:val="center"/>
              <w:rPr>
                <w:rFonts w:ascii="Times New Roman" w:hAnsi="Times New Roman" w:eastAsia="宋体" w:cs="Times New Roman"/>
                <w:b w:val="0"/>
                <w:bCs/>
                <w:sz w:val="18"/>
                <w:szCs w:val="18"/>
              </w:rPr>
            </w:pPr>
            <w:r>
              <w:rPr>
                <w:rFonts w:ascii="Times New Roman" w:hAnsi="Times New Roman" w:cs="Times New Roman"/>
                <w:b w:val="0"/>
                <w:bCs/>
              </w:rPr>
              <w:t>13</w:t>
            </w:r>
          </w:p>
        </w:tc>
      </w:tr>
    </w:tbl>
    <w:p>
      <w:pPr>
        <w:jc w:val="center"/>
        <w:rPr>
          <w:rFonts w:ascii="Times New Roman" w:hAnsi="Times New Roman" w:cs="Times New Roman"/>
          <w:b w:val="0"/>
          <w:bCs/>
          <w:sz w:val="24"/>
          <w:szCs w:val="28"/>
        </w:rPr>
      </w:pPr>
    </w:p>
    <w:p>
      <w:pPr>
        <w:jc w:val="center"/>
        <w:rPr>
          <w:rFonts w:ascii="Times New Roman" w:hAnsi="Times New Roman" w:cs="Times New Roman"/>
          <w:b w:val="0"/>
          <w:bCs/>
          <w:sz w:val="24"/>
          <w:szCs w:val="28"/>
        </w:rPr>
      </w:pPr>
    </w:p>
    <w:p>
      <w:pPr>
        <w:spacing w:line="360" w:lineRule="auto"/>
        <w:jc w:val="center"/>
        <w:rPr>
          <w:rFonts w:ascii="Times New Roman" w:hAnsi="Times New Roman" w:cs="Times New Roman"/>
          <w:b w:val="0"/>
          <w:bCs/>
        </w:rPr>
      </w:pPr>
      <w:r>
        <w:rPr>
          <w:rFonts w:ascii="Times New Roman" w:hAnsi="Times New Roman" w:cs="Times New Roman"/>
          <w:b w:val="0"/>
          <w:bCs/>
        </w:rPr>
        <w:t>Ⅱ 近零碳建筑</w:t>
      </w:r>
    </w:p>
    <w:p>
      <w:pPr>
        <w:adjustRightInd/>
        <w:snapToGrid/>
        <w:spacing w:line="360" w:lineRule="auto"/>
        <w:jc w:val="left"/>
        <w:outlineLvl w:val="2"/>
        <w:rPr>
          <w:rFonts w:ascii="Times New Roman" w:hAnsi="Times New Roman" w:cs="Times New Roman"/>
          <w:b w:val="0"/>
          <w:bCs/>
          <w:szCs w:val="32"/>
        </w:rPr>
      </w:pPr>
      <w:r>
        <w:rPr>
          <w:rFonts w:ascii="Times New Roman" w:hAnsi="Times New Roman" w:cs="Times New Roman"/>
          <w:b w:val="0"/>
          <w:bCs/>
          <w:szCs w:val="32"/>
        </w:rPr>
        <w:t>3.2.3近零碳居住建筑碳排放强度应不高于表3.2.3规定的限值。</w:t>
      </w:r>
    </w:p>
    <w:p>
      <w:pPr>
        <w:spacing w:before="156" w:beforeLines="50" w:after="156" w:afterLines="50" w:line="360" w:lineRule="auto"/>
        <w:jc w:val="center"/>
        <w:rPr>
          <w:rFonts w:ascii="Times New Roman" w:hAnsi="Times New Roman" w:cs="Times New Roman"/>
          <w:b w:val="0"/>
          <w:bCs/>
        </w:rPr>
      </w:pPr>
      <w:r>
        <w:rPr>
          <w:rFonts w:ascii="Times New Roman" w:hAnsi="Times New Roman" w:cs="Times New Roman"/>
          <w:b w:val="0"/>
          <w:bCs/>
        </w:rPr>
        <w:t>表3.2.3近零碳居住建筑碳排放强度限值(kg CO</w:t>
      </w:r>
      <w:r>
        <w:rPr>
          <w:rFonts w:ascii="Times New Roman" w:hAnsi="Times New Roman" w:cs="Times New Roman"/>
          <w:b w:val="0"/>
          <w:bCs/>
          <w:vertAlign w:val="subscript"/>
        </w:rPr>
        <w:t>2</w:t>
      </w: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 xml:space="preserve"> a)</w:t>
      </w:r>
    </w:p>
    <w:tbl>
      <w:tblPr>
        <w:tblStyle w:val="43"/>
        <w:tblW w:w="5000" w:type="pct"/>
        <w:jc w:val="cente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autofit"/>
        <w:tblCellMar>
          <w:top w:w="0" w:type="dxa"/>
          <w:left w:w="0" w:type="dxa"/>
          <w:bottom w:w="0" w:type="dxa"/>
          <w:right w:w="0" w:type="dxa"/>
        </w:tblCellMar>
      </w:tblPr>
      <w:tblGrid>
        <w:gridCol w:w="1988"/>
        <w:gridCol w:w="1397"/>
        <w:gridCol w:w="1270"/>
        <w:gridCol w:w="1397"/>
        <w:gridCol w:w="1165"/>
        <w:gridCol w:w="1125"/>
      </w:tblGrid>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Ex>
        <w:trPr>
          <w:trHeight w:val="369" w:hRule="atLeast"/>
          <w:jc w:val="center"/>
        </w:trPr>
        <w:tc>
          <w:tcPr>
            <w:tcW w:w="1192" w:type="pct"/>
            <w:tcBorders>
              <w:tl2br w:val="single" w:color="585858" w:themeColor="text1" w:themeTint="A6" w:sz="4" w:space="0"/>
            </w:tcBorders>
            <w:shd w:val="clear" w:color="auto" w:fill="auto"/>
            <w:tcMar>
              <w:top w:w="15" w:type="dxa"/>
              <w:left w:w="15" w:type="dxa"/>
              <w:bottom w:w="0" w:type="dxa"/>
              <w:right w:w="15" w:type="dxa"/>
            </w:tcMar>
            <w:vAlign w:val="center"/>
          </w:tcPr>
          <w:p>
            <w:pPr>
              <w:widowControl/>
              <w:adjustRightInd/>
              <w:snapToGrid/>
              <w:jc w:val="right"/>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气候区</w:t>
            </w:r>
          </w:p>
          <w:p>
            <w:pPr>
              <w:widowControl/>
              <w:adjustRightInd/>
              <w:snapToGrid/>
              <w:jc w:val="right"/>
              <w:rPr>
                <w:rFonts w:ascii="Times New Roman" w:hAnsi="Times New Roman" w:eastAsia="宋体" w:cs="Times New Roman"/>
                <w:b w:val="0"/>
                <w:bCs/>
                <w:kern w:val="0"/>
                <w:szCs w:val="21"/>
              </w:rPr>
            </w:pPr>
          </w:p>
          <w:p>
            <w:pPr>
              <w:widowControl/>
              <w:adjustRightInd/>
              <w:snapToGrid/>
              <w:jc w:val="left"/>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太阳辐照量等级</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严寒地区</w:t>
            </w:r>
          </w:p>
        </w:tc>
        <w:tc>
          <w:tcPr>
            <w:tcW w:w="761"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寒冷地区</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夏热冬冷地区</w:t>
            </w:r>
          </w:p>
        </w:tc>
        <w:tc>
          <w:tcPr>
            <w:tcW w:w="698"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夏热冬暖地区</w:t>
            </w:r>
          </w:p>
        </w:tc>
        <w:tc>
          <w:tcPr>
            <w:tcW w:w="67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themeColor="text1"/>
                <w:kern w:val="24"/>
                <w:szCs w:val="21"/>
                <w14:textFill>
                  <w14:solidFill>
                    <w14:schemeClr w14:val="tx1"/>
                  </w14:solidFill>
                </w14:textFill>
              </w:rPr>
              <w:t>温和地区</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Ex>
        <w:trPr>
          <w:trHeight w:val="316" w:hRule="atLeast"/>
          <w:jc w:val="center"/>
        </w:trPr>
        <w:tc>
          <w:tcPr>
            <w:tcW w:w="1192"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Ⅰ</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kern w:val="24"/>
                <w:szCs w:val="21"/>
              </w:rPr>
              <w:t>14</w:t>
            </w:r>
          </w:p>
        </w:tc>
        <w:tc>
          <w:tcPr>
            <w:tcW w:w="761"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color w:val="000000"/>
                <w:kern w:val="24"/>
                <w:szCs w:val="21"/>
              </w:rPr>
              <w:t>13</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w:t>
            </w:r>
          </w:p>
        </w:tc>
        <w:tc>
          <w:tcPr>
            <w:tcW w:w="698"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w:t>
            </w:r>
          </w:p>
        </w:tc>
        <w:tc>
          <w:tcPr>
            <w:tcW w:w="67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Ex>
        <w:trPr>
          <w:trHeight w:val="316" w:hRule="atLeast"/>
          <w:jc w:val="center"/>
        </w:trPr>
        <w:tc>
          <w:tcPr>
            <w:tcW w:w="1192"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Ⅱ</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15</w:t>
            </w:r>
          </w:p>
        </w:tc>
        <w:tc>
          <w:tcPr>
            <w:tcW w:w="761"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14</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w:t>
            </w:r>
          </w:p>
        </w:tc>
        <w:tc>
          <w:tcPr>
            <w:tcW w:w="698"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16</w:t>
            </w:r>
          </w:p>
        </w:tc>
        <w:tc>
          <w:tcPr>
            <w:tcW w:w="67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12</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Ex>
        <w:trPr>
          <w:trHeight w:val="316" w:hRule="atLeast"/>
          <w:jc w:val="center"/>
        </w:trPr>
        <w:tc>
          <w:tcPr>
            <w:tcW w:w="1192"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Ⅲ</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16</w:t>
            </w:r>
          </w:p>
        </w:tc>
        <w:tc>
          <w:tcPr>
            <w:tcW w:w="761"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16</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16</w:t>
            </w:r>
          </w:p>
        </w:tc>
        <w:tc>
          <w:tcPr>
            <w:tcW w:w="698"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17</w:t>
            </w:r>
          </w:p>
        </w:tc>
        <w:tc>
          <w:tcPr>
            <w:tcW w:w="67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13</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Ex>
        <w:trPr>
          <w:trHeight w:val="316" w:hRule="atLeast"/>
          <w:jc w:val="center"/>
        </w:trPr>
        <w:tc>
          <w:tcPr>
            <w:tcW w:w="1192"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Ⅳ</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w:t>
            </w:r>
          </w:p>
        </w:tc>
        <w:tc>
          <w:tcPr>
            <w:tcW w:w="761"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w:t>
            </w:r>
          </w:p>
        </w:tc>
        <w:tc>
          <w:tcPr>
            <w:tcW w:w="837"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17</w:t>
            </w:r>
          </w:p>
        </w:tc>
        <w:tc>
          <w:tcPr>
            <w:tcW w:w="698"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w:t>
            </w:r>
          </w:p>
        </w:tc>
        <w:tc>
          <w:tcPr>
            <w:tcW w:w="674" w:type="pct"/>
            <w:shd w:val="clear" w:color="auto" w:fill="auto"/>
            <w:tcMar>
              <w:top w:w="15" w:type="dxa"/>
              <w:left w:w="15" w:type="dxa"/>
              <w:bottom w:w="0" w:type="dxa"/>
              <w:right w:w="15" w:type="dxa"/>
            </w:tcMar>
            <w:vAlign w:val="center"/>
          </w:tcPr>
          <w:p>
            <w:pPr>
              <w:widowControl/>
              <w:adjustRightInd/>
              <w:snapToGrid/>
              <w:jc w:val="center"/>
              <w:textAlignment w:val="center"/>
              <w:rPr>
                <w:rFonts w:ascii="Times New Roman" w:hAnsi="Times New Roman" w:eastAsia="宋体" w:cs="Times New Roman"/>
                <w:b w:val="0"/>
                <w:bCs/>
                <w:color w:val="000000"/>
                <w:kern w:val="24"/>
                <w:szCs w:val="21"/>
              </w:rPr>
            </w:pPr>
            <w:r>
              <w:rPr>
                <w:rFonts w:ascii="Times New Roman" w:hAnsi="Times New Roman" w:eastAsia="宋体" w:cs="Times New Roman"/>
                <w:b w:val="0"/>
                <w:bCs/>
                <w:color w:val="000000"/>
                <w:kern w:val="24"/>
                <w:szCs w:val="21"/>
              </w:rPr>
              <w:t>14</w:t>
            </w:r>
          </w:p>
        </w:tc>
      </w:tr>
    </w:tbl>
    <w:p>
      <w:pPr>
        <w:rPr>
          <w:rFonts w:ascii="Times New Roman" w:hAnsi="Times New Roman" w:cs="Times New Roman"/>
          <w:b w:val="0"/>
          <w:bCs/>
        </w:rPr>
      </w:pPr>
    </w:p>
    <w:p>
      <w:pPr>
        <w:adjustRightInd/>
        <w:snapToGrid/>
        <w:spacing w:line="360" w:lineRule="auto"/>
        <w:jc w:val="left"/>
        <w:outlineLvl w:val="2"/>
        <w:rPr>
          <w:rFonts w:ascii="Times New Roman" w:hAnsi="Times New Roman" w:cs="Times New Roman"/>
          <w:b w:val="0"/>
          <w:bCs/>
          <w:szCs w:val="32"/>
        </w:rPr>
      </w:pPr>
      <w:r>
        <w:rPr>
          <w:rFonts w:ascii="Times New Roman" w:hAnsi="Times New Roman" w:cs="Times New Roman"/>
          <w:b w:val="0"/>
          <w:bCs/>
          <w:szCs w:val="32"/>
        </w:rPr>
        <w:t>3.2.4近零碳公共建筑碳排放指标应满足下列条件之一：</w:t>
      </w:r>
    </w:p>
    <w:p>
      <w:pPr>
        <w:spacing w:before="156" w:beforeLines="50" w:after="156" w:afterLines="50" w:line="360" w:lineRule="auto"/>
        <w:rPr>
          <w:rFonts w:ascii="Times New Roman" w:hAnsi="Times New Roman" w:cs="Times New Roman"/>
          <w:b w:val="0"/>
          <w:bCs/>
        </w:rPr>
      </w:pPr>
      <w:r>
        <w:rPr>
          <w:rFonts w:ascii="Times New Roman" w:hAnsi="Times New Roman" w:cs="Times New Roman"/>
          <w:b w:val="0"/>
          <w:bCs/>
        </w:rPr>
        <w:t>1 建筑降碳率应符合表</w:t>
      </w:r>
      <w:r>
        <w:rPr>
          <w:rFonts w:ascii="Times New Roman" w:hAnsi="Times New Roman" w:cs="Times New Roman"/>
          <w:b w:val="0"/>
          <w:bCs/>
          <w:szCs w:val="32"/>
        </w:rPr>
        <w:t>3.2.4-1</w:t>
      </w:r>
      <w:r>
        <w:rPr>
          <w:rFonts w:ascii="Times New Roman" w:hAnsi="Times New Roman" w:cs="Times New Roman"/>
          <w:b w:val="0"/>
          <w:bCs/>
        </w:rPr>
        <w:t>的规定；</w:t>
      </w:r>
    </w:p>
    <w:p>
      <w:pPr>
        <w:spacing w:before="156" w:beforeLines="50" w:after="156" w:afterLines="50" w:line="360" w:lineRule="auto"/>
        <w:jc w:val="center"/>
        <w:rPr>
          <w:rFonts w:ascii="Times New Roman" w:hAnsi="Times New Roman" w:cs="Times New Roman"/>
          <w:b w:val="0"/>
          <w:bCs/>
        </w:rPr>
      </w:pPr>
      <w:r>
        <w:rPr>
          <w:rFonts w:ascii="Times New Roman" w:hAnsi="Times New Roman" w:cs="Times New Roman"/>
          <w:b w:val="0"/>
          <w:bCs/>
        </w:rPr>
        <w:t>表3.2.4-1近零碳公共建筑降碳率</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1288"/>
        <w:gridCol w:w="1289"/>
        <w:gridCol w:w="1146"/>
        <w:gridCol w:w="142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23" w:type="pct"/>
            <w:tcBorders>
              <w:tl2br w:val="nil"/>
            </w:tcBorders>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气候区</w:t>
            </w:r>
          </w:p>
        </w:tc>
        <w:tc>
          <w:tcPr>
            <w:tcW w:w="755"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严寒</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地区</w:t>
            </w:r>
          </w:p>
        </w:tc>
        <w:tc>
          <w:tcPr>
            <w:tcW w:w="75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寒冷</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地区</w:t>
            </w:r>
          </w:p>
        </w:tc>
        <w:tc>
          <w:tcPr>
            <w:tcW w:w="672"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夏热冬</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冷地区</w:t>
            </w:r>
          </w:p>
        </w:tc>
        <w:tc>
          <w:tcPr>
            <w:tcW w:w="838"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夏热冬</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暖地区</w:t>
            </w:r>
          </w:p>
        </w:tc>
        <w:tc>
          <w:tcPr>
            <w:tcW w:w="75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温和</w:t>
            </w:r>
          </w:p>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23"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建筑降碳率</w:t>
            </w:r>
          </w:p>
        </w:tc>
        <w:tc>
          <w:tcPr>
            <w:tcW w:w="755"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20"/>
                <w:szCs w:val="20"/>
              </w:rPr>
              <w:t>≥55%</w:t>
            </w:r>
          </w:p>
        </w:tc>
        <w:tc>
          <w:tcPr>
            <w:tcW w:w="756" w:type="pct"/>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20"/>
                <w:szCs w:val="20"/>
              </w:rPr>
              <w:t>≥50%</w:t>
            </w:r>
          </w:p>
        </w:tc>
        <w:tc>
          <w:tcPr>
            <w:tcW w:w="2266" w:type="pct"/>
            <w:gridSpan w:val="3"/>
            <w:vAlign w:val="center"/>
          </w:tcPr>
          <w:p>
            <w:pPr>
              <w:adjustRightInd/>
              <w:snapToGrid/>
              <w:jc w:val="center"/>
              <w:outlineLvl w:val="2"/>
              <w:rPr>
                <w:rFonts w:ascii="Times New Roman" w:hAnsi="Times New Roman" w:cs="Times New Roman"/>
                <w:b w:val="0"/>
                <w:bCs/>
                <w:sz w:val="18"/>
                <w:szCs w:val="18"/>
              </w:rPr>
            </w:pPr>
            <w:r>
              <w:rPr>
                <w:rFonts w:ascii="Times New Roman" w:hAnsi="Times New Roman" w:cs="Times New Roman"/>
                <w:b w:val="0"/>
                <w:bCs/>
                <w:sz w:val="20"/>
                <w:szCs w:val="20"/>
              </w:rPr>
              <w:t>≥45%</w:t>
            </w:r>
          </w:p>
        </w:tc>
      </w:tr>
    </w:tbl>
    <w:p>
      <w:pPr>
        <w:spacing w:before="156" w:beforeLines="50" w:after="156" w:afterLines="50" w:line="360" w:lineRule="auto"/>
        <w:rPr>
          <w:rFonts w:ascii="Times New Roman" w:hAnsi="Times New Roman" w:cs="Times New Roman"/>
          <w:b w:val="0"/>
          <w:bCs/>
        </w:rPr>
      </w:pPr>
      <w:r>
        <w:rPr>
          <w:rFonts w:ascii="Times New Roman" w:hAnsi="Times New Roman" w:cs="Times New Roman"/>
          <w:b w:val="0"/>
          <w:bCs/>
        </w:rPr>
        <w:t>2 建筑碳排放强度应不高于表</w:t>
      </w:r>
      <w:r>
        <w:rPr>
          <w:rFonts w:ascii="Times New Roman" w:hAnsi="Times New Roman" w:cs="Times New Roman"/>
          <w:b w:val="0"/>
          <w:bCs/>
          <w:szCs w:val="32"/>
        </w:rPr>
        <w:t>3.2.4-2</w:t>
      </w:r>
      <w:r>
        <w:rPr>
          <w:rFonts w:ascii="Times New Roman" w:hAnsi="Times New Roman" w:cs="Times New Roman"/>
          <w:b w:val="0"/>
          <w:bCs/>
        </w:rPr>
        <w:t>限值的规定。</w:t>
      </w:r>
    </w:p>
    <w:p>
      <w:pPr>
        <w:spacing w:before="156" w:beforeLines="50" w:after="156" w:afterLines="50" w:line="360" w:lineRule="auto"/>
        <w:jc w:val="center"/>
        <w:rPr>
          <w:rFonts w:ascii="Times New Roman" w:hAnsi="Times New Roman" w:cs="Times New Roman"/>
          <w:b w:val="0"/>
          <w:bCs/>
        </w:rPr>
      </w:pPr>
      <w:r>
        <w:rPr>
          <w:rFonts w:ascii="Times New Roman" w:hAnsi="Times New Roman" w:cs="Times New Roman"/>
          <w:b w:val="0"/>
          <w:bCs/>
        </w:rPr>
        <w:t>表3.2.4-2 近零碳公共建筑碳排放强度</w:t>
      </w:r>
      <w:r>
        <w:rPr>
          <w:rFonts w:ascii="Times New Roman" w:hAnsi="Times New Roman" w:eastAsia="宋体" w:cs="Times New Roman"/>
          <w:b w:val="0"/>
          <w:bCs/>
        </w:rPr>
        <w:t>(kg CO</w:t>
      </w:r>
      <w:r>
        <w:rPr>
          <w:rFonts w:ascii="Times New Roman" w:hAnsi="Times New Roman" w:eastAsia="宋体" w:cs="Times New Roman"/>
          <w:b w:val="0"/>
          <w:bCs/>
          <w:vertAlign w:val="subscript"/>
        </w:rPr>
        <w:t>2</w:t>
      </w:r>
      <w:r>
        <w:rPr>
          <w:rFonts w:ascii="Times New Roman" w:hAnsi="Times New Roman" w:eastAsia="宋体" w:cs="Times New Roman"/>
          <w:b w:val="0"/>
          <w:bCs/>
        </w:rPr>
        <w:t>/m</w:t>
      </w:r>
      <w:r>
        <w:rPr>
          <w:rFonts w:ascii="Times New Roman" w:hAnsi="Times New Roman" w:eastAsia="宋体" w:cs="Times New Roman"/>
          <w:b w:val="0"/>
          <w:bCs/>
          <w:vertAlign w:val="superscript"/>
        </w:rPr>
        <w:t>2</w:t>
      </w:r>
      <w:r>
        <w:rPr>
          <w:rFonts w:ascii="Times New Roman" w:hAnsi="Times New Roman" w:eastAsia="宋体" w:cs="Times New Roman"/>
          <w:b w:val="0"/>
          <w:bCs/>
        </w:rPr>
        <w:t xml:space="preserve"> a)</w:t>
      </w:r>
    </w:p>
    <w:tbl>
      <w:tblPr>
        <w:tblStyle w:val="43"/>
        <w:tblW w:w="51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829"/>
        <w:gridCol w:w="966"/>
        <w:gridCol w:w="966"/>
        <w:gridCol w:w="1364"/>
        <w:gridCol w:w="966"/>
        <w:gridCol w:w="966"/>
        <w:gridCol w:w="966"/>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4" w:type="pct"/>
            <w:vMerge w:val="restar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气候区</w:t>
            </w:r>
          </w:p>
        </w:tc>
        <w:tc>
          <w:tcPr>
            <w:tcW w:w="475" w:type="pct"/>
            <w:vMerge w:val="restar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kern w:val="0"/>
                <w:sz w:val="18"/>
                <w:szCs w:val="18"/>
              </w:rPr>
              <w:t>太阳辐照量等级</w:t>
            </w:r>
          </w:p>
        </w:tc>
        <w:tc>
          <w:tcPr>
            <w:tcW w:w="4102" w:type="pct"/>
            <w:gridSpan w:val="7"/>
            <w:shd w:val="clear" w:color="auto" w:fill="auto"/>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themeColor="text1"/>
                <w:kern w:val="0"/>
                <w:sz w:val="18"/>
                <w:szCs w:val="18"/>
                <w14:textFill>
                  <w14:solidFill>
                    <w14:schemeClr w14:val="tx1"/>
                  </w14:solidFill>
                </w14:textFill>
              </w:rPr>
              <w:t>建筑类型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24" w:type="pct"/>
            <w:vMerge w:val="continue"/>
            <w:shd w:val="clear" w:color="auto" w:fill="auto"/>
            <w:vAlign w:val="center"/>
          </w:tcPr>
          <w:p>
            <w:pPr>
              <w:widowControl/>
              <w:jc w:val="center"/>
              <w:rPr>
                <w:rFonts w:ascii="Times New Roman" w:hAnsi="Times New Roman" w:eastAsia="宋体" w:cs="Times New Roman"/>
                <w:b w:val="0"/>
                <w:bCs/>
                <w:color w:val="000000"/>
                <w:kern w:val="0"/>
                <w:sz w:val="18"/>
                <w:szCs w:val="18"/>
              </w:rPr>
            </w:pPr>
          </w:p>
        </w:tc>
        <w:tc>
          <w:tcPr>
            <w:tcW w:w="475" w:type="pct"/>
            <w:vMerge w:val="continue"/>
            <w:shd w:val="clear" w:color="auto" w:fill="auto"/>
            <w:vAlign w:val="center"/>
          </w:tcPr>
          <w:p>
            <w:pPr>
              <w:widowControl/>
              <w:jc w:val="center"/>
              <w:rPr>
                <w:rFonts w:ascii="Times New Roman" w:hAnsi="Times New Roman" w:eastAsia="宋体" w:cs="Times New Roman"/>
                <w:b w:val="0"/>
                <w:bCs/>
                <w:color w:val="000000"/>
                <w:kern w:val="0"/>
                <w:sz w:val="18"/>
                <w:szCs w:val="18"/>
              </w:rPr>
            </w:pPr>
          </w:p>
        </w:tc>
        <w:tc>
          <w:tcPr>
            <w:tcW w:w="553" w:type="pct"/>
            <w:shd w:val="clear" w:color="auto" w:fill="auto"/>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kern w:val="0"/>
                <w:sz w:val="18"/>
                <w:szCs w:val="18"/>
              </w:rPr>
              <w:t>小型办公建筑</w:t>
            </w:r>
          </w:p>
        </w:tc>
        <w:tc>
          <w:tcPr>
            <w:tcW w:w="553" w:type="pct"/>
            <w:shd w:val="clear" w:color="auto" w:fill="auto"/>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kern w:val="0"/>
                <w:sz w:val="18"/>
                <w:szCs w:val="18"/>
              </w:rPr>
              <w:t>大型办公建筑</w:t>
            </w:r>
          </w:p>
        </w:tc>
        <w:tc>
          <w:tcPr>
            <w:tcW w:w="781" w:type="pct"/>
            <w:shd w:val="clear" w:color="auto" w:fill="auto"/>
            <w:noWrap/>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kern w:val="0"/>
                <w:sz w:val="18"/>
                <w:szCs w:val="18"/>
              </w:rPr>
              <w:t>小型酒店建筑</w:t>
            </w:r>
          </w:p>
        </w:tc>
        <w:tc>
          <w:tcPr>
            <w:tcW w:w="553" w:type="pct"/>
            <w:shd w:val="clear" w:color="auto" w:fill="auto"/>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kern w:val="0"/>
                <w:sz w:val="18"/>
                <w:szCs w:val="18"/>
              </w:rPr>
              <w:t>大型酒店建筑</w:t>
            </w:r>
          </w:p>
        </w:tc>
        <w:tc>
          <w:tcPr>
            <w:tcW w:w="553" w:type="pct"/>
            <w:shd w:val="clear" w:color="auto" w:fill="auto"/>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kern w:val="0"/>
                <w:sz w:val="18"/>
                <w:szCs w:val="18"/>
              </w:rPr>
              <w:t>商场建筑</w:t>
            </w:r>
          </w:p>
        </w:tc>
        <w:tc>
          <w:tcPr>
            <w:tcW w:w="553" w:type="pct"/>
            <w:shd w:val="clear" w:color="auto" w:fill="auto"/>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kern w:val="0"/>
                <w:sz w:val="18"/>
                <w:szCs w:val="18"/>
              </w:rPr>
              <w:t>医院建筑-医技综合楼</w:t>
            </w:r>
          </w:p>
        </w:tc>
        <w:tc>
          <w:tcPr>
            <w:tcW w:w="555" w:type="pct"/>
            <w:shd w:val="clear" w:color="auto" w:fill="auto"/>
            <w:vAlign w:val="center"/>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color w:val="000000"/>
                <w:kern w:val="0"/>
                <w:sz w:val="18"/>
                <w:szCs w:val="18"/>
              </w:rPr>
              <w:t>学校建筑-教学楼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restar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严寒</w:t>
            </w: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16</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19</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20</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24</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49</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40.5</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17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20</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22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25</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51</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42.5</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18</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21</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24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26.5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53.5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44.5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restar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寒冷</w:t>
            </w: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14</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18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20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27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51.5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42.5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15</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19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22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28.5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54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43.5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16</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20</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24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30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56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45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restar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夏热</w:t>
            </w:r>
          </w:p>
          <w:p>
            <w:pPr>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冬冷</w:t>
            </w: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16</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23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22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30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61</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47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shd w:val="clear" w:color="auto" w:fill="auto"/>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IV</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17</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24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24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31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63</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49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restar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夏热</w:t>
            </w:r>
          </w:p>
          <w:p>
            <w:pPr>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冬暖</w:t>
            </w: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16</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24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27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33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69</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50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shd w:val="clear" w:color="auto" w:fill="auto"/>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17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25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29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35</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70</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52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restar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温和</w:t>
            </w: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12</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18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18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22</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49 .5</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35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III</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13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18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19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23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52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37</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4" w:type="pct"/>
            <w:vMerge w:val="continue"/>
            <w:vAlign w:val="center"/>
          </w:tcPr>
          <w:p>
            <w:pPr>
              <w:widowControl/>
              <w:jc w:val="center"/>
              <w:rPr>
                <w:rFonts w:ascii="Times New Roman" w:hAnsi="Times New Roman" w:eastAsia="宋体" w:cs="Times New Roman"/>
                <w:b w:val="0"/>
                <w:bCs/>
                <w:color w:val="000000"/>
                <w:kern w:val="0"/>
                <w:sz w:val="18"/>
                <w:szCs w:val="18"/>
              </w:rPr>
            </w:pPr>
          </w:p>
        </w:tc>
        <w:tc>
          <w:tcPr>
            <w:tcW w:w="475" w:type="pct"/>
            <w:shd w:val="clear" w:color="auto" w:fill="auto"/>
            <w:vAlign w:val="center"/>
          </w:tcPr>
          <w:p>
            <w:pPr>
              <w:widowControl/>
              <w:jc w:val="center"/>
              <w:rPr>
                <w:rFonts w:ascii="Times New Roman" w:hAnsi="Times New Roman" w:eastAsia="宋体" w:cs="Times New Roman"/>
                <w:b w:val="0"/>
                <w:bCs/>
                <w:color w:val="000000"/>
                <w:kern w:val="0"/>
                <w:sz w:val="18"/>
                <w:szCs w:val="18"/>
              </w:rPr>
            </w:pPr>
            <w:r>
              <w:rPr>
                <w:rFonts w:ascii="Times New Roman" w:hAnsi="Times New Roman" w:eastAsia="宋体" w:cs="Times New Roman"/>
                <w:b w:val="0"/>
                <w:bCs/>
                <w:color w:val="000000"/>
                <w:kern w:val="0"/>
                <w:sz w:val="18"/>
                <w:szCs w:val="18"/>
              </w:rPr>
              <w:t>IV</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14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18 </w:t>
            </w:r>
          </w:p>
        </w:tc>
        <w:tc>
          <w:tcPr>
            <w:tcW w:w="781" w:type="pct"/>
            <w:shd w:val="clear" w:color="auto" w:fill="auto"/>
            <w:noWrap/>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21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25</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54 </w:t>
            </w:r>
          </w:p>
        </w:tc>
        <w:tc>
          <w:tcPr>
            <w:tcW w:w="553"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38 </w:t>
            </w:r>
          </w:p>
        </w:tc>
        <w:tc>
          <w:tcPr>
            <w:tcW w:w="555" w:type="pct"/>
            <w:shd w:val="clear" w:color="auto" w:fill="auto"/>
          </w:tcPr>
          <w:p>
            <w:pPr>
              <w:widowControl/>
              <w:jc w:val="center"/>
              <w:rPr>
                <w:rFonts w:ascii="Times New Roman" w:hAnsi="Times New Roman" w:eastAsia="宋体" w:cs="Times New Roman"/>
                <w:b w:val="0"/>
                <w:bCs/>
                <w:color w:val="000000" w:themeColor="text1"/>
                <w:kern w:val="0"/>
                <w:sz w:val="18"/>
                <w:szCs w:val="18"/>
                <w14:textFill>
                  <w14:solidFill>
                    <w14:schemeClr w14:val="tx1"/>
                  </w14:solidFill>
                </w14:textFill>
              </w:rPr>
            </w:pPr>
            <w:r>
              <w:rPr>
                <w:rFonts w:ascii="Times New Roman" w:hAnsi="Times New Roman" w:eastAsia="宋体" w:cs="Times New Roman"/>
                <w:b w:val="0"/>
                <w:bCs/>
                <w:sz w:val="18"/>
                <w:szCs w:val="18"/>
              </w:rPr>
              <w:t xml:space="preserve">11 </w:t>
            </w:r>
          </w:p>
        </w:tc>
      </w:tr>
    </w:tbl>
    <w:p>
      <w:pPr>
        <w:rPr>
          <w:rFonts w:ascii="Times New Roman" w:hAnsi="Times New Roman" w:cs="Times New Roman"/>
          <w:b w:val="0"/>
          <w:bCs/>
        </w:rPr>
      </w:pPr>
    </w:p>
    <w:p>
      <w:pPr>
        <w:rPr>
          <w:rFonts w:ascii="Times New Roman" w:hAnsi="Times New Roman" w:cs="Times New Roman"/>
          <w:b w:val="0"/>
          <w:bCs/>
        </w:rPr>
      </w:pPr>
    </w:p>
    <w:p>
      <w:pPr>
        <w:jc w:val="center"/>
        <w:rPr>
          <w:rFonts w:ascii="Times New Roman" w:hAnsi="Times New Roman" w:cs="Times New Roman"/>
          <w:b w:val="0"/>
          <w:bCs/>
          <w:sz w:val="28"/>
          <w:szCs w:val="32"/>
        </w:rPr>
      </w:pPr>
    </w:p>
    <w:p>
      <w:pPr>
        <w:spacing w:line="360" w:lineRule="auto"/>
        <w:jc w:val="center"/>
        <w:rPr>
          <w:rFonts w:ascii="Times New Roman" w:hAnsi="Times New Roman" w:cs="Times New Roman"/>
          <w:b w:val="0"/>
          <w:bCs/>
        </w:rPr>
      </w:pPr>
      <w:r>
        <w:rPr>
          <w:rFonts w:ascii="Times New Roman" w:hAnsi="Times New Roman" w:cs="Times New Roman"/>
          <w:b w:val="0"/>
          <w:bCs/>
        </w:rPr>
        <w:t>Ⅲ 零碳建筑</w:t>
      </w:r>
    </w:p>
    <w:p>
      <w:pPr>
        <w:adjustRightInd/>
        <w:snapToGrid/>
        <w:spacing w:line="360" w:lineRule="auto"/>
        <w:jc w:val="left"/>
        <w:outlineLvl w:val="2"/>
        <w:rPr>
          <w:rFonts w:ascii="Times New Roman" w:hAnsi="Times New Roman" w:cs="Times New Roman"/>
          <w:b w:val="0"/>
          <w:bCs/>
          <w:szCs w:val="32"/>
        </w:rPr>
      </w:pPr>
      <w:r>
        <w:rPr>
          <w:rFonts w:ascii="Times New Roman" w:hAnsi="Times New Roman" w:cs="Times New Roman"/>
          <w:b w:val="0"/>
          <w:bCs/>
          <w:szCs w:val="32"/>
        </w:rPr>
        <w:t>3.2.5</w:t>
      </w:r>
      <w:r>
        <w:rPr>
          <w:rFonts w:hint="eastAsia" w:ascii="Times New Roman" w:hAnsi="Times New Roman" w:cs="Times New Roman"/>
          <w:b w:val="0"/>
          <w:bCs/>
          <w:szCs w:val="32"/>
        </w:rPr>
        <w:t>零碳建筑的碳排放强度应满足</w:t>
      </w:r>
      <w:r>
        <w:rPr>
          <w:rFonts w:ascii="Times New Roman" w:hAnsi="Times New Roman" w:cs="Times New Roman"/>
          <w:b w:val="0"/>
          <w:bCs/>
          <w:szCs w:val="32"/>
        </w:rPr>
        <w:t>3.2.3</w:t>
      </w:r>
      <w:r>
        <w:rPr>
          <w:rFonts w:hint="eastAsia" w:ascii="Times New Roman" w:hAnsi="Times New Roman" w:cs="Times New Roman"/>
          <w:b w:val="0"/>
          <w:bCs/>
          <w:szCs w:val="32"/>
        </w:rPr>
        <w:t>或</w:t>
      </w:r>
      <w:r>
        <w:rPr>
          <w:rFonts w:ascii="Times New Roman" w:hAnsi="Times New Roman" w:cs="Times New Roman"/>
          <w:b w:val="0"/>
          <w:bCs/>
          <w:szCs w:val="32"/>
        </w:rPr>
        <w:t>3.2.4</w:t>
      </w:r>
      <w:r>
        <w:rPr>
          <w:rFonts w:hint="eastAsia" w:ascii="Times New Roman" w:hAnsi="Times New Roman" w:cs="Times New Roman"/>
          <w:b w:val="0"/>
          <w:bCs/>
          <w:szCs w:val="32"/>
        </w:rPr>
        <w:t>条的规定，经碳抵消后的年碳排放总量应不大于零，且应符合下列规定：</w:t>
      </w:r>
    </w:p>
    <w:p>
      <w:pPr>
        <w:adjustRightInd/>
        <w:snapToGrid/>
        <w:spacing w:line="360" w:lineRule="auto"/>
        <w:ind w:firstLine="420" w:firstLineChars="200"/>
        <w:jc w:val="left"/>
        <w:outlineLvl w:val="2"/>
        <w:rPr>
          <w:rFonts w:ascii="Times New Roman" w:hAnsi="Times New Roman" w:cs="Times New Roman"/>
          <w:b w:val="0"/>
          <w:bCs/>
          <w:szCs w:val="32"/>
        </w:rPr>
      </w:pPr>
      <w:r>
        <w:rPr>
          <w:rFonts w:ascii="Times New Roman" w:hAnsi="Times New Roman" w:cs="Times New Roman"/>
          <w:b w:val="0"/>
          <w:bCs/>
          <w:szCs w:val="32"/>
        </w:rPr>
        <w:t xml:space="preserve">1 </w:t>
      </w:r>
      <w:r>
        <w:rPr>
          <w:rFonts w:hint="eastAsia" w:ascii="Times New Roman" w:hAnsi="Times New Roman" w:cs="Times New Roman"/>
          <w:b w:val="0"/>
          <w:bCs/>
          <w:szCs w:val="32"/>
        </w:rPr>
        <w:t>除单体建筑面积大于</w:t>
      </w:r>
      <w:r>
        <w:rPr>
          <w:rFonts w:ascii="Times New Roman" w:hAnsi="Times New Roman" w:cs="Times New Roman"/>
          <w:b w:val="0"/>
          <w:bCs/>
          <w:szCs w:val="32"/>
        </w:rPr>
        <w:t>40000</w:t>
      </w:r>
      <w:r>
        <w:rPr>
          <w:rFonts w:hint="eastAsia" w:ascii="Times New Roman" w:hAnsi="Times New Roman" w:cs="Times New Roman"/>
          <w:b w:val="0"/>
          <w:bCs/>
          <w:szCs w:val="32"/>
        </w:rPr>
        <w:t>㎡或高度大于</w:t>
      </w:r>
      <w:r>
        <w:rPr>
          <w:rFonts w:ascii="Times New Roman" w:hAnsi="Times New Roman" w:cs="Times New Roman"/>
          <w:b w:val="0"/>
          <w:bCs/>
          <w:szCs w:val="32"/>
        </w:rPr>
        <w:t>100m</w:t>
      </w:r>
      <w:r>
        <w:rPr>
          <w:rFonts w:hint="eastAsia" w:ascii="Times New Roman" w:hAnsi="Times New Roman" w:cs="Times New Roman"/>
          <w:b w:val="0"/>
          <w:bCs/>
          <w:szCs w:val="32"/>
        </w:rPr>
        <w:t>的建筑外，其他建筑碳抵消比例不超过基准建筑碳排放量的</w:t>
      </w:r>
      <w:r>
        <w:rPr>
          <w:rFonts w:ascii="Times New Roman" w:hAnsi="Times New Roman" w:cs="Times New Roman"/>
          <w:b w:val="0"/>
          <w:bCs/>
          <w:szCs w:val="32"/>
        </w:rPr>
        <w:t>30%</w:t>
      </w:r>
      <w:r>
        <w:rPr>
          <w:rFonts w:hint="eastAsia" w:ascii="Times New Roman" w:hAnsi="Times New Roman" w:cs="Times New Roman"/>
          <w:b w:val="0"/>
          <w:bCs/>
          <w:szCs w:val="32"/>
        </w:rPr>
        <w:t>；</w:t>
      </w:r>
    </w:p>
    <w:p>
      <w:pPr>
        <w:adjustRightInd/>
        <w:snapToGrid/>
        <w:spacing w:line="360" w:lineRule="auto"/>
        <w:ind w:firstLine="420" w:firstLineChars="200"/>
        <w:jc w:val="left"/>
        <w:outlineLvl w:val="2"/>
        <w:rPr>
          <w:rFonts w:ascii="Times New Roman" w:hAnsi="Times New Roman" w:cs="Times New Roman"/>
          <w:b w:val="0"/>
          <w:bCs/>
          <w:szCs w:val="32"/>
        </w:rPr>
      </w:pPr>
      <w:r>
        <w:rPr>
          <w:rFonts w:ascii="Times New Roman" w:hAnsi="Times New Roman" w:cs="Times New Roman"/>
          <w:b w:val="0"/>
          <w:bCs/>
          <w:szCs w:val="32"/>
        </w:rPr>
        <w:t xml:space="preserve">2 </w:t>
      </w:r>
      <w:r>
        <w:rPr>
          <w:rFonts w:hint="eastAsia" w:ascii="Times New Roman" w:hAnsi="Times New Roman" w:cs="Times New Roman"/>
          <w:b w:val="0"/>
          <w:bCs/>
          <w:szCs w:val="32"/>
        </w:rPr>
        <w:t>单体建筑面积大于</w:t>
      </w:r>
      <w:r>
        <w:rPr>
          <w:rFonts w:ascii="Times New Roman" w:hAnsi="Times New Roman" w:cs="Times New Roman"/>
          <w:b w:val="0"/>
          <w:bCs/>
          <w:szCs w:val="32"/>
        </w:rPr>
        <w:t>40000</w:t>
      </w:r>
      <w:r>
        <w:rPr>
          <w:rFonts w:hint="eastAsia" w:ascii="Times New Roman" w:hAnsi="Times New Roman" w:cs="Times New Roman"/>
          <w:b w:val="0"/>
          <w:bCs/>
          <w:szCs w:val="32"/>
        </w:rPr>
        <w:t>㎡或高度大于</w:t>
      </w:r>
      <w:r>
        <w:rPr>
          <w:rFonts w:ascii="Times New Roman" w:hAnsi="Times New Roman" w:cs="Times New Roman"/>
          <w:b w:val="0"/>
          <w:bCs/>
          <w:szCs w:val="32"/>
        </w:rPr>
        <w:t>100m</w:t>
      </w:r>
      <w:r>
        <w:rPr>
          <w:rFonts w:hint="eastAsia" w:ascii="Times New Roman" w:hAnsi="Times New Roman" w:cs="Times New Roman"/>
          <w:b w:val="0"/>
          <w:bCs/>
          <w:szCs w:val="32"/>
        </w:rPr>
        <w:t>的建筑，碳抵消比例不超过基准建筑碳排放量的</w:t>
      </w:r>
      <w:r>
        <w:rPr>
          <w:rFonts w:ascii="Times New Roman" w:hAnsi="Times New Roman" w:cs="Times New Roman"/>
          <w:b w:val="0"/>
          <w:bCs/>
          <w:szCs w:val="32"/>
        </w:rPr>
        <w:t>40%</w:t>
      </w:r>
      <w:r>
        <w:rPr>
          <w:rFonts w:hint="eastAsia" w:ascii="Times New Roman" w:hAnsi="Times New Roman" w:cs="Times New Roman"/>
          <w:b w:val="0"/>
          <w:bCs/>
          <w:szCs w:val="32"/>
        </w:rPr>
        <w:t>，并组织专家对其降碳方案进行专项论证。</w:t>
      </w:r>
    </w:p>
    <w:p>
      <w:pPr>
        <w:spacing w:line="400" w:lineRule="exact"/>
        <w:rPr>
          <w:rFonts w:ascii="Times New Roman" w:hAnsi="Times New Roman" w:eastAsia="宋体" w:cs="Times New Roman"/>
          <w:b w:val="0"/>
          <w:bCs/>
          <w:color w:val="111111"/>
          <w:szCs w:val="21"/>
        </w:rPr>
      </w:pPr>
    </w:p>
    <w:p>
      <w:pPr>
        <w:adjustRightInd/>
        <w:snapToGrid/>
        <w:spacing w:line="360" w:lineRule="auto"/>
        <w:jc w:val="left"/>
        <w:outlineLvl w:val="2"/>
        <w:rPr>
          <w:rFonts w:ascii="Times New Roman" w:hAnsi="Times New Roman" w:cs="Times New Roman"/>
          <w:b w:val="0"/>
          <w:bCs/>
          <w:szCs w:val="32"/>
        </w:rPr>
      </w:pPr>
      <w:r>
        <w:rPr>
          <w:rFonts w:ascii="Times New Roman" w:hAnsi="Times New Roman" w:cs="Times New Roman"/>
          <w:b w:val="0"/>
          <w:bCs/>
          <w:szCs w:val="32"/>
        </w:rPr>
        <w:t>3.2.6</w:t>
      </w:r>
      <w:r>
        <w:rPr>
          <w:rFonts w:hint="eastAsia" w:ascii="Times New Roman" w:hAnsi="Times New Roman" w:cs="Times New Roman"/>
          <w:b w:val="0"/>
          <w:bCs/>
          <w:szCs w:val="32"/>
        </w:rPr>
        <w:t>全过程零碳建筑可采取碳抵消措施，且应</w:t>
      </w:r>
      <w:r>
        <w:rPr>
          <w:rFonts w:hint="eastAsia" w:ascii="Times New Roman" w:hAnsi="Times New Roman" w:cs="Times New Roman"/>
          <w:b w:val="0"/>
          <w:bCs/>
          <w:szCs w:val="32"/>
          <w:lang w:val="en-US" w:eastAsia="zh-CN"/>
        </w:rPr>
        <w:t>符合</w:t>
      </w:r>
      <w:r>
        <w:rPr>
          <w:rFonts w:hint="eastAsia" w:ascii="Times New Roman" w:hAnsi="Times New Roman" w:cs="Times New Roman"/>
          <w:b w:val="0"/>
          <w:bCs/>
          <w:szCs w:val="32"/>
        </w:rPr>
        <w:t>下列规定：</w:t>
      </w:r>
    </w:p>
    <w:p>
      <w:pPr>
        <w:spacing w:before="156" w:beforeLines="50" w:line="360" w:lineRule="auto"/>
        <w:ind w:firstLine="420" w:firstLineChars="200"/>
        <w:rPr>
          <w:rFonts w:ascii="Times New Roman" w:hAnsi="Times New Roman" w:cs="Times New Roman"/>
          <w:b w:val="0"/>
          <w:bCs/>
          <w:szCs w:val="32"/>
        </w:rPr>
      </w:pPr>
      <w:r>
        <w:rPr>
          <w:rFonts w:ascii="Times New Roman" w:hAnsi="Times New Roman" w:cs="Times New Roman"/>
          <w:b w:val="0"/>
          <w:bCs/>
        </w:rPr>
        <w:t>1</w:t>
      </w:r>
      <w:r>
        <w:rPr>
          <w:rFonts w:hint="eastAsia" w:ascii="Times New Roman" w:hAnsi="Times New Roman" w:cs="Times New Roman"/>
          <w:b w:val="0"/>
          <w:bCs/>
          <w:lang w:val="en-US" w:eastAsia="zh-CN"/>
        </w:rPr>
        <w:t xml:space="preserve"> 符合</w:t>
      </w:r>
      <w:r>
        <w:rPr>
          <w:rFonts w:ascii="Times New Roman" w:hAnsi="Times New Roman" w:cs="Times New Roman"/>
          <w:b w:val="0"/>
          <w:bCs/>
        </w:rPr>
        <w:t>3.2.5</w:t>
      </w:r>
      <w:r>
        <w:rPr>
          <w:rFonts w:hint="eastAsia" w:ascii="Times New Roman" w:hAnsi="Times New Roman" w:cs="Times New Roman"/>
          <w:b w:val="0"/>
          <w:bCs/>
        </w:rPr>
        <w:t>条的规定</w:t>
      </w:r>
      <w:r>
        <w:rPr>
          <w:rFonts w:hint="eastAsia" w:ascii="Times New Roman" w:hAnsi="Times New Roman" w:cs="Times New Roman"/>
          <w:b w:val="0"/>
          <w:bCs/>
          <w:szCs w:val="32"/>
        </w:rPr>
        <w:t>；</w:t>
      </w:r>
    </w:p>
    <w:p>
      <w:pPr>
        <w:spacing w:before="156" w:beforeLines="50" w:line="360" w:lineRule="auto"/>
        <w:ind w:firstLine="420" w:firstLineChars="200"/>
        <w:rPr>
          <w:rFonts w:ascii="Times New Roman" w:hAnsi="Times New Roman" w:cs="Times New Roman"/>
          <w:b w:val="0"/>
          <w:bCs/>
          <w:szCs w:val="32"/>
        </w:rPr>
      </w:pPr>
      <w:r>
        <w:rPr>
          <w:rFonts w:ascii="Times New Roman" w:hAnsi="Times New Roman" w:cs="Times New Roman"/>
          <w:b w:val="0"/>
          <w:bCs/>
        </w:rPr>
        <w:t xml:space="preserve">2 </w:t>
      </w:r>
      <w:r>
        <w:rPr>
          <w:rFonts w:hint="eastAsia" w:ascii="Times New Roman" w:hAnsi="Times New Roman" w:cs="Times New Roman"/>
          <w:b w:val="0"/>
          <w:bCs/>
        </w:rPr>
        <w:t>建筑隐含碳排放不应高于</w:t>
      </w:r>
      <w:r>
        <w:rPr>
          <w:rFonts w:ascii="Times New Roman" w:hAnsi="Times New Roman" w:cs="Times New Roman"/>
          <w:b w:val="0"/>
          <w:bCs/>
        </w:rPr>
        <w:t>350kgCO</w:t>
      </w:r>
      <w:r>
        <w:rPr>
          <w:rFonts w:ascii="Times New Roman" w:hAnsi="Times New Roman" w:cs="Times New Roman"/>
          <w:b w:val="0"/>
          <w:bCs/>
          <w:vertAlign w:val="subscript"/>
        </w:rPr>
        <w:t>2</w:t>
      </w:r>
      <w:r>
        <w:rPr>
          <w:rFonts w:ascii="Times New Roman" w:hAnsi="Times New Roman" w:cs="Times New Roman"/>
          <w:b w:val="0"/>
          <w:bCs/>
        </w:rPr>
        <w:t>/m</w:t>
      </w:r>
      <w:r>
        <w:rPr>
          <w:rFonts w:ascii="Times New Roman" w:hAnsi="Times New Roman" w:cs="Times New Roman"/>
          <w:b w:val="0"/>
          <w:bCs/>
          <w:vertAlign w:val="superscript"/>
        </w:rPr>
        <w:t>2</w:t>
      </w:r>
      <w:r>
        <w:rPr>
          <w:rFonts w:hint="eastAsia" w:ascii="Times New Roman" w:hAnsi="Times New Roman" w:cs="Times New Roman"/>
          <w:b w:val="0"/>
          <w:bCs/>
          <w:szCs w:val="32"/>
        </w:rPr>
        <w:t>；</w:t>
      </w:r>
    </w:p>
    <w:p>
      <w:pPr>
        <w:spacing w:before="156" w:beforeLines="50" w:line="360" w:lineRule="auto"/>
        <w:ind w:firstLine="420" w:firstLineChars="200"/>
        <w:rPr>
          <w:rFonts w:ascii="Times New Roman" w:hAnsi="Times New Roman" w:cs="Times New Roman"/>
          <w:b w:val="0"/>
          <w:bCs/>
        </w:rPr>
      </w:pPr>
      <w:r>
        <w:rPr>
          <w:rFonts w:ascii="Times New Roman" w:hAnsi="Times New Roman" w:cs="Times New Roman"/>
          <w:b w:val="0"/>
          <w:bCs/>
          <w:szCs w:val="32"/>
        </w:rPr>
        <w:t xml:space="preserve">3 </w:t>
      </w:r>
      <w:r>
        <w:rPr>
          <w:rFonts w:hint="eastAsia" w:ascii="Times New Roman" w:hAnsi="Times New Roman" w:cs="Times New Roman"/>
          <w:b w:val="0"/>
          <w:bCs/>
          <w:szCs w:val="32"/>
        </w:rPr>
        <w:t>建筑全过程碳排放小于等于零。</w:t>
      </w:r>
    </w:p>
    <w:p>
      <w:pPr>
        <w:pStyle w:val="173"/>
        <w:ind w:firstLine="420"/>
        <w:rPr>
          <w:rFonts w:eastAsia="楷体"/>
          <w:b w:val="0"/>
          <w:bCs/>
          <w:color w:val="111111"/>
          <w:sz w:val="21"/>
          <w:szCs w:val="21"/>
        </w:rPr>
      </w:pPr>
    </w:p>
    <w:p>
      <w:pPr>
        <w:autoSpaceDE w:val="0"/>
        <w:autoSpaceDN w:val="0"/>
        <w:spacing w:line="360" w:lineRule="auto"/>
        <w:ind w:firstLine="420" w:firstLineChars="200"/>
        <w:rPr>
          <w:rFonts w:ascii="Times New Roman" w:hAnsi="Times New Roman" w:eastAsia="楷体" w:cs="Times New Roman"/>
          <w:b w:val="0"/>
          <w:bCs/>
          <w:color w:val="111111"/>
          <w:szCs w:val="21"/>
        </w:rPr>
      </w:pPr>
    </w:p>
    <w:p>
      <w:pPr>
        <w:pStyle w:val="30"/>
        <w:rPr>
          <w:rFonts w:ascii="Times New Roman" w:hAnsi="Times New Roman" w:cs="Times New Roman"/>
          <w:b w:val="0"/>
          <w:bCs/>
          <w:sz w:val="30"/>
          <w:szCs w:val="30"/>
        </w:rPr>
      </w:pPr>
      <w:bookmarkStart w:id="90" w:name="_Toc128988409"/>
      <w:r>
        <w:rPr>
          <w:rFonts w:ascii="Times New Roman" w:hAnsi="Times New Roman" w:cs="Times New Roman"/>
          <w:b w:val="0"/>
          <w:bCs/>
          <w:sz w:val="30"/>
          <w:szCs w:val="30"/>
        </w:rPr>
        <w:t>3.3 区域碳排放指标</w:t>
      </w:r>
      <w:bookmarkEnd w:id="90"/>
    </w:p>
    <w:p>
      <w:pPr>
        <w:pStyle w:val="4"/>
        <w:rPr>
          <w:rFonts w:cs="Times New Roman"/>
          <w:b w:val="0"/>
          <w:bCs/>
        </w:rPr>
      </w:pPr>
      <w:r>
        <w:rPr>
          <w:rFonts w:cs="Times New Roman"/>
          <w:b w:val="0"/>
          <w:bCs/>
        </w:rPr>
        <w:t>3.3.1低碳区域碳排放指标应满足下列条件之一：</w:t>
      </w:r>
    </w:p>
    <w:p>
      <w:pPr>
        <w:spacing w:line="360" w:lineRule="auto"/>
        <w:rPr>
          <w:rFonts w:ascii="Times New Roman" w:hAnsi="Times New Roman" w:cs="Times New Roman"/>
          <w:b w:val="0"/>
          <w:bCs/>
        </w:rPr>
      </w:pPr>
      <w:r>
        <w:rPr>
          <w:rFonts w:ascii="Times New Roman" w:hAnsi="Times New Roman" w:cs="Times New Roman"/>
          <w:b w:val="0"/>
          <w:bCs/>
        </w:rPr>
        <w:t>1 区域降碳率不应低于30%；</w:t>
      </w:r>
    </w:p>
    <w:p>
      <w:pPr>
        <w:spacing w:line="360" w:lineRule="auto"/>
        <w:rPr>
          <w:rFonts w:ascii="Times New Roman" w:hAnsi="Times New Roman" w:cs="Times New Roman"/>
          <w:b w:val="0"/>
          <w:bCs/>
        </w:rPr>
      </w:pPr>
      <w:r>
        <w:rPr>
          <w:rFonts w:ascii="Times New Roman" w:hAnsi="Times New Roman" w:cs="Times New Roman"/>
          <w:b w:val="0"/>
          <w:bCs/>
        </w:rPr>
        <w:t>2 区域人均碳排放量不应高于表3.3.1规定的限值。</w:t>
      </w:r>
    </w:p>
    <w:p>
      <w:pPr>
        <w:pStyle w:val="78"/>
        <w:numPr>
          <w:ilvl w:val="0"/>
          <w:numId w:val="0"/>
        </w:numPr>
        <w:spacing w:before="156" w:beforeLines="50" w:after="156" w:afterLines="50"/>
        <w:ind w:left="420"/>
        <w:jc w:val="center"/>
        <w:rPr>
          <w:b w:val="0"/>
          <w:bCs/>
          <w:color w:val="0D0D0D" w:themeColor="text1" w:themeTint="F2"/>
          <w:sz w:val="21"/>
          <w:szCs w:val="21"/>
          <w14:textFill>
            <w14:solidFill>
              <w14:schemeClr w14:val="tx1">
                <w14:lumMod w14:val="95000"/>
                <w14:lumOff w14:val="5000"/>
              </w14:schemeClr>
            </w14:solidFill>
          </w14:textFill>
        </w:rPr>
      </w:pPr>
      <w:r>
        <w:rPr>
          <w:b w:val="0"/>
          <w:bCs/>
          <w:color w:val="0D0D0D" w:themeColor="text1" w:themeTint="F2"/>
          <w:sz w:val="21"/>
          <w:szCs w:val="21"/>
          <w14:textFill>
            <w14:solidFill>
              <w14:schemeClr w14:val="tx1">
                <w14:lumMod w14:val="95000"/>
                <w14:lumOff w14:val="5000"/>
              </w14:schemeClr>
            </w14:solidFill>
          </w14:textFill>
        </w:rPr>
        <w:t>表3.3.1低碳区域人均碳排放量限值（</w:t>
      </w:r>
      <w:r>
        <w:rPr>
          <w:b w:val="0"/>
          <w:bCs/>
          <w:sz w:val="21"/>
          <w:szCs w:val="21"/>
        </w:rPr>
        <w:t>kg CO</w:t>
      </w:r>
      <w:r>
        <w:rPr>
          <w:b w:val="0"/>
          <w:bCs/>
          <w:sz w:val="21"/>
          <w:szCs w:val="21"/>
          <w:vertAlign w:val="subscript"/>
        </w:rPr>
        <w:t>2</w:t>
      </w:r>
      <w:r>
        <w:rPr>
          <w:b w:val="0"/>
          <w:bCs/>
          <w:sz w:val="21"/>
          <w:szCs w:val="21"/>
        </w:rPr>
        <w:t>/人·年</w:t>
      </w:r>
      <w:r>
        <w:rPr>
          <w:b w:val="0"/>
          <w:bCs/>
          <w:color w:val="0D0D0D" w:themeColor="text1" w:themeTint="F2"/>
          <w:sz w:val="21"/>
          <w:szCs w:val="21"/>
          <w14:textFill>
            <w14:solidFill>
              <w14:schemeClr w14:val="tx1">
                <w14:lumMod w14:val="95000"/>
                <w14:lumOff w14:val="5000"/>
              </w14:schemeClr>
            </w14:solidFill>
          </w14:textFill>
        </w:rPr>
        <w:t>）</w:t>
      </w:r>
    </w:p>
    <w:tbl>
      <w:tblPr>
        <w:tblStyle w:val="43"/>
        <w:tblW w:w="5000" w:type="pct"/>
        <w:tblInd w:w="0" w:type="dxa"/>
        <w:tblLayout w:type="autofit"/>
        <w:tblCellMar>
          <w:top w:w="0" w:type="dxa"/>
          <w:left w:w="0" w:type="dxa"/>
          <w:bottom w:w="0" w:type="dxa"/>
          <w:right w:w="0" w:type="dxa"/>
        </w:tblCellMar>
      </w:tblPr>
      <w:tblGrid>
        <w:gridCol w:w="943"/>
        <w:gridCol w:w="619"/>
        <w:gridCol w:w="1024"/>
        <w:gridCol w:w="999"/>
        <w:gridCol w:w="1191"/>
        <w:gridCol w:w="1191"/>
        <w:gridCol w:w="1191"/>
        <w:gridCol w:w="1184"/>
      </w:tblGrid>
      <w:tr>
        <w:tblPrEx>
          <w:tblCellMar>
            <w:top w:w="0" w:type="dxa"/>
            <w:left w:w="0" w:type="dxa"/>
            <w:bottom w:w="0" w:type="dxa"/>
            <w:right w:w="0" w:type="dxa"/>
          </w:tblCellMar>
        </w:tblPrEx>
        <w:trPr>
          <w:trHeight w:val="455" w:hRule="atLeast"/>
        </w:trPr>
        <w:tc>
          <w:tcPr>
            <w:tcW w:w="5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气候区</w:t>
            </w:r>
          </w:p>
          <w:p>
            <w:pPr>
              <w:jc w:val="center"/>
              <w:rPr>
                <w:rFonts w:ascii="Times New Roman" w:hAnsi="Times New Roman" w:cs="Times New Roman"/>
                <w:b w:val="0"/>
                <w:bCs/>
              </w:rPr>
            </w:pPr>
          </w:p>
        </w:tc>
        <w:tc>
          <w:tcPr>
            <w:tcW w:w="371"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太阳辐照量等级</w:t>
            </w:r>
          </w:p>
        </w:tc>
        <w:tc>
          <w:tcPr>
            <w:tcW w:w="61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居住区域</w:t>
            </w:r>
          </w:p>
        </w:tc>
        <w:tc>
          <w:tcPr>
            <w:tcW w:w="599"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办公区域</w:t>
            </w:r>
          </w:p>
        </w:tc>
        <w:tc>
          <w:tcPr>
            <w:tcW w:w="71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医院区域</w:t>
            </w:r>
          </w:p>
        </w:tc>
        <w:tc>
          <w:tcPr>
            <w:tcW w:w="714"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商业区域</w:t>
            </w:r>
          </w:p>
        </w:tc>
        <w:tc>
          <w:tcPr>
            <w:tcW w:w="1424"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校园区域</w:t>
            </w:r>
          </w:p>
        </w:tc>
      </w:tr>
      <w:tr>
        <w:tblPrEx>
          <w:tblCellMar>
            <w:top w:w="0" w:type="dxa"/>
            <w:left w:w="0" w:type="dxa"/>
            <w:bottom w:w="0" w:type="dxa"/>
            <w:right w:w="0" w:type="dxa"/>
          </w:tblCellMar>
        </w:tblPrEx>
        <w:trPr>
          <w:trHeight w:val="455"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614"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599"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714"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714"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中小学</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大学</w:t>
            </w:r>
          </w:p>
        </w:tc>
      </w:tr>
      <w:tr>
        <w:tblPrEx>
          <w:tblCellMar>
            <w:top w:w="0" w:type="dxa"/>
            <w:left w:w="0" w:type="dxa"/>
            <w:bottom w:w="0" w:type="dxa"/>
            <w:right w:w="0" w:type="dxa"/>
          </w:tblCellMar>
        </w:tblPrEx>
        <w:trPr>
          <w:trHeight w:val="503" w:hRule="atLeast"/>
        </w:trPr>
        <w:tc>
          <w:tcPr>
            <w:tcW w:w="5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严寒地区</w:t>
            </w: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Ⅰ</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1040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490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1920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1020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390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980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1090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470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1900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1010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410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1020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1140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450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1880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1000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430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1060</w:t>
            </w:r>
          </w:p>
        </w:tc>
      </w:tr>
      <w:tr>
        <w:tblPrEx>
          <w:tblCellMar>
            <w:top w:w="0" w:type="dxa"/>
            <w:left w:w="0" w:type="dxa"/>
            <w:bottom w:w="0" w:type="dxa"/>
            <w:right w:w="0" w:type="dxa"/>
          </w:tblCellMar>
        </w:tblPrEx>
        <w:trPr>
          <w:trHeight w:val="503" w:hRule="atLeast"/>
        </w:trPr>
        <w:tc>
          <w:tcPr>
            <w:tcW w:w="5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寒冷地区</w:t>
            </w: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Ⅰ</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940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470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1920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1010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390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970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990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450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1900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1000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400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1000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1030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430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1880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990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420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1040</w:t>
            </w:r>
          </w:p>
        </w:tc>
      </w:tr>
      <w:tr>
        <w:tblPrEx>
          <w:tblCellMar>
            <w:top w:w="0" w:type="dxa"/>
            <w:left w:w="0" w:type="dxa"/>
            <w:bottom w:w="0" w:type="dxa"/>
            <w:right w:w="0" w:type="dxa"/>
          </w:tblCellMar>
        </w:tblPrEx>
        <w:trPr>
          <w:trHeight w:val="503" w:hRule="atLeast"/>
        </w:trPr>
        <w:tc>
          <w:tcPr>
            <w:tcW w:w="5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夏热冬冷地区</w:t>
            </w: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1070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470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1870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1010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410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1020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Ⅳ</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1120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450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1850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1000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430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1060</w:t>
            </w:r>
          </w:p>
        </w:tc>
      </w:tr>
      <w:tr>
        <w:tblPrEx>
          <w:tblCellMar>
            <w:top w:w="0" w:type="dxa"/>
            <w:left w:w="0" w:type="dxa"/>
            <w:bottom w:w="0" w:type="dxa"/>
            <w:right w:w="0" w:type="dxa"/>
          </w:tblCellMar>
        </w:tblPrEx>
        <w:trPr>
          <w:trHeight w:val="503" w:hRule="atLeast"/>
        </w:trPr>
        <w:tc>
          <w:tcPr>
            <w:tcW w:w="5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夏热冬暖地区</w:t>
            </w: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1100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460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1860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1110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410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1010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1140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430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1840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1100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420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1040</w:t>
            </w:r>
          </w:p>
        </w:tc>
      </w:tr>
      <w:tr>
        <w:tblPrEx>
          <w:tblCellMar>
            <w:top w:w="0" w:type="dxa"/>
            <w:left w:w="0" w:type="dxa"/>
            <w:bottom w:w="0" w:type="dxa"/>
            <w:right w:w="0" w:type="dxa"/>
          </w:tblCellMar>
        </w:tblPrEx>
        <w:trPr>
          <w:trHeight w:val="503" w:hRule="atLeast"/>
        </w:trPr>
        <w:tc>
          <w:tcPr>
            <w:tcW w:w="56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温和地区</w:t>
            </w: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820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460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1620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920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380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950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860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440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1610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910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390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980</w:t>
            </w:r>
          </w:p>
        </w:tc>
      </w:tr>
      <w:tr>
        <w:tblPrEx>
          <w:tblCellMar>
            <w:top w:w="0" w:type="dxa"/>
            <w:left w:w="0" w:type="dxa"/>
            <w:bottom w:w="0" w:type="dxa"/>
            <w:right w:w="0" w:type="dxa"/>
          </w:tblCellMar>
        </w:tblPrEx>
        <w:trPr>
          <w:trHeight w:val="503" w:hRule="atLeast"/>
        </w:trPr>
        <w:tc>
          <w:tcPr>
            <w:tcW w:w="56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Ⅳ</w:t>
            </w:r>
          </w:p>
        </w:tc>
        <w:tc>
          <w:tcPr>
            <w:tcW w:w="6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微软雅黑" w:cs="Times New Roman"/>
                <w:b w:val="0"/>
                <w:bCs/>
                <w:color w:val="000000"/>
                <w:kern w:val="24"/>
                <w:szCs w:val="21"/>
              </w:rPr>
              <w:t>910</w:t>
            </w:r>
          </w:p>
        </w:tc>
        <w:tc>
          <w:tcPr>
            <w:tcW w:w="59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420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1600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cs="Times New Roman"/>
                <w:b w:val="0"/>
                <w:bCs/>
                <w:color w:val="000000"/>
                <w:kern w:val="24"/>
                <w:szCs w:val="21"/>
              </w:rPr>
              <w:t>900</w:t>
            </w:r>
          </w:p>
        </w:tc>
        <w:tc>
          <w:tcPr>
            <w:tcW w:w="71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410</w:t>
            </w:r>
          </w:p>
        </w:tc>
        <w:tc>
          <w:tcPr>
            <w:tcW w:w="7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szCs w:val="21"/>
              </w:rPr>
            </w:pPr>
            <w:r>
              <w:rPr>
                <w:rFonts w:ascii="Times New Roman" w:hAnsi="Times New Roman" w:eastAsia="等线" w:cs="Times New Roman"/>
                <w:b w:val="0"/>
                <w:bCs/>
                <w:color w:val="000000"/>
                <w:kern w:val="24"/>
                <w:szCs w:val="21"/>
              </w:rPr>
              <w:t>1010</w:t>
            </w:r>
          </w:p>
        </w:tc>
      </w:tr>
    </w:tbl>
    <w:p>
      <w:pPr>
        <w:rPr>
          <w:rFonts w:ascii="Times New Roman" w:hAnsi="Times New Roman" w:cs="Times New Roman"/>
          <w:b w:val="0"/>
          <w:bCs/>
        </w:rPr>
      </w:pPr>
    </w:p>
    <w:p>
      <w:pPr>
        <w:pStyle w:val="4"/>
        <w:rPr>
          <w:rFonts w:cs="Times New Roman"/>
          <w:b w:val="0"/>
          <w:bCs/>
        </w:rPr>
      </w:pPr>
      <w:r>
        <w:rPr>
          <w:rFonts w:cs="Times New Roman"/>
          <w:b w:val="0"/>
          <w:bCs/>
        </w:rPr>
        <w:t>3.3.2近零碳区域碳排放指标应满足下列条件之一：</w:t>
      </w:r>
    </w:p>
    <w:p>
      <w:pPr>
        <w:spacing w:line="360" w:lineRule="auto"/>
        <w:rPr>
          <w:rFonts w:ascii="Times New Roman" w:hAnsi="Times New Roman" w:cs="Times New Roman"/>
          <w:b w:val="0"/>
          <w:bCs/>
        </w:rPr>
      </w:pPr>
      <w:r>
        <w:rPr>
          <w:rFonts w:ascii="Times New Roman" w:hAnsi="Times New Roman" w:cs="Times New Roman"/>
          <w:b w:val="0"/>
          <w:bCs/>
        </w:rPr>
        <w:t>1 区域降碳率不应低于60%；</w:t>
      </w:r>
    </w:p>
    <w:p>
      <w:pPr>
        <w:spacing w:line="360" w:lineRule="auto"/>
        <w:rPr>
          <w:rFonts w:ascii="Times New Roman" w:hAnsi="Times New Roman" w:cs="Times New Roman"/>
          <w:b w:val="0"/>
          <w:bCs/>
        </w:rPr>
      </w:pPr>
      <w:r>
        <w:rPr>
          <w:rFonts w:ascii="Times New Roman" w:hAnsi="Times New Roman" w:cs="Times New Roman"/>
          <w:b w:val="0"/>
          <w:bCs/>
        </w:rPr>
        <w:t>2 区域人均碳排放量不应高于表3.3.2规定的限值。</w:t>
      </w:r>
    </w:p>
    <w:p>
      <w:pPr>
        <w:pStyle w:val="78"/>
        <w:numPr>
          <w:ilvl w:val="0"/>
          <w:numId w:val="0"/>
        </w:numPr>
        <w:spacing w:before="156" w:beforeLines="50" w:after="156" w:afterLines="50"/>
        <w:jc w:val="center"/>
        <w:rPr>
          <w:b w:val="0"/>
          <w:bCs/>
          <w:color w:val="0D0D0D" w:themeColor="text1" w:themeTint="F2"/>
          <w:sz w:val="21"/>
          <w:szCs w:val="24"/>
          <w14:textFill>
            <w14:solidFill>
              <w14:schemeClr w14:val="tx1">
                <w14:lumMod w14:val="95000"/>
                <w14:lumOff w14:val="5000"/>
              </w14:schemeClr>
            </w14:solidFill>
          </w14:textFill>
        </w:rPr>
      </w:pPr>
      <w:r>
        <w:rPr>
          <w:b w:val="0"/>
          <w:bCs/>
          <w:color w:val="0D0D0D" w:themeColor="text1" w:themeTint="F2"/>
          <w:szCs w:val="24"/>
          <w14:textFill>
            <w14:solidFill>
              <w14:schemeClr w14:val="tx1">
                <w14:lumMod w14:val="95000"/>
                <w14:lumOff w14:val="5000"/>
              </w14:schemeClr>
            </w14:solidFill>
          </w14:textFill>
        </w:rPr>
        <w:t>表3.3.2近零碳区域人均碳排放量限值（</w:t>
      </w:r>
      <w:r>
        <w:rPr>
          <w:b w:val="0"/>
          <w:bCs/>
        </w:rPr>
        <w:t>kg CO</w:t>
      </w:r>
      <w:r>
        <w:rPr>
          <w:b w:val="0"/>
          <w:bCs/>
          <w:vertAlign w:val="subscript"/>
        </w:rPr>
        <w:t>2</w:t>
      </w:r>
      <w:r>
        <w:rPr>
          <w:b w:val="0"/>
          <w:bCs/>
        </w:rPr>
        <w:t>/人·年</w:t>
      </w:r>
      <w:r>
        <w:rPr>
          <w:b w:val="0"/>
          <w:bCs/>
          <w:color w:val="0D0D0D" w:themeColor="text1" w:themeTint="F2"/>
          <w:szCs w:val="24"/>
          <w14:textFill>
            <w14:solidFill>
              <w14:schemeClr w14:val="tx1">
                <w14:lumMod w14:val="95000"/>
                <w14:lumOff w14:val="5000"/>
              </w14:schemeClr>
            </w14:solidFill>
          </w14:textFill>
        </w:rPr>
        <w:t>）</w:t>
      </w:r>
    </w:p>
    <w:tbl>
      <w:tblPr>
        <w:tblStyle w:val="43"/>
        <w:tblW w:w="5000" w:type="pct"/>
        <w:tblInd w:w="0" w:type="dxa"/>
        <w:tblLayout w:type="autofit"/>
        <w:tblCellMar>
          <w:top w:w="0" w:type="dxa"/>
          <w:left w:w="0" w:type="dxa"/>
          <w:bottom w:w="0" w:type="dxa"/>
          <w:right w:w="0" w:type="dxa"/>
        </w:tblCellMar>
      </w:tblPr>
      <w:tblGrid>
        <w:gridCol w:w="970"/>
        <w:gridCol w:w="645"/>
        <w:gridCol w:w="826"/>
        <w:gridCol w:w="1026"/>
        <w:gridCol w:w="1220"/>
        <w:gridCol w:w="1220"/>
        <w:gridCol w:w="1220"/>
        <w:gridCol w:w="1215"/>
      </w:tblGrid>
      <w:tr>
        <w:tblPrEx>
          <w:tblCellMar>
            <w:top w:w="0" w:type="dxa"/>
            <w:left w:w="0" w:type="dxa"/>
            <w:bottom w:w="0" w:type="dxa"/>
            <w:right w:w="0" w:type="dxa"/>
          </w:tblCellMar>
        </w:tblPrEx>
        <w:trPr>
          <w:trHeight w:val="449" w:hRule="atLeast"/>
        </w:trPr>
        <w:tc>
          <w:tcPr>
            <w:tcW w:w="58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气候区</w:t>
            </w:r>
          </w:p>
          <w:p>
            <w:pPr>
              <w:jc w:val="center"/>
              <w:rPr>
                <w:rFonts w:ascii="Times New Roman" w:hAnsi="Times New Roman" w:cs="Times New Roman"/>
                <w:b w:val="0"/>
                <w:bCs/>
              </w:rPr>
            </w:pPr>
          </w:p>
        </w:tc>
        <w:tc>
          <w:tcPr>
            <w:tcW w:w="387"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太阳辐照量等级</w:t>
            </w:r>
          </w:p>
        </w:tc>
        <w:tc>
          <w:tcPr>
            <w:tcW w:w="49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居住区域</w:t>
            </w:r>
          </w:p>
        </w:tc>
        <w:tc>
          <w:tcPr>
            <w:tcW w:w="615"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办公区域</w:t>
            </w:r>
          </w:p>
        </w:tc>
        <w:tc>
          <w:tcPr>
            <w:tcW w:w="731"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医院区域</w:t>
            </w:r>
          </w:p>
        </w:tc>
        <w:tc>
          <w:tcPr>
            <w:tcW w:w="731"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商业区域</w:t>
            </w:r>
          </w:p>
        </w:tc>
        <w:tc>
          <w:tcPr>
            <w:tcW w:w="1460"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校园区域</w:t>
            </w:r>
          </w:p>
        </w:tc>
      </w:tr>
      <w:tr>
        <w:tblPrEx>
          <w:tblCellMar>
            <w:top w:w="0" w:type="dxa"/>
            <w:left w:w="0" w:type="dxa"/>
            <w:bottom w:w="0" w:type="dxa"/>
            <w:right w:w="0" w:type="dxa"/>
          </w:tblCellMar>
        </w:tblPrEx>
        <w:trPr>
          <w:trHeight w:val="449"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49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615"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731"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731"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中小学</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大学</w:t>
            </w:r>
          </w:p>
        </w:tc>
      </w:tr>
      <w:tr>
        <w:tblPrEx>
          <w:tblCellMar>
            <w:top w:w="0" w:type="dxa"/>
            <w:left w:w="0" w:type="dxa"/>
            <w:bottom w:w="0" w:type="dxa"/>
            <w:right w:w="0" w:type="dxa"/>
          </w:tblCellMar>
        </w:tblPrEx>
        <w:trPr>
          <w:trHeight w:val="497" w:hRule="atLeast"/>
        </w:trPr>
        <w:tc>
          <w:tcPr>
            <w:tcW w:w="58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严寒地区</w:t>
            </w: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Ⅰ</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510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280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580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230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560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610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270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580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240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580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700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260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570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250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610</w:t>
            </w:r>
          </w:p>
        </w:tc>
      </w:tr>
      <w:tr>
        <w:tblPrEx>
          <w:tblCellMar>
            <w:top w:w="0" w:type="dxa"/>
            <w:left w:w="0" w:type="dxa"/>
            <w:bottom w:w="0" w:type="dxa"/>
            <w:right w:w="0" w:type="dxa"/>
          </w:tblCellMar>
        </w:tblPrEx>
        <w:trPr>
          <w:trHeight w:val="497" w:hRule="atLeast"/>
        </w:trPr>
        <w:tc>
          <w:tcPr>
            <w:tcW w:w="58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寒冷地区</w:t>
            </w: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Ⅰ</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470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270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580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230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560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570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260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570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230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570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690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250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570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240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590</w:t>
            </w:r>
          </w:p>
        </w:tc>
      </w:tr>
      <w:tr>
        <w:tblPrEx>
          <w:tblCellMar>
            <w:top w:w="0" w:type="dxa"/>
            <w:left w:w="0" w:type="dxa"/>
            <w:bottom w:w="0" w:type="dxa"/>
            <w:right w:w="0" w:type="dxa"/>
          </w:tblCellMar>
        </w:tblPrEx>
        <w:trPr>
          <w:trHeight w:val="497" w:hRule="atLeast"/>
        </w:trPr>
        <w:tc>
          <w:tcPr>
            <w:tcW w:w="58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夏热冬冷地区</w:t>
            </w: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690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270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580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240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590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Ⅳ</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790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260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570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250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610</w:t>
            </w:r>
          </w:p>
        </w:tc>
      </w:tr>
      <w:tr>
        <w:tblPrEx>
          <w:tblCellMar>
            <w:top w:w="0" w:type="dxa"/>
            <w:left w:w="0" w:type="dxa"/>
            <w:bottom w:w="0" w:type="dxa"/>
            <w:right w:w="0" w:type="dxa"/>
          </w:tblCellMar>
        </w:tblPrEx>
        <w:trPr>
          <w:trHeight w:val="497" w:hRule="atLeast"/>
        </w:trPr>
        <w:tc>
          <w:tcPr>
            <w:tcW w:w="58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夏热冬暖地区</w:t>
            </w: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650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260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230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580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740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250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240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r>
      <w:tr>
        <w:tblPrEx>
          <w:tblCellMar>
            <w:top w:w="0" w:type="dxa"/>
            <w:left w:w="0" w:type="dxa"/>
            <w:bottom w:w="0" w:type="dxa"/>
            <w:right w:w="0" w:type="dxa"/>
          </w:tblCellMar>
        </w:tblPrEx>
        <w:trPr>
          <w:trHeight w:val="497" w:hRule="atLeast"/>
        </w:trPr>
        <w:tc>
          <w:tcPr>
            <w:tcW w:w="582"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温和地区</w:t>
            </w: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Ⅱ</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430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260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530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220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550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Ⅲ</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520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250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520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230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560</w:t>
            </w:r>
          </w:p>
        </w:tc>
      </w:tr>
      <w:tr>
        <w:tblPrEx>
          <w:tblCellMar>
            <w:top w:w="0" w:type="dxa"/>
            <w:left w:w="0" w:type="dxa"/>
            <w:bottom w:w="0" w:type="dxa"/>
            <w:right w:w="0" w:type="dxa"/>
          </w:tblCellMar>
        </w:tblPrEx>
        <w:trPr>
          <w:trHeight w:val="497" w:hRule="atLeast"/>
        </w:trPr>
        <w:tc>
          <w:tcPr>
            <w:tcW w:w="582" w:type="pct"/>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Times New Roman" w:hAnsi="Times New Roman" w:cs="Times New Roman"/>
                <w:b w:val="0"/>
                <w:bCs/>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eastAsia="宋体" w:cs="Times New Roman"/>
                <w:b w:val="0"/>
                <w:bCs/>
              </w:rPr>
              <w:t>Ⅳ</w:t>
            </w:r>
          </w:p>
        </w:tc>
        <w:tc>
          <w:tcPr>
            <w:tcW w:w="49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620</w:t>
            </w:r>
          </w:p>
        </w:tc>
        <w:tc>
          <w:tcPr>
            <w:tcW w:w="6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240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600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510</w:t>
            </w:r>
          </w:p>
        </w:tc>
        <w:tc>
          <w:tcPr>
            <w:tcW w:w="73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230</w:t>
            </w:r>
          </w:p>
        </w:tc>
        <w:tc>
          <w:tcPr>
            <w:tcW w:w="72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jc w:val="center"/>
              <w:rPr>
                <w:rFonts w:ascii="Times New Roman" w:hAnsi="Times New Roman" w:cs="Times New Roman"/>
                <w:b w:val="0"/>
                <w:bCs/>
              </w:rPr>
            </w:pPr>
            <w:r>
              <w:rPr>
                <w:rFonts w:ascii="Times New Roman" w:hAnsi="Times New Roman" w:cs="Times New Roman"/>
                <w:b w:val="0"/>
                <w:bCs/>
              </w:rPr>
              <w:t>580</w:t>
            </w:r>
          </w:p>
        </w:tc>
      </w:tr>
    </w:tbl>
    <w:p>
      <w:pPr>
        <w:pStyle w:val="4"/>
        <w:rPr>
          <w:rFonts w:cs="Times New Roman"/>
          <w:b w:val="0"/>
          <w:bCs/>
        </w:rPr>
      </w:pPr>
      <w:r>
        <w:rPr>
          <w:rFonts w:cs="Times New Roman"/>
          <w:b w:val="0"/>
          <w:bCs/>
        </w:rPr>
        <w:t>3.3.3</w:t>
      </w:r>
      <w:r>
        <w:rPr>
          <w:rFonts w:hint="eastAsia" w:cs="Times New Roman"/>
          <w:b w:val="0"/>
          <w:bCs/>
        </w:rPr>
        <w:t>零碳区域应满足</w:t>
      </w:r>
      <w:r>
        <w:rPr>
          <w:rFonts w:cs="Times New Roman"/>
          <w:b w:val="0"/>
          <w:bCs/>
        </w:rPr>
        <w:t>3.3.2</w:t>
      </w:r>
      <w:r>
        <w:rPr>
          <w:rFonts w:hint="eastAsia" w:cs="Times New Roman"/>
          <w:b w:val="0"/>
          <w:bCs/>
        </w:rPr>
        <w:t>的要求，经过碳抵消后的年碳排放总量应小于等于零，且碳抵消比例不超过基准区域碳排放量的</w:t>
      </w:r>
      <w:r>
        <w:rPr>
          <w:rFonts w:cs="Times New Roman"/>
          <w:b w:val="0"/>
          <w:bCs/>
        </w:rPr>
        <w:t>30%</w:t>
      </w:r>
      <w:r>
        <w:rPr>
          <w:rFonts w:hint="eastAsia" w:cs="Times New Roman"/>
          <w:b w:val="0"/>
          <w:bCs/>
        </w:rPr>
        <w:t>。</w:t>
      </w:r>
    </w:p>
    <w:p>
      <w:pPr>
        <w:rPr>
          <w:rFonts w:ascii="Times New Roman" w:hAnsi="Times New Roman" w:cs="Times New Roman"/>
          <w:b w:val="0"/>
          <w:bCs/>
        </w:rPr>
      </w:pPr>
      <w:r>
        <w:rPr>
          <w:rFonts w:ascii="Times New Roman" w:hAnsi="Times New Roman" w:cs="Times New Roman"/>
          <w:b w:val="0"/>
          <w:bCs/>
        </w:rPr>
        <w:br w:type="page"/>
      </w:r>
    </w:p>
    <w:p>
      <w:pPr>
        <w:pStyle w:val="40"/>
        <w:widowControl/>
        <w:rPr>
          <w:rFonts w:ascii="Times New Roman" w:hAnsi="Times New Roman" w:cs="Times New Roman"/>
          <w:b w:val="0"/>
          <w:bCs/>
        </w:rPr>
      </w:pPr>
      <w:bookmarkStart w:id="91" w:name="_Toc128988410"/>
      <w:r>
        <w:rPr>
          <w:rFonts w:ascii="Times New Roman" w:hAnsi="Times New Roman" w:cs="Times New Roman"/>
          <w:b w:val="0"/>
          <w:bCs/>
        </w:rPr>
        <w:t>4建筑降碳设计</w:t>
      </w:r>
      <w:bookmarkEnd w:id="91"/>
    </w:p>
    <w:p>
      <w:pPr>
        <w:pStyle w:val="30"/>
        <w:widowControl/>
        <w:rPr>
          <w:rFonts w:ascii="Times New Roman" w:hAnsi="Times New Roman" w:cs="Times New Roman"/>
          <w:b w:val="0"/>
          <w:bCs/>
          <w:sz w:val="30"/>
          <w:szCs w:val="30"/>
        </w:rPr>
      </w:pPr>
      <w:bookmarkStart w:id="92" w:name="_Toc128988411"/>
      <w:r>
        <w:rPr>
          <w:rFonts w:ascii="Times New Roman" w:hAnsi="Times New Roman" w:cs="Times New Roman"/>
          <w:b w:val="0"/>
          <w:bCs/>
          <w:sz w:val="30"/>
          <w:szCs w:val="30"/>
        </w:rPr>
        <w:t>4.1 建筑设计</w:t>
      </w:r>
      <w:bookmarkEnd w:id="92"/>
    </w:p>
    <w:p>
      <w:pPr>
        <w:spacing w:line="360" w:lineRule="auto"/>
        <w:jc w:val="center"/>
        <w:rPr>
          <w:rFonts w:ascii="Times New Roman" w:hAnsi="Times New Roman" w:cs="Times New Roman"/>
          <w:b w:val="0"/>
          <w:bCs/>
        </w:rPr>
      </w:pPr>
      <w:r>
        <w:rPr>
          <w:rFonts w:ascii="Times New Roman" w:hAnsi="Times New Roman" w:cs="Times New Roman"/>
          <w:b w:val="0"/>
          <w:bCs/>
        </w:rPr>
        <w:t>I 性能化设计方法</w:t>
      </w:r>
    </w:p>
    <w:p>
      <w:pPr>
        <w:pStyle w:val="4"/>
        <w:rPr>
          <w:rFonts w:ascii="Times New Roman" w:hAnsi="Times New Roman" w:eastAsia="楷体" w:cs="Times New Roman"/>
          <w:b w:val="0"/>
          <w:bCs/>
          <w:szCs w:val="21"/>
        </w:rPr>
      </w:pPr>
      <w:r>
        <w:rPr>
          <w:rFonts w:cs="Times New Roman"/>
          <w:b w:val="0"/>
          <w:bCs/>
        </w:rPr>
        <w:t>4.1.1零碳建筑应采用性能化设计方法，采用全过程多专业协同设计组织形式，从建筑设计内在本质和基本规律出发，基于零碳建筑设计目标开展设计工作。</w:t>
      </w:r>
    </w:p>
    <w:p>
      <w:pPr>
        <w:pStyle w:val="4"/>
        <w:rPr>
          <w:rFonts w:ascii="Times New Roman" w:hAnsi="Times New Roman" w:cs="Times New Roman"/>
          <w:b w:val="0"/>
          <w:bCs/>
        </w:rPr>
      </w:pPr>
      <w:r>
        <w:rPr>
          <w:rFonts w:cs="Times New Roman"/>
          <w:b w:val="0"/>
          <w:bCs/>
        </w:rPr>
        <w:t>4.1.2建筑性能化设计应综合考虑其地域、文化、气候、环境等资源禀赋条件，以及经济约束、功能需求、技术措施、建筑美学等多种因素，优化零碳建筑设计策略。</w:t>
      </w:r>
    </w:p>
    <w:p>
      <w:pPr>
        <w:pStyle w:val="4"/>
        <w:rPr>
          <w:rFonts w:ascii="Times New Roman" w:hAnsi="Times New Roman" w:eastAsia="楷体" w:cs="Times New Roman"/>
          <w:b w:val="0"/>
          <w:bCs/>
          <w:szCs w:val="21"/>
        </w:rPr>
      </w:pPr>
      <w:r>
        <w:rPr>
          <w:rFonts w:cs="Times New Roman"/>
          <w:b w:val="0"/>
          <w:bCs/>
        </w:rPr>
        <w:t>4.1.3 性能化设计应根据本标准规定的室内环境参数和碳排放指标要求，利用碳排放模拟计算软件等工具，结合建筑</w:t>
      </w:r>
      <w:r>
        <w:rPr>
          <w:rFonts w:hint="eastAsia" w:cs="Times New Roman"/>
          <w:b w:val="0"/>
          <w:bCs/>
        </w:rPr>
        <w:t>全过程</w:t>
      </w:r>
      <w:r>
        <w:rPr>
          <w:rFonts w:cs="Times New Roman"/>
          <w:b w:val="0"/>
          <w:bCs/>
        </w:rPr>
        <w:t>的经济效益分析，对建筑设计方案进行优化，指导技术措施和性能参数的确定。</w:t>
      </w:r>
    </w:p>
    <w:p>
      <w:pPr>
        <w:pStyle w:val="4"/>
        <w:rPr>
          <w:rFonts w:cs="Times New Roman"/>
          <w:b w:val="0"/>
          <w:bCs/>
        </w:rPr>
      </w:pPr>
      <w:r>
        <w:rPr>
          <w:rFonts w:cs="Times New Roman"/>
          <w:b w:val="0"/>
          <w:bCs/>
        </w:rPr>
        <w:t>4.1.4性能化设计宜按下列步骤进行：</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1 设定室内环境参数和碳排放指标。</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2 初定设计方案。</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3 利用碳排放模拟计算软件等工具进行设计方案的定量分析及优化。</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4 分析优化结果并进行达标判定。当碳排放指标不能满足所确定的目标要求时，应修改设计方案，重新进行定量分析和优化，直至满足目标要求；</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5 确定优选设计方案。</w:t>
      </w:r>
    </w:p>
    <w:p>
      <w:pPr>
        <w:spacing w:line="360" w:lineRule="auto"/>
        <w:rPr>
          <w:rFonts w:ascii="Times New Roman" w:hAnsi="Times New Roman" w:cs="Times New Roman"/>
          <w:b w:val="0"/>
          <w:bCs/>
        </w:rPr>
      </w:pPr>
    </w:p>
    <w:p>
      <w:pPr>
        <w:spacing w:line="360" w:lineRule="auto"/>
        <w:jc w:val="center"/>
        <w:rPr>
          <w:rFonts w:ascii="Times New Roman" w:hAnsi="Times New Roman" w:cs="Times New Roman"/>
          <w:b w:val="0"/>
          <w:bCs/>
        </w:rPr>
      </w:pPr>
      <w:r>
        <w:rPr>
          <w:rFonts w:ascii="Times New Roman" w:hAnsi="Times New Roman" w:cs="Times New Roman"/>
          <w:b w:val="0"/>
          <w:bCs/>
        </w:rPr>
        <w:t xml:space="preserve">II建筑布局 </w:t>
      </w:r>
    </w:p>
    <w:p>
      <w:pPr>
        <w:pStyle w:val="4"/>
        <w:rPr>
          <w:rFonts w:cs="Times New Roman"/>
          <w:b w:val="0"/>
          <w:bCs/>
        </w:rPr>
      </w:pPr>
      <w:r>
        <w:rPr>
          <w:rFonts w:cs="Times New Roman"/>
          <w:b w:val="0"/>
          <w:bCs/>
        </w:rPr>
        <w:t xml:space="preserve">4.1.5 </w:t>
      </w:r>
      <w:r>
        <w:rPr>
          <w:rFonts w:hint="eastAsia" w:cs="Times New Roman"/>
          <w:b w:val="0"/>
          <w:bCs/>
        </w:rPr>
        <w:t>建筑</w:t>
      </w:r>
      <w:r>
        <w:rPr>
          <w:rFonts w:cs="Times New Roman"/>
          <w:b w:val="0"/>
          <w:bCs/>
        </w:rPr>
        <w:t>应结合场地环境与气候特点，对项目的太阳能、风能等可再生能源利用条件进行综合分析，建筑布局应有利于可再生能源资源利用。</w:t>
      </w:r>
    </w:p>
    <w:p>
      <w:pPr>
        <w:pStyle w:val="4"/>
        <w:rPr>
          <w:rFonts w:cs="Times New Roman"/>
          <w:b w:val="0"/>
          <w:bCs/>
        </w:rPr>
      </w:pPr>
      <w:r>
        <w:rPr>
          <w:rFonts w:cs="Times New Roman"/>
          <w:b w:val="0"/>
          <w:bCs/>
        </w:rPr>
        <w:t xml:space="preserve">4.1.6 </w:t>
      </w:r>
      <w:r>
        <w:rPr>
          <w:rFonts w:hint="eastAsia" w:cs="Times New Roman"/>
          <w:b w:val="0"/>
          <w:bCs/>
        </w:rPr>
        <w:t>建筑</w:t>
      </w:r>
      <w:r>
        <w:rPr>
          <w:rFonts w:cs="Times New Roman"/>
          <w:b w:val="0"/>
          <w:bCs/>
        </w:rPr>
        <w:t>应优化空间布局，合理选择和利用景观、生态绿化等措施，营造适宜的场地微气候环境，优化自然通风、天然采光、自遮阳效果，降低建筑供冷供暖负荷。</w:t>
      </w:r>
    </w:p>
    <w:p>
      <w:pPr>
        <w:spacing w:line="360" w:lineRule="auto"/>
        <w:rPr>
          <w:rFonts w:ascii="Times New Roman" w:hAnsi="Times New Roman" w:eastAsia="华文楷体" w:cs="Times New Roman"/>
          <w:b w:val="0"/>
          <w:bCs/>
          <w:szCs w:val="21"/>
        </w:rPr>
      </w:pPr>
    </w:p>
    <w:p>
      <w:pPr>
        <w:spacing w:line="360" w:lineRule="auto"/>
        <w:jc w:val="center"/>
        <w:rPr>
          <w:rFonts w:ascii="Times New Roman" w:hAnsi="Times New Roman" w:cs="Times New Roman"/>
          <w:b w:val="0"/>
          <w:bCs/>
        </w:rPr>
      </w:pPr>
      <w:r>
        <w:rPr>
          <w:rFonts w:ascii="Times New Roman" w:hAnsi="Times New Roman" w:cs="Times New Roman"/>
          <w:b w:val="0"/>
          <w:bCs/>
        </w:rPr>
        <w:t>III建筑方案设计</w:t>
      </w:r>
    </w:p>
    <w:p>
      <w:pPr>
        <w:pStyle w:val="4"/>
        <w:rPr>
          <w:rFonts w:cs="Times New Roman"/>
          <w:b w:val="0"/>
          <w:bCs/>
        </w:rPr>
      </w:pPr>
      <w:r>
        <w:rPr>
          <w:rFonts w:cs="Times New Roman"/>
          <w:b w:val="0"/>
          <w:bCs/>
        </w:rPr>
        <w:t>4.1.7 建筑方案设计应根据使用需求，合理控制建筑规模和高度，不应大拆大建。</w:t>
      </w:r>
    </w:p>
    <w:p>
      <w:pPr>
        <w:pStyle w:val="4"/>
        <w:rPr>
          <w:rFonts w:ascii="Times New Roman" w:hAnsi="Times New Roman" w:cs="Times New Roman"/>
          <w:b w:val="0"/>
          <w:bCs/>
        </w:rPr>
      </w:pPr>
      <w:r>
        <w:rPr>
          <w:rFonts w:cs="Times New Roman"/>
          <w:b w:val="0"/>
          <w:bCs/>
        </w:rPr>
        <w:t>4.1.8 建筑方案设计应基于当地气候条件和生活习惯，根据功能需求，合理区分确定建筑舒适度等级，减少不必要的用能空间；或通过设计优化，适当降低部分空间、部分时间的环境需求。</w:t>
      </w:r>
    </w:p>
    <w:p>
      <w:pPr>
        <w:pStyle w:val="4"/>
        <w:rPr>
          <w:rFonts w:cs="Times New Roman"/>
          <w:b w:val="0"/>
          <w:bCs/>
        </w:rPr>
      </w:pPr>
      <w:r>
        <w:rPr>
          <w:rFonts w:cs="Times New Roman"/>
          <w:b w:val="0"/>
          <w:bCs/>
        </w:rPr>
        <w:t>4.1.9 建筑方案设计应根据建筑功能和环境资源条件，强化气候环境适应性，并应符合下列规定：</w:t>
      </w:r>
    </w:p>
    <w:p>
      <w:pPr>
        <w:pStyle w:val="178"/>
        <w:ind w:firstLine="420" w:firstLineChars="200"/>
        <w:rPr>
          <w:b w:val="0"/>
          <w:bCs/>
          <w:sz w:val="21"/>
          <w:szCs w:val="21"/>
        </w:rPr>
      </w:pPr>
      <w:r>
        <w:rPr>
          <w:b w:val="0"/>
          <w:bCs/>
          <w:sz w:val="21"/>
          <w:szCs w:val="21"/>
        </w:rPr>
        <w:t>1 建筑设计宜造型简洁、体形系数适当；</w:t>
      </w:r>
    </w:p>
    <w:p>
      <w:pPr>
        <w:pStyle w:val="178"/>
        <w:ind w:firstLine="367" w:firstLineChars="175"/>
        <w:rPr>
          <w:b w:val="0"/>
          <w:bCs/>
        </w:rPr>
      </w:pPr>
      <w:r>
        <w:rPr>
          <w:b w:val="0"/>
          <w:bCs/>
          <w:sz w:val="21"/>
          <w:szCs w:val="21"/>
        </w:rPr>
        <w:t>2</w:t>
      </w:r>
      <w:r>
        <w:rPr>
          <w:b w:val="0"/>
          <w:bCs/>
          <w:szCs w:val="21"/>
        </w:rPr>
        <w:t xml:space="preserve"> </w:t>
      </w:r>
      <w:r>
        <w:rPr>
          <w:b w:val="0"/>
          <w:bCs/>
          <w:sz w:val="21"/>
          <w:szCs w:val="21"/>
        </w:rPr>
        <w:t>应充分利用天然采光、自然通风，以及围护结构保温隔热等被动式建筑设计手段降低建筑的碳排放；</w:t>
      </w:r>
    </w:p>
    <w:p>
      <w:pPr>
        <w:pStyle w:val="178"/>
        <w:spacing w:after="156" w:afterLines="50"/>
        <w:ind w:firstLine="420" w:firstLineChars="200"/>
        <w:rPr>
          <w:rFonts w:ascii="Times New Roman" w:hAnsi="Times New Roman" w:eastAsia="华文楷体" w:cs="Times New Roman"/>
          <w:b w:val="0"/>
          <w:bCs/>
          <w:szCs w:val="21"/>
        </w:rPr>
      </w:pPr>
      <w:r>
        <w:rPr>
          <w:b w:val="0"/>
          <w:bCs/>
          <w:sz w:val="21"/>
          <w:szCs w:val="21"/>
        </w:rPr>
        <w:t>3 应优化建筑窗墙比和屋顶透光面积比，综合考虑室内采光通风、供冷供暖负荷以及照明能耗之间的关系。</w:t>
      </w:r>
    </w:p>
    <w:p>
      <w:pPr>
        <w:pStyle w:val="4"/>
        <w:rPr>
          <w:rFonts w:ascii="Times New Roman" w:hAnsi="Times New Roman" w:cs="Times New Roman"/>
          <w:b w:val="0"/>
          <w:bCs/>
        </w:rPr>
      </w:pPr>
      <w:r>
        <w:rPr>
          <w:rFonts w:cs="Times New Roman"/>
          <w:b w:val="0"/>
          <w:bCs/>
        </w:rPr>
        <w:t>4.1.10 建筑进深选择应考虑天然采光与自然通风需要。进深较大的房间，宜设置内庭院、采光中庭、采光通风竖井、光导管等设施。</w:t>
      </w:r>
    </w:p>
    <w:p>
      <w:pPr>
        <w:pStyle w:val="4"/>
        <w:rPr>
          <w:rFonts w:ascii="Times New Roman" w:hAnsi="Times New Roman" w:cs="Times New Roman"/>
          <w:b w:val="0"/>
          <w:bCs/>
        </w:rPr>
      </w:pPr>
      <w:r>
        <w:rPr>
          <w:rFonts w:cs="Times New Roman"/>
          <w:b w:val="0"/>
          <w:bCs/>
        </w:rPr>
        <w:t>4.1.11 地下空间宜设置采光天窗、采光侧窗、下沉式广场（庭院）、光导管等采光通风设施。</w:t>
      </w:r>
    </w:p>
    <w:p>
      <w:pPr>
        <w:pStyle w:val="4"/>
        <w:rPr>
          <w:rFonts w:cs="Times New Roman"/>
          <w:b w:val="0"/>
          <w:bCs/>
        </w:rPr>
      </w:pPr>
      <w:r>
        <w:rPr>
          <w:rFonts w:cs="Times New Roman"/>
          <w:b w:val="0"/>
          <w:bCs/>
        </w:rPr>
        <w:t xml:space="preserve">4.1.12 </w:t>
      </w:r>
      <w:r>
        <w:rPr>
          <w:rFonts w:hint="eastAsia" w:cs="Times New Roman"/>
          <w:b w:val="0"/>
          <w:bCs/>
        </w:rPr>
        <w:t>建筑</w:t>
      </w:r>
      <w:r>
        <w:rPr>
          <w:rFonts w:cs="Times New Roman"/>
          <w:b w:val="0"/>
          <w:bCs/>
        </w:rPr>
        <w:t>应结合所在地区环境气候特点、房间使用需求、窗口朝向及建筑安全进行遮阳设计。遮阳设计宜符合下列规定：</w:t>
      </w:r>
    </w:p>
    <w:p>
      <w:pPr>
        <w:pStyle w:val="178"/>
        <w:ind w:firstLine="420" w:firstLineChars="200"/>
        <w:rPr>
          <w:b w:val="0"/>
          <w:bCs/>
          <w:sz w:val="21"/>
          <w:szCs w:val="21"/>
        </w:rPr>
      </w:pPr>
      <w:r>
        <w:rPr>
          <w:b w:val="0"/>
          <w:bCs/>
          <w:sz w:val="21"/>
          <w:szCs w:val="21"/>
        </w:rPr>
        <w:t>1. 宜采用固定、可调遮阳设施，或采用可调节太阳得热系数（SHGC）的调光玻璃；</w:t>
      </w:r>
    </w:p>
    <w:p>
      <w:pPr>
        <w:pStyle w:val="178"/>
        <w:ind w:firstLine="420" w:firstLineChars="200"/>
        <w:rPr>
          <w:b w:val="0"/>
          <w:bCs/>
          <w:sz w:val="21"/>
          <w:szCs w:val="21"/>
        </w:rPr>
      </w:pPr>
      <w:r>
        <w:rPr>
          <w:b w:val="0"/>
          <w:bCs/>
          <w:sz w:val="21"/>
          <w:szCs w:val="21"/>
        </w:rPr>
        <w:t>2. 南向外窗宜采用可调节外遮阳、可调节中置遮阳或水平固定外遮阳方式；</w:t>
      </w:r>
    </w:p>
    <w:p>
      <w:pPr>
        <w:pStyle w:val="178"/>
        <w:spacing w:after="156" w:afterLines="50"/>
        <w:ind w:firstLine="420" w:firstLineChars="200"/>
        <w:rPr>
          <w:b w:val="0"/>
          <w:bCs/>
          <w:sz w:val="21"/>
          <w:szCs w:val="21"/>
        </w:rPr>
      </w:pPr>
      <w:r>
        <w:rPr>
          <w:b w:val="0"/>
          <w:bCs/>
          <w:sz w:val="21"/>
          <w:szCs w:val="21"/>
        </w:rPr>
        <w:t>3. 东向和西向外窗宜采用可调节外遮阳设施。</w:t>
      </w:r>
    </w:p>
    <w:p>
      <w:pPr>
        <w:spacing w:before="120" w:after="260" w:line="400" w:lineRule="exact"/>
        <w:outlineLvl w:val="2"/>
        <w:rPr>
          <w:rFonts w:ascii="Times New Roman" w:hAnsi="Times New Roman" w:eastAsia="宋体" w:cs="Times New Roman"/>
          <w:b w:val="0"/>
          <w:bCs/>
          <w:color w:val="000000" w:themeColor="text1"/>
          <w:szCs w:val="32"/>
          <w14:textFill>
            <w14:solidFill>
              <w14:schemeClr w14:val="tx1"/>
            </w14:solidFill>
          </w14:textFill>
        </w:rPr>
      </w:pPr>
      <w:r>
        <w:rPr>
          <w:rFonts w:ascii="Times New Roman" w:hAnsi="Times New Roman" w:eastAsia="宋体" w:cs="Times New Roman"/>
          <w:b w:val="0"/>
          <w:bCs/>
          <w:color w:val="000000" w:themeColor="text1"/>
          <w:szCs w:val="32"/>
          <w14:textFill>
            <w14:solidFill>
              <w14:schemeClr w14:val="tx1"/>
            </w14:solidFill>
          </w14:textFill>
        </w:rPr>
        <w:t>4.1.13 建筑及周边场地应为太阳能、风能等可再生能源设施提供安装条件。</w:t>
      </w:r>
    </w:p>
    <w:p>
      <w:pPr>
        <w:pStyle w:val="4"/>
        <w:rPr>
          <w:rFonts w:cs="Times New Roman"/>
          <w:b w:val="0"/>
          <w:bCs/>
        </w:rPr>
      </w:pPr>
      <w:r>
        <w:rPr>
          <w:rFonts w:cs="Times New Roman"/>
          <w:b w:val="0"/>
          <w:bCs/>
        </w:rPr>
        <w:t>4.1.14 建筑设计宜进行光伏发电系统一体化设计。</w:t>
      </w:r>
    </w:p>
    <w:p>
      <w:pPr>
        <w:spacing w:line="360" w:lineRule="auto"/>
        <w:rPr>
          <w:rFonts w:ascii="Times New Roman" w:hAnsi="Times New Roman" w:cs="Times New Roman"/>
          <w:b w:val="0"/>
          <w:bCs/>
        </w:rPr>
      </w:pPr>
    </w:p>
    <w:p>
      <w:pPr>
        <w:spacing w:line="360" w:lineRule="auto"/>
        <w:jc w:val="center"/>
        <w:rPr>
          <w:rFonts w:ascii="Times New Roman" w:hAnsi="Times New Roman" w:cs="Times New Roman"/>
          <w:b w:val="0"/>
          <w:bCs/>
        </w:rPr>
      </w:pPr>
      <w:r>
        <w:rPr>
          <w:rFonts w:ascii="Times New Roman" w:hAnsi="Times New Roman" w:cs="Times New Roman"/>
          <w:b w:val="0"/>
          <w:bCs/>
        </w:rPr>
        <w:t>IV 建造体系与建材</w:t>
      </w:r>
    </w:p>
    <w:p>
      <w:pPr>
        <w:pStyle w:val="4"/>
        <w:rPr>
          <w:rFonts w:cs="Times New Roman"/>
          <w:b w:val="0"/>
          <w:bCs/>
        </w:rPr>
      </w:pPr>
      <w:r>
        <w:rPr>
          <w:rFonts w:cs="Times New Roman"/>
          <w:b w:val="0"/>
          <w:bCs/>
        </w:rPr>
        <w:t>4.1.15 当功能需求、资源条件适宜时，宜选用木结构、钢结构等低碳建筑结构体系；设计宜采用建筑拆除时便于材料循环利用的措施。</w:t>
      </w:r>
    </w:p>
    <w:p>
      <w:pPr>
        <w:pStyle w:val="4"/>
        <w:rPr>
          <w:rFonts w:ascii="Times New Roman" w:hAnsi="Times New Roman" w:eastAsia="楷体" w:cs="Times New Roman"/>
          <w:b w:val="0"/>
          <w:bCs/>
          <w:color w:val="111111"/>
          <w:szCs w:val="21"/>
        </w:rPr>
      </w:pPr>
      <w:r>
        <w:rPr>
          <w:rFonts w:cs="Times New Roman"/>
          <w:b w:val="0"/>
          <w:bCs/>
        </w:rPr>
        <w:t xml:space="preserve">4.1.16 </w:t>
      </w:r>
      <w:r>
        <w:rPr>
          <w:rFonts w:hint="eastAsia" w:cs="Times New Roman"/>
          <w:b w:val="0"/>
          <w:bCs/>
        </w:rPr>
        <w:t>建筑</w:t>
      </w:r>
      <w:r>
        <w:rPr>
          <w:rFonts w:cs="Times New Roman"/>
          <w:b w:val="0"/>
          <w:bCs/>
        </w:rPr>
        <w:t>应合理使用装饰性材料，外部宜减少无功能作用的装饰性构件，内部宜采用易维护更换的装饰装修体系、材料和产品，并应减少装饰性建筑材料使用。</w:t>
      </w:r>
    </w:p>
    <w:p>
      <w:pPr>
        <w:pStyle w:val="4"/>
        <w:rPr>
          <w:rFonts w:cs="Times New Roman"/>
          <w:b w:val="0"/>
          <w:bCs/>
        </w:rPr>
      </w:pPr>
      <w:r>
        <w:rPr>
          <w:rFonts w:cs="Times New Roman"/>
          <w:b w:val="0"/>
          <w:bCs/>
        </w:rPr>
        <w:t>4.1.17 居住建筑宜进行全装修交付，公共建筑的公共区域装修宜实现设计建造一体化。</w:t>
      </w:r>
    </w:p>
    <w:p>
      <w:pPr>
        <w:pStyle w:val="4"/>
        <w:rPr>
          <w:rFonts w:cs="Times New Roman"/>
          <w:b w:val="0"/>
          <w:bCs/>
        </w:rPr>
      </w:pPr>
      <w:r>
        <w:rPr>
          <w:rFonts w:cs="Times New Roman"/>
          <w:b w:val="0"/>
          <w:bCs/>
        </w:rPr>
        <w:t xml:space="preserve">4.1.18 </w:t>
      </w:r>
      <w:r>
        <w:rPr>
          <w:rFonts w:hint="eastAsia" w:cs="Times New Roman"/>
          <w:b w:val="0"/>
          <w:bCs/>
        </w:rPr>
        <w:t>建筑</w:t>
      </w:r>
      <w:r>
        <w:rPr>
          <w:rFonts w:cs="Times New Roman"/>
          <w:b w:val="0"/>
          <w:bCs/>
        </w:rPr>
        <w:t>宜选用可循环建材、耐久性建材和本地材料，建材选择宜符合下列规定：</w:t>
      </w:r>
    </w:p>
    <w:p>
      <w:pPr>
        <w:spacing w:line="400" w:lineRule="exact"/>
        <w:ind w:firstLine="495" w:firstLineChars="236"/>
        <w:jc w:val="left"/>
        <w:rPr>
          <w:rFonts w:ascii="Times New Roman" w:hAnsi="Times New Roman" w:eastAsia="宋体" w:cs="Times New Roman"/>
          <w:b w:val="0"/>
          <w:bCs/>
          <w:color w:val="000000" w:themeColor="text1"/>
          <w:kern w:val="0"/>
          <w:szCs w:val="24"/>
          <w14:textFill>
            <w14:solidFill>
              <w14:schemeClr w14:val="tx1"/>
            </w14:solidFill>
          </w14:textFill>
        </w:rPr>
      </w:pPr>
      <w:r>
        <w:rPr>
          <w:rFonts w:ascii="Times New Roman" w:hAnsi="Times New Roman" w:eastAsia="宋体" w:cs="Times New Roman"/>
          <w:b w:val="0"/>
          <w:bCs/>
          <w:color w:val="000000" w:themeColor="text1"/>
          <w:kern w:val="0"/>
          <w:szCs w:val="24"/>
          <w14:textFill>
            <w14:solidFill>
              <w14:schemeClr w14:val="tx1"/>
            </w14:solidFill>
          </w14:textFill>
        </w:rPr>
        <w:t>1. 使用获得绿色建材标识（或认证）的或有明确碳足迹标签的材料与部品；</w:t>
      </w:r>
    </w:p>
    <w:p>
      <w:pPr>
        <w:spacing w:line="400" w:lineRule="exact"/>
        <w:ind w:firstLine="495" w:firstLineChars="236"/>
        <w:jc w:val="left"/>
        <w:rPr>
          <w:rFonts w:ascii="Times New Roman" w:hAnsi="Times New Roman" w:eastAsia="宋体" w:cs="Times New Roman"/>
          <w:b w:val="0"/>
          <w:bCs/>
          <w:color w:val="000000" w:themeColor="text1"/>
          <w:kern w:val="0"/>
          <w:szCs w:val="24"/>
          <w14:textFill>
            <w14:solidFill>
              <w14:schemeClr w14:val="tx1"/>
            </w14:solidFill>
          </w14:textFill>
        </w:rPr>
      </w:pPr>
      <w:r>
        <w:rPr>
          <w:rFonts w:ascii="Times New Roman" w:hAnsi="Times New Roman" w:eastAsia="宋体" w:cs="Times New Roman"/>
          <w:b w:val="0"/>
          <w:bCs/>
          <w:color w:val="000000" w:themeColor="text1"/>
          <w:kern w:val="0"/>
          <w:szCs w:val="24"/>
          <w14:textFill>
            <w14:solidFill>
              <w14:schemeClr w14:val="tx1"/>
            </w14:solidFill>
          </w14:textFill>
        </w:rPr>
        <w:t>2. 选用耐久性建材，延长建筑使用寿命；</w:t>
      </w:r>
    </w:p>
    <w:p>
      <w:pPr>
        <w:spacing w:after="260" w:line="400" w:lineRule="exact"/>
        <w:ind w:firstLine="495" w:firstLineChars="236"/>
        <w:jc w:val="left"/>
        <w:rPr>
          <w:rFonts w:ascii="Times New Roman" w:hAnsi="Times New Roman" w:eastAsia="宋体" w:cs="Times New Roman"/>
          <w:b w:val="0"/>
          <w:bCs/>
          <w:color w:val="000000" w:themeColor="text1"/>
          <w:kern w:val="0"/>
          <w:szCs w:val="24"/>
          <w14:textFill>
            <w14:solidFill>
              <w14:schemeClr w14:val="tx1"/>
            </w14:solidFill>
          </w14:textFill>
        </w:rPr>
      </w:pPr>
      <w:r>
        <w:rPr>
          <w:rFonts w:ascii="Times New Roman" w:hAnsi="Times New Roman" w:eastAsia="宋体" w:cs="Times New Roman"/>
          <w:b w:val="0"/>
          <w:bCs/>
          <w:color w:val="000000" w:themeColor="text1"/>
          <w:kern w:val="0"/>
          <w:szCs w:val="24"/>
          <w14:textFill>
            <w14:solidFill>
              <w14:schemeClr w14:val="tx1"/>
            </w14:solidFill>
          </w14:textFill>
        </w:rPr>
        <w:t>3. 因地制宜使用本地建筑材料，降低建筑材料运输的碳排放。</w:t>
      </w:r>
    </w:p>
    <w:p>
      <w:pPr>
        <w:spacing w:line="360" w:lineRule="auto"/>
        <w:rPr>
          <w:rFonts w:ascii="Times New Roman" w:hAnsi="Times New Roman" w:eastAsia="楷体" w:cs="Times New Roman"/>
          <w:b w:val="0"/>
          <w:bCs/>
          <w:szCs w:val="21"/>
        </w:rPr>
      </w:pPr>
    </w:p>
    <w:p>
      <w:pPr>
        <w:pStyle w:val="30"/>
        <w:widowControl/>
        <w:rPr>
          <w:rFonts w:ascii="Times New Roman" w:hAnsi="Times New Roman" w:cs="Times New Roman"/>
          <w:b w:val="0"/>
          <w:bCs/>
          <w:sz w:val="30"/>
          <w:szCs w:val="30"/>
        </w:rPr>
      </w:pPr>
      <w:bookmarkStart w:id="93" w:name="_Toc128988412"/>
      <w:r>
        <w:rPr>
          <w:rFonts w:ascii="Times New Roman" w:hAnsi="Times New Roman" w:cs="Times New Roman"/>
          <w:b w:val="0"/>
          <w:bCs/>
          <w:sz w:val="30"/>
          <w:szCs w:val="30"/>
        </w:rPr>
        <w:t>4.2 围护结构</w:t>
      </w:r>
      <w:bookmarkEnd w:id="93"/>
    </w:p>
    <w:p>
      <w:pPr>
        <w:pStyle w:val="4"/>
        <w:spacing w:before="0" w:after="156" w:afterLines="50" w:line="360" w:lineRule="auto"/>
        <w:rPr>
          <w:rFonts w:eastAsia="宋体" w:cs="Times New Roman"/>
          <w:b w:val="0"/>
          <w:bCs/>
          <w:szCs w:val="21"/>
        </w:rPr>
      </w:pPr>
      <w:r>
        <w:rPr>
          <w:rFonts w:eastAsia="宋体" w:cs="Times New Roman"/>
          <w:b w:val="0"/>
          <w:bCs/>
          <w:szCs w:val="21"/>
        </w:rPr>
        <w:t>4.2.1 围护结构宜选择具有碳足迹评价的产品，碳排放计算应符合现行国家标准《建筑碳排放计算标准》GB/T 51366的要求。</w:t>
      </w:r>
    </w:p>
    <w:p>
      <w:pPr>
        <w:spacing w:line="360" w:lineRule="auto"/>
        <w:ind w:firstLine="420" w:firstLineChars="200"/>
        <w:rPr>
          <w:rFonts w:ascii="Times New Roman" w:hAnsi="Times New Roman" w:cs="Times New Roman"/>
          <w:b w:val="0"/>
          <w:bCs/>
        </w:rPr>
      </w:pPr>
    </w:p>
    <w:p>
      <w:pPr>
        <w:pStyle w:val="4"/>
        <w:spacing w:before="0" w:after="0" w:line="360" w:lineRule="auto"/>
        <w:rPr>
          <w:rFonts w:eastAsia="宋体" w:cs="Times New Roman"/>
          <w:b w:val="0"/>
          <w:bCs/>
          <w:szCs w:val="21"/>
        </w:rPr>
      </w:pPr>
      <w:r>
        <w:rPr>
          <w:rFonts w:eastAsia="宋体" w:cs="Times New Roman"/>
          <w:b w:val="0"/>
          <w:bCs/>
          <w:szCs w:val="21"/>
        </w:rPr>
        <w:t>4.2.2 围护结构热工性能计算参数的确定应符合下列规定：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1非透光围护结构主断面平壁传热系数应考虑连接件、固定件等造成的热桥影响，计算方法应符合现行国家标准《民用建筑热工设计规范》GB50176的相关规定；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2 非透光围护结构平均传热系数应采用包括结构性热桥和附加线热桥、点热桥在内的平均传热系数，计算方法应符合现行国家标准《民用建筑热工设计规范》GB 50176和现行强制性工程建设规范《建筑节能与可再生能源利用通用规范》GB 55015的相关规定；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3 围护结构中的热桥部位应进行二、三维稳态传热模拟计算，计算软件的选择、边界条件的设置、计算模型的选取和计算参数的选用应符合现行国家标准《民用建筑热工设计规范》GB50176的规定；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4 外窗的 K 值应包括整窗的传热系数和安装热桥系数，整窗的传热系数应根据产品提供的传热系数检测报告确定，安装热桥系数应根据模拟计算结果确定；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5 外窗的综合SHGC值应根据现行国家标准《民用建筑热工设计规范》GB50176的规定进行计算。</w:t>
      </w:r>
    </w:p>
    <w:p>
      <w:pPr>
        <w:spacing w:before="156" w:beforeLines="50" w:after="156" w:afterLines="50"/>
        <w:rPr>
          <w:rFonts w:ascii="Times New Roman" w:hAnsi="Times New Roman" w:cs="Times New Roman"/>
          <w:b w:val="0"/>
          <w:bCs/>
        </w:rPr>
      </w:pPr>
    </w:p>
    <w:p>
      <w:pPr>
        <w:pStyle w:val="4"/>
        <w:spacing w:before="0" w:after="0" w:line="360" w:lineRule="auto"/>
        <w:rPr>
          <w:rFonts w:eastAsia="宋体" w:cs="Times New Roman"/>
          <w:b w:val="0"/>
          <w:bCs/>
          <w:szCs w:val="21"/>
        </w:rPr>
      </w:pPr>
      <w:r>
        <w:rPr>
          <w:rFonts w:eastAsia="宋体" w:cs="Times New Roman"/>
          <w:b w:val="0"/>
          <w:bCs/>
          <w:szCs w:val="21"/>
        </w:rPr>
        <w:t>4.2.3 墙体降碳设计应符合下列规定：</w:t>
      </w:r>
    </w:p>
    <w:p>
      <w:pPr>
        <w:pStyle w:val="78"/>
        <w:numPr>
          <w:ilvl w:val="0"/>
          <w:numId w:val="0"/>
        </w:numPr>
        <w:ind w:firstLine="420" w:firstLineChars="200"/>
        <w:rPr>
          <w:b w:val="0"/>
          <w:bCs/>
          <w:sz w:val="21"/>
        </w:rPr>
      </w:pPr>
      <w:r>
        <w:rPr>
          <w:b w:val="0"/>
          <w:bCs/>
          <w:sz w:val="21"/>
        </w:rPr>
        <w:t>1 建筑外墙宜选用重质墙体，严寒、寒冷和夏热冬冷气候区墙体保温宜采用外保温系统；</w:t>
      </w:r>
    </w:p>
    <w:p>
      <w:pPr>
        <w:pStyle w:val="78"/>
        <w:numPr>
          <w:ilvl w:val="0"/>
          <w:numId w:val="0"/>
        </w:numPr>
        <w:ind w:firstLine="420" w:firstLineChars="200"/>
        <w:rPr>
          <w:b w:val="0"/>
          <w:bCs/>
          <w:sz w:val="21"/>
        </w:rPr>
      </w:pPr>
      <w:r>
        <w:rPr>
          <w:b w:val="0"/>
          <w:bCs/>
          <w:sz w:val="21"/>
        </w:rPr>
        <w:t>2 采用除外保温外的其他保温构造时，应采取阻断热桥的措施，并采取可靠的防潮措施；</w:t>
      </w:r>
    </w:p>
    <w:p>
      <w:pPr>
        <w:pStyle w:val="78"/>
        <w:numPr>
          <w:ilvl w:val="0"/>
          <w:numId w:val="0"/>
        </w:numPr>
        <w:ind w:left="420"/>
        <w:rPr>
          <w:b w:val="0"/>
          <w:bCs/>
          <w:sz w:val="21"/>
        </w:rPr>
      </w:pPr>
      <w:r>
        <w:rPr>
          <w:b w:val="0"/>
          <w:bCs/>
          <w:sz w:val="21"/>
        </w:rPr>
        <w:t>3 应在满足同等保温水平目标下，应选择全寿命期碳排放更低的保温材料。</w:t>
      </w:r>
    </w:p>
    <w:p>
      <w:pPr>
        <w:pStyle w:val="78"/>
        <w:numPr>
          <w:ilvl w:val="0"/>
          <w:numId w:val="0"/>
        </w:numPr>
        <w:ind w:firstLine="420" w:firstLineChars="200"/>
        <w:rPr>
          <w:b w:val="0"/>
          <w:bCs/>
          <w:sz w:val="21"/>
        </w:rPr>
      </w:pPr>
      <w:r>
        <w:rPr>
          <w:b w:val="0"/>
          <w:bCs/>
          <w:sz w:val="21"/>
        </w:rPr>
        <w:t>4非透光幕墙宜结合外墙外保温一体化设计。非透光的玻璃幕墙部分、金属幕墙、石材幕墙和其它人造板材幕墙等面板背后应采取高效保温材料保温，非透光幕墙与围护结构连接构件应进行断热桥专项设计。</w:t>
      </w:r>
    </w:p>
    <w:p>
      <w:pPr>
        <w:pStyle w:val="78"/>
        <w:numPr>
          <w:ilvl w:val="0"/>
          <w:numId w:val="0"/>
        </w:numPr>
        <w:spacing w:after="156" w:afterLines="50"/>
        <w:ind w:firstLine="420" w:firstLineChars="200"/>
        <w:rPr>
          <w:b w:val="0"/>
          <w:bCs/>
        </w:rPr>
      </w:pPr>
      <w:r>
        <w:rPr>
          <w:b w:val="0"/>
          <w:bCs/>
          <w:sz w:val="21"/>
        </w:rPr>
        <w:t>5 夏热冬冷地区和夏热冬暖地区可根据气候条件，开展围护结构热湿耦合降碳设计。</w:t>
      </w:r>
    </w:p>
    <w:p>
      <w:pPr>
        <w:pStyle w:val="73"/>
        <w:ind w:left="600" w:hanging="600"/>
        <w:rPr>
          <w:rFonts w:cs="Times New Roman"/>
          <w:b w:val="0"/>
          <w:bCs/>
        </w:rPr>
      </w:pPr>
    </w:p>
    <w:p>
      <w:pPr>
        <w:pStyle w:val="4"/>
        <w:rPr>
          <w:rFonts w:eastAsia="宋体" w:cs="Times New Roman"/>
          <w:b w:val="0"/>
          <w:bCs/>
          <w:szCs w:val="21"/>
        </w:rPr>
      </w:pPr>
      <w:r>
        <w:rPr>
          <w:rFonts w:cs="Times New Roman"/>
          <w:b w:val="0"/>
          <w:bCs/>
        </w:rPr>
        <w:t>4.2.4 透光围护结构</w:t>
      </w:r>
      <w:r>
        <w:rPr>
          <w:rFonts w:eastAsia="宋体" w:cs="Times New Roman"/>
          <w:b w:val="0"/>
          <w:bCs/>
          <w:szCs w:val="21"/>
        </w:rPr>
        <w:t>降碳设计应符合下列规定：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1 透光围护结构应采用系统化设计，实现构造的传热系数K值、太阳得热系数SHGC值、可见光透射比以及气密性的性能化设计目标；</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2 透光围护结构应综合自然通风与消防排烟需求设计，应采用多点锁闭系统并进行开启部位专项设计；</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3 透光围护结构宜减少型材在构件中的占比；</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4 外窗型材及安装位置应根据热桥影响分析确定，宜位于保温层内并靠近结构墙体；</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5 当外窗位于结构墙体窗洞口内时，宜选用具有自保温性能材料制作而成的附框，外墙或窗口的保温层应覆盖附框并宜覆盖部分窗框；</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6 采用外挂式外窗安装方式且窗口外侧下口设置金属披水板时，固定件不得接触金属披水板。</w:t>
      </w:r>
    </w:p>
    <w:p>
      <w:pPr>
        <w:rPr>
          <w:rFonts w:ascii="Times New Roman" w:hAnsi="Times New Roman" w:cs="Times New Roman"/>
          <w:b w:val="0"/>
          <w:bCs/>
        </w:rPr>
      </w:pPr>
    </w:p>
    <w:p>
      <w:pPr>
        <w:pStyle w:val="4"/>
        <w:rPr>
          <w:rFonts w:cs="Times New Roman"/>
          <w:b w:val="0"/>
          <w:bCs/>
        </w:rPr>
      </w:pPr>
      <w:r>
        <w:rPr>
          <w:rFonts w:cs="Times New Roman"/>
          <w:b w:val="0"/>
          <w:bCs/>
        </w:rPr>
        <w:t>4.2.5 地面、屋面降碳设计应符合下列规定：</w:t>
      </w:r>
    </w:p>
    <w:p>
      <w:pPr>
        <w:spacing w:line="400" w:lineRule="exact"/>
        <w:ind w:firstLine="465"/>
        <w:jc w:val="left"/>
        <w:rPr>
          <w:rFonts w:ascii="Times New Roman" w:hAnsi="Times New Roman" w:cs="Times New Roman"/>
          <w:b w:val="0"/>
          <w:bCs/>
          <w:color w:val="000000" w:themeColor="text1"/>
          <w:kern w:val="0"/>
          <w:szCs w:val="24"/>
          <w14:textFill>
            <w14:solidFill>
              <w14:schemeClr w14:val="tx1"/>
            </w14:solidFill>
          </w14:textFill>
        </w:rPr>
      </w:pPr>
      <w:r>
        <w:rPr>
          <w:rFonts w:ascii="Times New Roman" w:hAnsi="Times New Roman" w:cs="Times New Roman"/>
          <w:b w:val="0"/>
          <w:bCs/>
          <w:color w:val="000000" w:themeColor="text1"/>
          <w:kern w:val="0"/>
          <w:szCs w:val="24"/>
          <w14:textFill>
            <w14:solidFill>
              <w14:schemeClr w14:val="tx1"/>
            </w14:solidFill>
          </w14:textFill>
        </w:rPr>
        <w:t>1 地面保温材料应选择体积吸水率低、抗压强度高、尺寸稳定性好、全生命期碳排放更低的保温材料；</w:t>
      </w:r>
    </w:p>
    <w:p>
      <w:pPr>
        <w:spacing w:line="400" w:lineRule="exact"/>
        <w:ind w:firstLine="465"/>
        <w:jc w:val="left"/>
        <w:rPr>
          <w:rFonts w:ascii="Times New Roman" w:hAnsi="Times New Roman" w:cs="Times New Roman"/>
          <w:b w:val="0"/>
          <w:bCs/>
          <w:color w:val="000000" w:themeColor="text1"/>
          <w:kern w:val="0"/>
          <w:szCs w:val="24"/>
          <w14:textFill>
            <w14:solidFill>
              <w14:schemeClr w14:val="tx1"/>
            </w14:solidFill>
          </w14:textFill>
        </w:rPr>
      </w:pPr>
      <w:r>
        <w:rPr>
          <w:rFonts w:ascii="Times New Roman" w:hAnsi="Times New Roman" w:cs="Times New Roman"/>
          <w:b w:val="0"/>
          <w:bCs/>
          <w:color w:val="000000" w:themeColor="text1"/>
          <w:kern w:val="0"/>
          <w:szCs w:val="24"/>
          <w14:textFill>
            <w14:solidFill>
              <w14:schemeClr w14:val="tx1"/>
            </w14:solidFill>
          </w14:textFill>
        </w:rPr>
        <w:t>2 地面保温应考虑室内隔墙或基础造成的热桥；</w:t>
      </w:r>
    </w:p>
    <w:p>
      <w:pPr>
        <w:spacing w:line="400" w:lineRule="exact"/>
        <w:ind w:firstLine="465"/>
        <w:jc w:val="left"/>
        <w:rPr>
          <w:rFonts w:ascii="Times New Roman" w:hAnsi="Times New Roman" w:cs="Times New Roman"/>
          <w:b w:val="0"/>
          <w:bCs/>
        </w:rPr>
      </w:pPr>
      <w:r>
        <w:rPr>
          <w:rFonts w:ascii="Times New Roman" w:hAnsi="Times New Roman" w:cs="Times New Roman"/>
          <w:b w:val="0"/>
          <w:bCs/>
          <w:color w:val="000000" w:themeColor="text1"/>
          <w:kern w:val="0"/>
          <w:szCs w:val="24"/>
          <w14:textFill>
            <w14:solidFill>
              <w14:schemeClr w14:val="tx1"/>
            </w14:solidFill>
          </w14:textFill>
        </w:rPr>
        <w:t>3</w:t>
      </w:r>
      <w:r>
        <w:rPr>
          <w:rFonts w:ascii="Times New Roman" w:hAnsi="Times New Roman" w:cs="Times New Roman"/>
          <w:b w:val="0"/>
          <w:bCs/>
        </w:rPr>
        <w:t>屋面宜采用吸水率低的挤塑板（XPS）、高强度模塑板（EPS）或硬泡聚氨酯（PIR）等材料作为保温材料；</w:t>
      </w:r>
    </w:p>
    <w:p>
      <w:pPr>
        <w:spacing w:line="400" w:lineRule="exact"/>
        <w:ind w:firstLine="465"/>
        <w:jc w:val="left"/>
        <w:rPr>
          <w:rFonts w:ascii="Times New Roman" w:hAnsi="Times New Roman" w:cs="Times New Roman"/>
          <w:b w:val="0"/>
          <w:bCs/>
          <w:color w:val="000000" w:themeColor="text1"/>
          <w:kern w:val="0"/>
          <w:szCs w:val="24"/>
          <w14:textFill>
            <w14:solidFill>
              <w14:schemeClr w14:val="tx1"/>
            </w14:solidFill>
          </w14:textFill>
        </w:rPr>
      </w:pPr>
      <w:r>
        <w:rPr>
          <w:rFonts w:ascii="Times New Roman" w:hAnsi="Times New Roman" w:cs="Times New Roman"/>
          <w:b w:val="0"/>
          <w:bCs/>
        </w:rPr>
        <w:t>4</w:t>
      </w:r>
      <w:r>
        <w:rPr>
          <w:rFonts w:ascii="Times New Roman" w:hAnsi="Times New Roman" w:cs="Times New Roman"/>
          <w:b w:val="0"/>
          <w:bCs/>
          <w:color w:val="000000" w:themeColor="text1"/>
          <w:kern w:val="0"/>
          <w:szCs w:val="24"/>
          <w14:textFill>
            <w14:solidFill>
              <w14:schemeClr w14:val="tx1"/>
            </w14:solidFill>
          </w14:textFill>
        </w:rPr>
        <w:t>屋面构造设计</w:t>
      </w:r>
      <w:r>
        <w:rPr>
          <w:rFonts w:ascii="Times New Roman" w:hAnsi="Times New Roman" w:cs="Times New Roman"/>
          <w:b w:val="0"/>
          <w:bCs/>
        </w:rPr>
        <w:t>宜避免在隔汽层与防水层间进行湿作业；</w:t>
      </w:r>
    </w:p>
    <w:p>
      <w:pPr>
        <w:spacing w:line="400" w:lineRule="exact"/>
        <w:ind w:firstLine="465"/>
        <w:jc w:val="left"/>
        <w:rPr>
          <w:rFonts w:ascii="Times New Roman" w:hAnsi="Times New Roman" w:cs="Times New Roman"/>
          <w:b w:val="0"/>
          <w:bCs/>
          <w:color w:val="000000" w:themeColor="text1"/>
          <w:kern w:val="0"/>
          <w:szCs w:val="24"/>
          <w14:textFill>
            <w14:solidFill>
              <w14:schemeClr w14:val="tx1"/>
            </w14:solidFill>
          </w14:textFill>
        </w:rPr>
      </w:pPr>
      <w:r>
        <w:rPr>
          <w:rFonts w:ascii="Times New Roman" w:hAnsi="Times New Roman" w:cs="Times New Roman"/>
          <w:b w:val="0"/>
          <w:bCs/>
          <w:color w:val="000000" w:themeColor="text1"/>
          <w:kern w:val="0"/>
          <w:szCs w:val="24"/>
          <w14:textFill>
            <w14:solidFill>
              <w14:schemeClr w14:val="tx1"/>
            </w14:solidFill>
          </w14:textFill>
        </w:rPr>
        <w:t>5 夏热冬冷和夏热冬暖地区建筑宜采用浅色屋面、通风屋面和种植屋面等屋面隔热措施；</w:t>
      </w:r>
    </w:p>
    <w:p>
      <w:pPr>
        <w:spacing w:after="156" w:afterLines="50" w:line="400" w:lineRule="exact"/>
        <w:ind w:firstLine="420" w:firstLineChars="200"/>
        <w:jc w:val="left"/>
        <w:rPr>
          <w:rFonts w:ascii="Times New Roman" w:hAnsi="Times New Roman" w:cs="Times New Roman"/>
          <w:b w:val="0"/>
          <w:bCs/>
          <w:color w:val="000000" w:themeColor="text1"/>
          <w:kern w:val="0"/>
          <w:szCs w:val="24"/>
          <w14:textFill>
            <w14:solidFill>
              <w14:schemeClr w14:val="tx1"/>
            </w14:solidFill>
          </w14:textFill>
        </w:rPr>
      </w:pPr>
      <w:r>
        <w:rPr>
          <w:rFonts w:ascii="Times New Roman" w:hAnsi="Times New Roman" w:cs="Times New Roman"/>
          <w:b w:val="0"/>
          <w:bCs/>
          <w:color w:val="000000" w:themeColor="text1"/>
          <w:kern w:val="0"/>
          <w:szCs w:val="24"/>
          <w14:textFill>
            <w14:solidFill>
              <w14:schemeClr w14:val="tx1"/>
            </w14:solidFill>
          </w14:textFill>
        </w:rPr>
        <w:t>6建筑屋面的可再生能源利用设施应与主体建筑同步设计、同步施工。</w:t>
      </w:r>
    </w:p>
    <w:p>
      <w:pPr>
        <w:spacing w:line="400" w:lineRule="exact"/>
        <w:jc w:val="left"/>
        <w:rPr>
          <w:rFonts w:ascii="Times New Roman" w:hAnsi="Times New Roman" w:eastAsia="华文中宋" w:cs="Times New Roman"/>
          <w:b w:val="0"/>
          <w:bCs/>
          <w:color w:val="000000" w:themeColor="text1"/>
          <w:kern w:val="0"/>
          <w:sz w:val="24"/>
          <w:szCs w:val="24"/>
          <w14:textFill>
            <w14:solidFill>
              <w14:schemeClr w14:val="tx1"/>
            </w14:solidFill>
          </w14:textFill>
        </w:rPr>
      </w:pPr>
    </w:p>
    <w:p>
      <w:pPr>
        <w:pStyle w:val="4"/>
        <w:rPr>
          <w:rFonts w:cs="Times New Roman"/>
          <w:b w:val="0"/>
          <w:bCs/>
        </w:rPr>
      </w:pPr>
      <w:r>
        <w:rPr>
          <w:rFonts w:cs="Times New Roman"/>
          <w:b w:val="0"/>
          <w:bCs/>
        </w:rPr>
        <w:t>4.2.6 围护结构气密性降碳措施应符合下列规定：</w:t>
      </w:r>
    </w:p>
    <w:p>
      <w:pPr>
        <w:spacing w:line="400" w:lineRule="exact"/>
        <w:ind w:firstLine="495" w:firstLineChars="236"/>
        <w:jc w:val="left"/>
        <w:rPr>
          <w:rFonts w:ascii="Times New Roman" w:hAnsi="Times New Roman" w:eastAsia="宋体" w:cs="Times New Roman"/>
          <w:b w:val="0"/>
          <w:bCs/>
          <w:color w:val="000000" w:themeColor="text1"/>
          <w:kern w:val="0"/>
          <w:szCs w:val="24"/>
          <w14:textFill>
            <w14:solidFill>
              <w14:schemeClr w14:val="tx1"/>
            </w14:solidFill>
          </w14:textFill>
        </w:rPr>
      </w:pPr>
      <w:r>
        <w:rPr>
          <w:rFonts w:ascii="Times New Roman" w:hAnsi="Times New Roman" w:eastAsia="宋体" w:cs="Times New Roman"/>
          <w:b w:val="0"/>
          <w:bCs/>
          <w:color w:val="000000" w:themeColor="text1"/>
          <w:kern w:val="0"/>
          <w:szCs w:val="24"/>
          <w14:textFill>
            <w14:solidFill>
              <w14:schemeClr w14:val="tx1"/>
            </w14:solidFill>
          </w14:textFill>
        </w:rPr>
        <w:t>1 应进行建筑气密性专项设计，当设计有气密层时，气密层应连续包围整个围护结构，气密性措施应根据不同的建筑结构形式进行选择，并应在建筑设计施工图中明确标注气密层的位置和不同部位的气密性处理措施；</w:t>
      </w:r>
    </w:p>
    <w:p>
      <w:pPr>
        <w:spacing w:line="400" w:lineRule="exact"/>
        <w:ind w:firstLine="495" w:firstLineChars="236"/>
        <w:jc w:val="left"/>
        <w:rPr>
          <w:rFonts w:ascii="Times New Roman" w:hAnsi="Times New Roman" w:eastAsia="宋体" w:cs="Times New Roman"/>
          <w:b w:val="0"/>
          <w:bCs/>
          <w:color w:val="000000" w:themeColor="text1"/>
          <w:kern w:val="0"/>
          <w:szCs w:val="24"/>
          <w14:textFill>
            <w14:solidFill>
              <w14:schemeClr w14:val="tx1"/>
            </w14:solidFill>
          </w14:textFill>
        </w:rPr>
      </w:pPr>
      <w:r>
        <w:rPr>
          <w:rFonts w:ascii="Times New Roman" w:hAnsi="Times New Roman" w:eastAsia="宋体" w:cs="Times New Roman"/>
          <w:b w:val="0"/>
          <w:bCs/>
          <w:color w:val="000000" w:themeColor="text1"/>
          <w:kern w:val="0"/>
          <w:szCs w:val="24"/>
          <w14:textFill>
            <w14:solidFill>
              <w14:schemeClr w14:val="tx1"/>
            </w14:solidFill>
          </w14:textFill>
        </w:rPr>
        <w:t>2 气密性材料的选用应结合当地气候条件和施工现场条件，气密性材料的适用温度、可施工温度、抗紫外线和抗腐蚀等性能指标应满足相关标准要求；</w:t>
      </w:r>
    </w:p>
    <w:p>
      <w:pPr>
        <w:spacing w:after="156" w:afterLines="50" w:line="400" w:lineRule="exact"/>
        <w:ind w:firstLine="495" w:firstLineChars="236"/>
        <w:jc w:val="left"/>
        <w:rPr>
          <w:rFonts w:ascii="Times New Roman" w:hAnsi="Times New Roman" w:eastAsia="宋体" w:cs="Times New Roman"/>
          <w:b w:val="0"/>
          <w:bCs/>
          <w:color w:val="000000" w:themeColor="text1"/>
          <w:kern w:val="0"/>
          <w:szCs w:val="24"/>
          <w14:textFill>
            <w14:solidFill>
              <w14:schemeClr w14:val="tx1"/>
            </w14:solidFill>
          </w14:textFill>
        </w:rPr>
      </w:pPr>
      <w:r>
        <w:rPr>
          <w:rFonts w:ascii="Times New Roman" w:hAnsi="Times New Roman" w:eastAsia="宋体" w:cs="Times New Roman"/>
          <w:b w:val="0"/>
          <w:bCs/>
          <w:color w:val="000000" w:themeColor="text1"/>
          <w:kern w:val="0"/>
          <w:szCs w:val="24"/>
          <w14:textFill>
            <w14:solidFill>
              <w14:schemeClr w14:val="tx1"/>
            </w14:solidFill>
          </w14:textFill>
        </w:rPr>
        <w:t>3 建筑气密性宜按现行国家标准《近零能耗建筑技术标准》GB/T 51350的规定进行设计并在围护结构完成后进行建筑气密性检测。</w:t>
      </w:r>
    </w:p>
    <w:p>
      <w:pPr>
        <w:spacing w:before="156" w:beforeLines="50" w:after="156" w:afterLines="50" w:line="276" w:lineRule="auto"/>
        <w:jc w:val="left"/>
        <w:rPr>
          <w:rFonts w:ascii="Times New Roman" w:hAnsi="Times New Roman" w:eastAsia="华文中宋" w:cs="Times New Roman"/>
          <w:b w:val="0"/>
          <w:bCs/>
          <w:kern w:val="0"/>
          <w:sz w:val="24"/>
          <w:szCs w:val="24"/>
        </w:rPr>
      </w:pPr>
    </w:p>
    <w:p>
      <w:pPr>
        <w:pStyle w:val="4"/>
        <w:rPr>
          <w:rFonts w:cs="Times New Roman"/>
          <w:b w:val="0"/>
          <w:bCs/>
        </w:rPr>
      </w:pPr>
      <w:r>
        <w:rPr>
          <w:rFonts w:cs="Times New Roman"/>
          <w:b w:val="0"/>
          <w:bCs/>
        </w:rPr>
        <w:t>4.2.7 热桥降碳措施应符合下列规定：</w:t>
      </w:r>
    </w:p>
    <w:p>
      <w:pPr>
        <w:spacing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1 围护结构的热桥部位应采取消除或削弱热桥的措施，并确保热桥内表面温度高于房间空气露点温度。建筑设计施工图中应明确热桥部位的处理措施，具体措施宜符合现行国家标准</w:t>
      </w:r>
      <w:r>
        <w:rPr>
          <w:rFonts w:ascii="Times New Roman" w:hAnsi="Times New Roman" w:eastAsia="宋体" w:cs="Times New Roman"/>
          <w:b w:val="0"/>
          <w:bCs/>
          <w:color w:val="000000" w:themeColor="text1"/>
          <w:kern w:val="0"/>
          <w:szCs w:val="24"/>
          <w14:textFill>
            <w14:solidFill>
              <w14:schemeClr w14:val="tx1"/>
            </w14:solidFill>
          </w14:textFill>
        </w:rPr>
        <w:t>《近零能耗建筑技术标准》GB/T 51350</w:t>
      </w:r>
      <w:r>
        <w:rPr>
          <w:rFonts w:ascii="Times New Roman" w:hAnsi="Times New Roman" w:cs="Times New Roman"/>
          <w:b w:val="0"/>
          <w:bCs/>
          <w:kern w:val="0"/>
          <w:szCs w:val="24"/>
        </w:rPr>
        <w:t>的规定；</w:t>
      </w:r>
    </w:p>
    <w:p>
      <w:pPr>
        <w:spacing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2 严寒和寒冷地区外墙上的悬挑构件宜采用断热桥承重连接件，其承载性能应符合相关国家标准的要求，其连接方式、热工性能应符合设计要求；</w:t>
      </w:r>
    </w:p>
    <w:p>
      <w:pPr>
        <w:spacing w:after="260" w:line="400" w:lineRule="exact"/>
        <w:ind w:firstLine="495" w:firstLineChars="236"/>
        <w:jc w:val="left"/>
        <w:rPr>
          <w:rFonts w:ascii="Times New Roman" w:hAnsi="Times New Roman" w:eastAsia="华文中宋" w:cs="Times New Roman"/>
          <w:b w:val="0"/>
          <w:bCs/>
          <w:color w:val="0070C0"/>
          <w:kern w:val="0"/>
          <w:sz w:val="24"/>
          <w:szCs w:val="24"/>
        </w:rPr>
      </w:pPr>
      <w:r>
        <w:rPr>
          <w:rFonts w:ascii="Times New Roman" w:hAnsi="Times New Roman" w:cs="Times New Roman"/>
          <w:b w:val="0"/>
          <w:bCs/>
          <w:kern w:val="0"/>
          <w:szCs w:val="24"/>
        </w:rPr>
        <w:t>3 外窗洞口区域的热工性能宜按现行国家标准《外窗热工缺陷现场测试方法》GB/T 39684开展热工缺陷判定。</w:t>
      </w:r>
    </w:p>
    <w:p>
      <w:pPr>
        <w:pStyle w:val="4"/>
        <w:rPr>
          <w:rFonts w:cs="Times New Roman"/>
          <w:b w:val="0"/>
          <w:bCs/>
        </w:rPr>
      </w:pPr>
      <w:r>
        <w:rPr>
          <w:rFonts w:cs="Times New Roman"/>
          <w:b w:val="0"/>
          <w:bCs/>
        </w:rPr>
        <w:t>4.2.8 围护结构采用外保温构造时应</w:t>
      </w:r>
      <w:r>
        <w:rPr>
          <w:rFonts w:cs="Times New Roman"/>
          <w:b w:val="0"/>
          <w:bCs/>
          <w:kern w:val="0"/>
          <w:szCs w:val="24"/>
        </w:rPr>
        <w:t>考虑防水、吸水性能</w:t>
      </w:r>
      <w:r>
        <w:rPr>
          <w:rFonts w:cs="Times New Roman"/>
          <w:b w:val="0"/>
          <w:bCs/>
        </w:rPr>
        <w:t>，并应符合下列规定：</w:t>
      </w:r>
    </w:p>
    <w:p>
      <w:pPr>
        <w:spacing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1 水平或倾斜的出挑部位以及延伸至地面以下的部位应做防水处理；</w:t>
      </w:r>
    </w:p>
    <w:p>
      <w:pPr>
        <w:spacing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2 勒脚、室外平台外墙底部宜采用吸水率低的保温材料；</w:t>
      </w:r>
    </w:p>
    <w:p>
      <w:pPr>
        <w:spacing w:after="156" w:afterLines="50"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3 外保温与门窗交接处、首层与其他层交接处、外墙与屋顶交接处应进行密封和防水构造设计。</w:t>
      </w:r>
    </w:p>
    <w:p>
      <w:pPr>
        <w:pStyle w:val="16"/>
        <w:ind w:firstLine="480"/>
        <w:rPr>
          <w:b w:val="0"/>
          <w:bCs/>
        </w:rPr>
      </w:pPr>
    </w:p>
    <w:p>
      <w:pPr>
        <w:pStyle w:val="4"/>
        <w:rPr>
          <w:rFonts w:cs="Times New Roman"/>
          <w:b w:val="0"/>
          <w:bCs/>
        </w:rPr>
      </w:pPr>
      <w:r>
        <w:rPr>
          <w:rFonts w:cs="Times New Roman"/>
          <w:b w:val="0"/>
          <w:bCs/>
        </w:rPr>
        <w:t>4.2.9 当采用预制或现场浇筑混凝土内置保温构造做法时，应进行安全性计算，其热工和气密性设计应符合下列规定：</w:t>
      </w:r>
    </w:p>
    <w:p>
      <w:pPr>
        <w:spacing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1 内置保温外墙板应保证保温层的连续性，不应出现热桥；</w:t>
      </w:r>
    </w:p>
    <w:p>
      <w:pPr>
        <w:spacing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2 当预制外墙板周边保温层厚度有减缩时，应进行热桥模拟计算并计入平均传热系数；</w:t>
      </w:r>
    </w:p>
    <w:p>
      <w:pPr>
        <w:spacing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3 当采用真空绝热板时，应采用无封边、带倒角的真空绝热板，当采用无倒角的真空绝热板时，应考虑拼缝位置造成的热桥；</w:t>
      </w:r>
    </w:p>
    <w:p>
      <w:pPr>
        <w:spacing w:after="156" w:afterLines="50" w:line="400" w:lineRule="exact"/>
        <w:ind w:firstLine="495" w:firstLineChars="236"/>
        <w:jc w:val="left"/>
        <w:rPr>
          <w:rFonts w:ascii="Times New Roman" w:hAnsi="Times New Roman" w:cs="Times New Roman"/>
          <w:b w:val="0"/>
          <w:bCs/>
          <w:kern w:val="0"/>
          <w:szCs w:val="24"/>
        </w:rPr>
      </w:pPr>
      <w:r>
        <w:rPr>
          <w:rFonts w:ascii="Times New Roman" w:hAnsi="Times New Roman" w:cs="Times New Roman"/>
          <w:b w:val="0"/>
          <w:bCs/>
          <w:kern w:val="0"/>
          <w:szCs w:val="24"/>
        </w:rPr>
        <w:t>4 预制外墙板接缝处以及与主体结构的连接处应设置防止形成热桥的构造措施并增加气密性构造措施。</w:t>
      </w:r>
    </w:p>
    <w:p>
      <w:pPr>
        <w:pStyle w:val="30"/>
        <w:widowControl/>
        <w:rPr>
          <w:rFonts w:ascii="Times New Roman" w:hAnsi="Times New Roman" w:cs="Times New Roman"/>
          <w:b w:val="0"/>
          <w:bCs/>
          <w:sz w:val="30"/>
          <w:szCs w:val="30"/>
        </w:rPr>
      </w:pPr>
      <w:bookmarkStart w:id="94" w:name="_Toc128988413"/>
      <w:r>
        <w:rPr>
          <w:rFonts w:ascii="Times New Roman" w:hAnsi="Times New Roman" w:cs="Times New Roman"/>
          <w:b w:val="0"/>
          <w:bCs/>
          <w:sz w:val="30"/>
          <w:szCs w:val="30"/>
        </w:rPr>
        <w:t>4.3 机电设施</w:t>
      </w:r>
      <w:bookmarkEnd w:id="94"/>
    </w:p>
    <w:p>
      <w:pPr>
        <w:pStyle w:val="4"/>
        <w:rPr>
          <w:rFonts w:cs="Times New Roman"/>
          <w:b w:val="0"/>
          <w:bCs/>
        </w:rPr>
      </w:pPr>
      <w:r>
        <w:rPr>
          <w:rFonts w:cs="Times New Roman"/>
          <w:b w:val="0"/>
          <w:bCs/>
        </w:rPr>
        <w:t>4.3.1 建筑供热供冷系统应综合经济技术分析，进行方案比选和性能优化。</w:t>
      </w:r>
    </w:p>
    <w:p>
      <w:pPr>
        <w:pStyle w:val="4"/>
        <w:rPr>
          <w:rFonts w:cs="Times New Roman"/>
          <w:b w:val="0"/>
          <w:bCs/>
        </w:rPr>
      </w:pPr>
      <w:r>
        <w:rPr>
          <w:rFonts w:cs="Times New Roman"/>
          <w:b w:val="0"/>
          <w:bCs/>
        </w:rPr>
        <w:t xml:space="preserve">4.3.2 </w:t>
      </w:r>
      <w:r>
        <w:rPr>
          <w:rFonts w:hint="eastAsia" w:cs="Times New Roman"/>
          <w:b w:val="0"/>
          <w:bCs/>
        </w:rPr>
        <w:t>建筑</w:t>
      </w:r>
      <w:r>
        <w:rPr>
          <w:rFonts w:eastAsia="宋体" w:cs="Times New Roman"/>
          <w:b w:val="0"/>
          <w:bCs/>
          <w:szCs w:val="21"/>
        </w:rPr>
        <w:t>应优先采用地热、生物质、空气能、太阳能、工业余热等非化石能源供暖，</w:t>
      </w:r>
      <w:r>
        <w:rPr>
          <w:rFonts w:cs="Times New Roman"/>
          <w:b w:val="0"/>
          <w:bCs/>
        </w:rPr>
        <w:t>电力供应充足、电力政策支持的地区可采用电采暖。</w:t>
      </w:r>
    </w:p>
    <w:p>
      <w:pPr>
        <w:pStyle w:val="4"/>
        <w:rPr>
          <w:rFonts w:cs="Times New Roman"/>
          <w:b w:val="0"/>
          <w:bCs/>
        </w:rPr>
      </w:pPr>
      <w:r>
        <w:rPr>
          <w:rFonts w:cs="Times New Roman"/>
          <w:b w:val="0"/>
          <w:bCs/>
        </w:rPr>
        <w:t>4.3.3 供冷系统应优先利用可再生能源和自然冷源，并考虑多能互补集成优化。</w:t>
      </w:r>
    </w:p>
    <w:p>
      <w:pPr>
        <w:pStyle w:val="4"/>
        <w:rPr>
          <w:rFonts w:ascii="Times New Roman" w:hAnsi="Times New Roman" w:eastAsia="楷体" w:cs="Times New Roman"/>
          <w:b w:val="0"/>
          <w:bCs/>
          <w:color w:val="111111"/>
          <w:szCs w:val="21"/>
        </w:rPr>
      </w:pPr>
      <w:r>
        <w:rPr>
          <w:rFonts w:cs="Times New Roman"/>
          <w:b w:val="0"/>
          <w:bCs/>
        </w:rPr>
        <w:t>4.3.4 冷、热源机组能效系数不宜低于现行国家标准《近零能耗建筑技术标准》GB/T51350的推荐值。</w:t>
      </w:r>
    </w:p>
    <w:p>
      <w:pPr>
        <w:pStyle w:val="4"/>
        <w:rPr>
          <w:rFonts w:cs="Times New Roman"/>
          <w:b w:val="0"/>
          <w:bCs/>
        </w:rPr>
      </w:pPr>
      <w:r>
        <w:rPr>
          <w:rFonts w:cs="Times New Roman"/>
          <w:b w:val="0"/>
          <w:bCs/>
        </w:rPr>
        <w:t>4.3.5 采用蒸汽压缩循环的冷水（热泵）及直膨式空调机组应优先使用低GWP值的替代制冷剂，并采取有效防泄漏措施。</w:t>
      </w:r>
    </w:p>
    <w:p>
      <w:pPr>
        <w:spacing w:before="120" w:after="260" w:line="400" w:lineRule="exact"/>
        <w:outlineLvl w:val="2"/>
        <w:rPr>
          <w:rFonts w:ascii="Times New Roman" w:hAnsi="Times New Roman" w:eastAsia="宋体" w:cs="Times New Roman"/>
          <w:b w:val="0"/>
          <w:bCs/>
          <w:kern w:val="0"/>
          <w:sz w:val="24"/>
          <w:szCs w:val="24"/>
        </w:rPr>
      </w:pPr>
      <w:r>
        <w:rPr>
          <w:rFonts w:ascii="Times New Roman" w:hAnsi="Times New Roman" w:eastAsia="宋体" w:cs="Times New Roman"/>
          <w:b w:val="0"/>
          <w:bCs/>
          <w:szCs w:val="32"/>
        </w:rPr>
        <w:t>4.3.6 地源热泵系统设计制热性能系数与制冷能效比均不应低于现行国家标准《可再生能源建筑应用工程评价标准》GB/T 50801规定的2级以上。</w:t>
      </w:r>
    </w:p>
    <w:p>
      <w:pPr>
        <w:spacing w:before="120" w:after="260" w:line="400" w:lineRule="exact"/>
        <w:outlineLvl w:val="2"/>
        <w:rPr>
          <w:rFonts w:ascii="Times New Roman" w:hAnsi="Times New Roman" w:eastAsia="宋体" w:cs="Times New Roman"/>
          <w:b w:val="0"/>
          <w:bCs/>
          <w:color w:val="000000"/>
        </w:rPr>
      </w:pPr>
      <w:r>
        <w:rPr>
          <w:rFonts w:ascii="Times New Roman" w:hAnsi="Times New Roman" w:eastAsia="宋体" w:cs="Times New Roman"/>
          <w:b w:val="0"/>
          <w:bCs/>
          <w:szCs w:val="32"/>
        </w:rPr>
        <w:t xml:space="preserve">4.3.7 </w:t>
      </w:r>
      <w:r>
        <w:rPr>
          <w:rFonts w:hint="eastAsia" w:ascii="Times New Roman" w:hAnsi="Times New Roman" w:eastAsia="宋体" w:cs="Times New Roman"/>
          <w:b w:val="0"/>
          <w:bCs/>
          <w:szCs w:val="32"/>
        </w:rPr>
        <w:t>当</w:t>
      </w:r>
      <w:r>
        <w:rPr>
          <w:rFonts w:ascii="Times New Roman" w:hAnsi="Times New Roman" w:eastAsia="宋体" w:cs="Times New Roman"/>
          <w:b w:val="0"/>
          <w:bCs/>
          <w:szCs w:val="32"/>
        </w:rPr>
        <w:t>采用户式低环温空气源热泵机组供暖时，其性能</w:t>
      </w:r>
      <w:r>
        <w:rPr>
          <w:rFonts w:hint="eastAsia" w:ascii="Times New Roman" w:hAnsi="Times New Roman" w:eastAsia="宋体" w:cs="Times New Roman"/>
          <w:b w:val="0"/>
          <w:bCs/>
          <w:szCs w:val="32"/>
        </w:rPr>
        <w:t>参数要求</w:t>
      </w:r>
      <w:r>
        <w:rPr>
          <w:rFonts w:ascii="Times New Roman" w:hAnsi="Times New Roman" w:eastAsia="宋体" w:cs="Times New Roman"/>
          <w:b w:val="0"/>
          <w:bCs/>
          <w:szCs w:val="32"/>
        </w:rPr>
        <w:t>应</w:t>
      </w:r>
      <w:r>
        <w:rPr>
          <w:rFonts w:hint="eastAsia" w:ascii="Times New Roman" w:hAnsi="Times New Roman" w:eastAsia="宋体" w:cs="Times New Roman"/>
          <w:b w:val="0"/>
          <w:bCs/>
          <w:color w:val="000000"/>
        </w:rPr>
        <w:t>符合</w:t>
      </w:r>
      <w:r>
        <w:rPr>
          <w:rFonts w:ascii="Times New Roman" w:hAnsi="Times New Roman" w:eastAsia="宋体" w:cs="Times New Roman"/>
          <w:b w:val="0"/>
          <w:bCs/>
          <w:color w:val="000000"/>
        </w:rPr>
        <w:t>表4.</w:t>
      </w:r>
      <w:r>
        <w:rPr>
          <w:rFonts w:hint="eastAsia" w:ascii="Times New Roman" w:hAnsi="Times New Roman" w:eastAsia="宋体" w:cs="Times New Roman"/>
          <w:b w:val="0"/>
          <w:bCs/>
          <w:color w:val="000000"/>
        </w:rPr>
        <w:t>3</w:t>
      </w:r>
      <w:r>
        <w:rPr>
          <w:rFonts w:ascii="Times New Roman" w:hAnsi="Times New Roman" w:eastAsia="宋体" w:cs="Times New Roman"/>
          <w:b w:val="0"/>
          <w:bCs/>
          <w:color w:val="000000"/>
        </w:rPr>
        <w:t>.</w:t>
      </w:r>
      <w:r>
        <w:rPr>
          <w:rFonts w:hint="eastAsia" w:ascii="Times New Roman" w:hAnsi="Times New Roman" w:eastAsia="宋体" w:cs="Times New Roman"/>
          <w:b w:val="0"/>
          <w:bCs/>
          <w:color w:val="000000"/>
        </w:rPr>
        <w:t>7</w:t>
      </w:r>
      <w:r>
        <w:rPr>
          <w:rFonts w:ascii="Times New Roman" w:hAnsi="Times New Roman" w:eastAsia="宋体" w:cs="Times New Roman"/>
          <w:b w:val="0"/>
          <w:bCs/>
          <w:color w:val="000000"/>
        </w:rPr>
        <w:t>的</w:t>
      </w:r>
      <w:r>
        <w:rPr>
          <w:rFonts w:hint="eastAsia" w:ascii="Times New Roman" w:hAnsi="Times New Roman" w:eastAsia="宋体" w:cs="Times New Roman"/>
          <w:b w:val="0"/>
          <w:bCs/>
          <w:color w:val="000000"/>
        </w:rPr>
        <w:t>规定</w:t>
      </w:r>
      <w:r>
        <w:rPr>
          <w:rFonts w:ascii="Times New Roman" w:hAnsi="Times New Roman" w:eastAsia="宋体" w:cs="Times New Roman"/>
          <w:b w:val="0"/>
          <w:bCs/>
          <w:color w:val="000000"/>
        </w:rPr>
        <w:t>。</w:t>
      </w:r>
    </w:p>
    <w:p>
      <w:pPr>
        <w:keepNext/>
        <w:spacing w:before="312" w:beforeLines="100" w:line="360" w:lineRule="auto"/>
        <w:jc w:val="center"/>
        <w:outlineLvl w:val="5"/>
        <w:rPr>
          <w:rFonts w:ascii="Times New Roman" w:hAnsi="Times New Roman" w:eastAsia="宋体" w:cs="Times New Roman"/>
          <w:b w:val="0"/>
          <w:bCs/>
        </w:rPr>
      </w:pPr>
      <w:r>
        <w:rPr>
          <w:rFonts w:ascii="Times New Roman" w:hAnsi="Times New Roman" w:eastAsia="宋体" w:cs="Times New Roman"/>
          <w:b w:val="0"/>
          <w:bCs/>
        </w:rPr>
        <w:t>表4.3.7  户式低环温空气源热泵机组性能参数要求</w:t>
      </w:r>
    </w:p>
    <w:tbl>
      <w:tblPr>
        <w:tblStyle w:val="88"/>
        <w:tblW w:w="808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9"/>
        <w:gridCol w:w="2415"/>
        <w:gridCol w:w="1749"/>
        <w:gridCol w:w="279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blHeader/>
          <w:jc w:val="center"/>
        </w:trPr>
        <w:tc>
          <w:tcPr>
            <w:tcW w:w="1129" w:type="dxa"/>
            <w:tcBorders>
              <w:top w:val="single" w:color="auto" w:sz="12" w:space="0"/>
              <w:bottom w:val="single" w:color="auto" w:sz="4" w:space="0"/>
            </w:tcBorders>
            <w:vAlign w:val="center"/>
          </w:tcPr>
          <w:p>
            <w:pPr>
              <w:spacing w:before="156" w:beforeLines="50" w:after="156" w:afterLines="50"/>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机组类型</w:t>
            </w:r>
          </w:p>
        </w:tc>
        <w:tc>
          <w:tcPr>
            <w:tcW w:w="2415" w:type="dxa"/>
            <w:tcBorders>
              <w:top w:val="single" w:color="auto" w:sz="12" w:space="0"/>
              <w:bottom w:val="single" w:color="auto" w:sz="4" w:space="0"/>
            </w:tcBorders>
            <w:vAlign w:val="center"/>
          </w:tcPr>
          <w:p>
            <w:pPr>
              <w:spacing w:before="156" w:after="156"/>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名义制热量</w:t>
            </w:r>
            <w:r>
              <w:rPr>
                <w:rFonts w:ascii="Times New Roman" w:hAnsi="Times New Roman" w:eastAsia="宋体" w:cs="Times New Roman"/>
                <w:b w:val="0"/>
                <w:bCs/>
                <w:i/>
                <w:iCs/>
                <w:color w:val="000000"/>
                <w:szCs w:val="21"/>
              </w:rPr>
              <w:br w:type="textWrapping"/>
            </w:r>
            <w:r>
              <w:rPr>
                <w:rFonts w:ascii="Times New Roman" w:hAnsi="Times New Roman" w:eastAsia="宋体" w:cs="Times New Roman"/>
                <w:b w:val="0"/>
                <w:bCs/>
                <w:i/>
                <w:iCs/>
                <w:color w:val="000000"/>
                <w:szCs w:val="21"/>
              </w:rPr>
              <w:t>HC</w:t>
            </w:r>
            <w:r>
              <w:rPr>
                <w:rFonts w:ascii="Times New Roman" w:hAnsi="Times New Roman" w:eastAsia="宋体" w:cs="Times New Roman"/>
                <w:b w:val="0"/>
                <w:bCs/>
                <w:color w:val="000000"/>
                <w:szCs w:val="21"/>
              </w:rPr>
              <w:t>（W）</w:t>
            </w:r>
          </w:p>
        </w:tc>
        <w:tc>
          <w:tcPr>
            <w:tcW w:w="1749" w:type="dxa"/>
            <w:tcBorders>
              <w:top w:val="single" w:color="auto" w:sz="12" w:space="0"/>
              <w:bottom w:val="single" w:color="auto" w:sz="4" w:space="0"/>
            </w:tcBorders>
            <w:vAlign w:val="center"/>
          </w:tcPr>
          <w:p>
            <w:pPr>
              <w:spacing w:before="156" w:after="156"/>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末端型式</w:t>
            </w:r>
          </w:p>
        </w:tc>
        <w:tc>
          <w:tcPr>
            <w:tcW w:w="2792" w:type="dxa"/>
            <w:tcBorders>
              <w:top w:val="single" w:color="auto" w:sz="12" w:space="0"/>
              <w:bottom w:val="single" w:color="auto" w:sz="4" w:space="0"/>
            </w:tcBorders>
            <w:vAlign w:val="center"/>
          </w:tcPr>
          <w:p>
            <w:pPr>
              <w:spacing w:before="156" w:after="156"/>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制热季节性能系数HSPF（Wh/Wh）</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9" w:type="dxa"/>
            <w:vMerge w:val="restart"/>
            <w:tcBorders>
              <w:top w:val="single" w:color="auto" w:sz="4" w:space="0"/>
            </w:tcBorders>
            <w:vAlign w:val="center"/>
          </w:tcPr>
          <w:p>
            <w:pPr>
              <w:jc w:val="center"/>
              <w:rPr>
                <w:rFonts w:ascii="Times New Roman" w:hAnsi="Times New Roman" w:eastAsia="宋体" w:cs="Times New Roman"/>
                <w:b w:val="0"/>
                <w:bCs/>
                <w:color w:val="000000"/>
                <w:szCs w:val="16"/>
              </w:rPr>
            </w:pPr>
            <w:r>
              <w:rPr>
                <w:rFonts w:ascii="Times New Roman" w:hAnsi="Times New Roman" w:eastAsia="宋体" w:cs="Times New Roman"/>
                <w:b w:val="0"/>
                <w:bCs/>
                <w:color w:val="000000"/>
                <w:szCs w:val="16"/>
              </w:rPr>
              <w:t>低环温空气源热泵热水机组</w:t>
            </w:r>
          </w:p>
        </w:tc>
        <w:tc>
          <w:tcPr>
            <w:tcW w:w="2415" w:type="dxa"/>
            <w:vMerge w:val="restart"/>
            <w:tcBorders>
              <w:top w:val="single" w:color="auto" w:sz="4" w:space="0"/>
            </w:tcBorders>
            <w:vAlign w:val="center"/>
          </w:tcPr>
          <w:p>
            <w:pPr>
              <w:jc w:val="center"/>
              <w:rPr>
                <w:rFonts w:ascii="Times New Roman" w:hAnsi="Times New Roman" w:eastAsia="宋体" w:cs="Times New Roman"/>
                <w:b w:val="0"/>
                <w:bCs/>
                <w:i/>
                <w:iCs/>
                <w:color w:val="000000"/>
                <w:szCs w:val="21"/>
              </w:rPr>
            </w:pPr>
            <w:r>
              <w:rPr>
                <w:rFonts w:ascii="Times New Roman" w:hAnsi="Times New Roman" w:eastAsia="宋体" w:cs="Times New Roman"/>
                <w:b w:val="0"/>
                <w:bCs/>
                <w:i/>
                <w:iCs/>
                <w:color w:val="000000"/>
                <w:szCs w:val="21"/>
              </w:rPr>
              <w:t>HC</w:t>
            </w:r>
            <w:r>
              <w:rPr>
                <w:rFonts w:ascii="Times New Roman" w:hAnsi="Times New Roman" w:eastAsia="宋体" w:cs="Times New Roman"/>
                <w:b w:val="0"/>
                <w:bCs/>
                <w:color w:val="000000"/>
                <w:szCs w:val="21"/>
              </w:rPr>
              <w:t>≤35000</w:t>
            </w:r>
          </w:p>
        </w:tc>
        <w:tc>
          <w:tcPr>
            <w:tcW w:w="1749" w:type="dxa"/>
            <w:tcBorders>
              <w:top w:val="single" w:color="auto" w:sz="4" w:space="0"/>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地板辐射</w:t>
            </w:r>
          </w:p>
        </w:tc>
        <w:tc>
          <w:tcPr>
            <w:tcW w:w="2792" w:type="dxa"/>
            <w:tcBorders>
              <w:top w:val="single" w:color="auto" w:sz="4" w:space="0"/>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≥2.8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9" w:type="dxa"/>
            <w:vMerge w:val="continue"/>
            <w:vAlign w:val="center"/>
          </w:tcPr>
          <w:p>
            <w:pPr>
              <w:jc w:val="center"/>
              <w:rPr>
                <w:rFonts w:ascii="Times New Roman" w:hAnsi="Times New Roman" w:eastAsia="宋体" w:cs="Times New Roman"/>
                <w:b w:val="0"/>
                <w:bCs/>
                <w:color w:val="000000"/>
                <w:szCs w:val="16"/>
              </w:rPr>
            </w:pPr>
          </w:p>
        </w:tc>
        <w:tc>
          <w:tcPr>
            <w:tcW w:w="2415" w:type="dxa"/>
            <w:vMerge w:val="continue"/>
            <w:vAlign w:val="center"/>
          </w:tcPr>
          <w:p>
            <w:pPr>
              <w:jc w:val="center"/>
              <w:rPr>
                <w:rFonts w:ascii="Times New Roman" w:hAnsi="Times New Roman" w:eastAsia="宋体" w:cs="Times New Roman"/>
                <w:b w:val="0"/>
                <w:bCs/>
                <w:i/>
                <w:iCs/>
                <w:color w:val="000000"/>
                <w:szCs w:val="21"/>
              </w:rPr>
            </w:pPr>
          </w:p>
        </w:tc>
        <w:tc>
          <w:tcPr>
            <w:tcW w:w="1749" w:type="dxa"/>
            <w:tcBorders>
              <w:top w:val="nil"/>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风机盘管</w:t>
            </w:r>
          </w:p>
        </w:tc>
        <w:tc>
          <w:tcPr>
            <w:tcW w:w="2792" w:type="dxa"/>
            <w:tcBorders>
              <w:top w:val="nil"/>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≥2.6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9" w:type="dxa"/>
            <w:vMerge w:val="continue"/>
            <w:tcBorders>
              <w:bottom w:val="single" w:color="auto" w:sz="4" w:space="0"/>
            </w:tcBorders>
            <w:vAlign w:val="center"/>
          </w:tcPr>
          <w:p>
            <w:pPr>
              <w:jc w:val="center"/>
              <w:rPr>
                <w:rFonts w:ascii="Times New Roman" w:hAnsi="Times New Roman" w:eastAsia="宋体" w:cs="Times New Roman"/>
                <w:b w:val="0"/>
                <w:bCs/>
                <w:color w:val="000000"/>
                <w:szCs w:val="16"/>
              </w:rPr>
            </w:pPr>
          </w:p>
        </w:tc>
        <w:tc>
          <w:tcPr>
            <w:tcW w:w="2415" w:type="dxa"/>
            <w:vMerge w:val="continue"/>
            <w:tcBorders>
              <w:bottom w:val="single" w:color="auto" w:sz="4" w:space="0"/>
            </w:tcBorders>
            <w:vAlign w:val="center"/>
          </w:tcPr>
          <w:p>
            <w:pPr>
              <w:jc w:val="center"/>
              <w:rPr>
                <w:rFonts w:ascii="Times New Roman" w:hAnsi="Times New Roman" w:eastAsia="宋体" w:cs="Times New Roman"/>
                <w:b w:val="0"/>
                <w:bCs/>
                <w:i/>
                <w:iCs/>
                <w:color w:val="000000"/>
                <w:szCs w:val="21"/>
              </w:rPr>
            </w:pPr>
          </w:p>
        </w:tc>
        <w:tc>
          <w:tcPr>
            <w:tcW w:w="1749" w:type="dxa"/>
            <w:tcBorders>
              <w:top w:val="nil"/>
              <w:bottom w:val="single" w:color="auto" w:sz="4" w:space="0"/>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散热器</w:t>
            </w:r>
          </w:p>
        </w:tc>
        <w:tc>
          <w:tcPr>
            <w:tcW w:w="2792" w:type="dxa"/>
            <w:tcBorders>
              <w:top w:val="nil"/>
              <w:bottom w:val="single" w:color="auto" w:sz="4" w:space="0"/>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≥2.3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29" w:type="dxa"/>
            <w:vMerge w:val="restart"/>
            <w:tcBorders>
              <w:top w:val="single" w:color="auto" w:sz="4" w:space="0"/>
              <w:bottom w:val="nil"/>
            </w:tcBorders>
            <w:vAlign w:val="center"/>
          </w:tcPr>
          <w:p>
            <w:pPr>
              <w:jc w:val="center"/>
              <w:rPr>
                <w:rFonts w:ascii="Times New Roman" w:hAnsi="Times New Roman" w:eastAsia="宋体" w:cs="Times New Roman"/>
                <w:b w:val="0"/>
                <w:bCs/>
                <w:color w:val="000000"/>
                <w:szCs w:val="16"/>
              </w:rPr>
            </w:pPr>
            <w:r>
              <w:rPr>
                <w:rFonts w:ascii="Times New Roman" w:hAnsi="Times New Roman" w:eastAsia="宋体" w:cs="Times New Roman"/>
                <w:b w:val="0"/>
                <w:bCs/>
                <w:color w:val="000000"/>
                <w:szCs w:val="16"/>
              </w:rPr>
              <w:t>低环境温度空气源热泵热风机</w:t>
            </w:r>
          </w:p>
        </w:tc>
        <w:tc>
          <w:tcPr>
            <w:tcW w:w="2415" w:type="dxa"/>
            <w:tcBorders>
              <w:top w:val="single" w:color="auto" w:sz="4" w:space="0"/>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i/>
                <w:iCs/>
                <w:color w:val="000000"/>
                <w:szCs w:val="21"/>
              </w:rPr>
              <w:t>HC</w:t>
            </w:r>
            <w:r>
              <w:rPr>
                <w:rFonts w:ascii="Times New Roman" w:hAnsi="Times New Roman" w:eastAsia="宋体" w:cs="Times New Roman"/>
                <w:b w:val="0"/>
                <w:bCs/>
                <w:color w:val="000000"/>
                <w:szCs w:val="21"/>
              </w:rPr>
              <w:t>≤4500</w:t>
            </w:r>
          </w:p>
        </w:tc>
        <w:tc>
          <w:tcPr>
            <w:tcW w:w="1749" w:type="dxa"/>
            <w:tcBorders>
              <w:top w:val="single" w:color="auto" w:sz="4" w:space="0"/>
              <w:bottom w:val="nil"/>
            </w:tcBorders>
            <w:vAlign w:val="center"/>
          </w:tcPr>
          <w:p>
            <w:pPr>
              <w:jc w:val="center"/>
              <w:rPr>
                <w:rFonts w:ascii="Times New Roman" w:hAnsi="Times New Roman" w:eastAsia="宋体" w:cs="Times New Roman"/>
                <w:b w:val="0"/>
                <w:bCs/>
                <w:color w:val="000000"/>
                <w:szCs w:val="21"/>
              </w:rPr>
            </w:pPr>
            <w:r>
              <w:rPr>
                <w:rFonts w:hint="eastAsia" w:ascii="Times New Roman" w:hAnsi="Times New Roman" w:eastAsia="宋体" w:cs="Times New Roman"/>
                <w:b w:val="0"/>
                <w:bCs/>
                <w:color w:val="000000"/>
                <w:szCs w:val="21"/>
              </w:rPr>
              <w:t>—</w:t>
            </w:r>
          </w:p>
        </w:tc>
        <w:tc>
          <w:tcPr>
            <w:tcW w:w="2792" w:type="dxa"/>
            <w:tcBorders>
              <w:top w:val="single" w:color="auto" w:sz="4" w:space="0"/>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≥3.0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29" w:type="dxa"/>
            <w:vMerge w:val="continue"/>
            <w:tcBorders>
              <w:top w:val="nil"/>
              <w:bottom w:val="nil"/>
            </w:tcBorders>
            <w:vAlign w:val="center"/>
          </w:tcPr>
          <w:p>
            <w:pPr>
              <w:jc w:val="center"/>
              <w:rPr>
                <w:rFonts w:ascii="Times New Roman" w:hAnsi="Times New Roman" w:eastAsia="宋体" w:cs="Times New Roman"/>
                <w:b w:val="0"/>
                <w:bCs/>
                <w:color w:val="000000"/>
                <w:szCs w:val="16"/>
              </w:rPr>
            </w:pPr>
          </w:p>
        </w:tc>
        <w:tc>
          <w:tcPr>
            <w:tcW w:w="2415" w:type="dxa"/>
            <w:tcBorders>
              <w:top w:val="nil"/>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4500W＜</w:t>
            </w:r>
            <w:r>
              <w:rPr>
                <w:rFonts w:ascii="Times New Roman" w:hAnsi="Times New Roman" w:eastAsia="宋体" w:cs="Times New Roman"/>
                <w:b w:val="0"/>
                <w:bCs/>
                <w:i/>
                <w:iCs/>
                <w:color w:val="000000"/>
                <w:szCs w:val="21"/>
              </w:rPr>
              <w:t>HC</w:t>
            </w:r>
            <w:r>
              <w:rPr>
                <w:rFonts w:ascii="Times New Roman" w:hAnsi="Times New Roman" w:eastAsia="宋体" w:cs="Times New Roman"/>
                <w:b w:val="0"/>
                <w:bCs/>
                <w:color w:val="000000"/>
                <w:szCs w:val="21"/>
              </w:rPr>
              <w:t>≤7100</w:t>
            </w:r>
          </w:p>
        </w:tc>
        <w:tc>
          <w:tcPr>
            <w:tcW w:w="1749" w:type="dxa"/>
            <w:tcBorders>
              <w:top w:val="nil"/>
              <w:bottom w:val="nil"/>
            </w:tcBorders>
            <w:vAlign w:val="center"/>
          </w:tcPr>
          <w:p>
            <w:pPr>
              <w:jc w:val="center"/>
              <w:rPr>
                <w:rFonts w:ascii="Times New Roman" w:hAnsi="Times New Roman" w:eastAsia="宋体" w:cs="Times New Roman"/>
                <w:b w:val="0"/>
                <w:bCs/>
                <w:color w:val="000000"/>
                <w:szCs w:val="21"/>
              </w:rPr>
            </w:pPr>
          </w:p>
        </w:tc>
        <w:tc>
          <w:tcPr>
            <w:tcW w:w="2792" w:type="dxa"/>
            <w:tcBorders>
              <w:top w:val="nil"/>
              <w:bottom w:val="nil"/>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≥2.9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29" w:type="dxa"/>
            <w:vMerge w:val="continue"/>
            <w:tcBorders>
              <w:top w:val="nil"/>
              <w:bottom w:val="single" w:color="auto" w:sz="4" w:space="0"/>
            </w:tcBorders>
            <w:vAlign w:val="center"/>
          </w:tcPr>
          <w:p>
            <w:pPr>
              <w:jc w:val="center"/>
              <w:rPr>
                <w:rFonts w:ascii="Times New Roman" w:hAnsi="Times New Roman" w:eastAsia="宋体" w:cs="Times New Roman"/>
                <w:b w:val="0"/>
                <w:bCs/>
                <w:color w:val="000000"/>
                <w:szCs w:val="16"/>
              </w:rPr>
            </w:pPr>
          </w:p>
        </w:tc>
        <w:tc>
          <w:tcPr>
            <w:tcW w:w="2415" w:type="dxa"/>
            <w:tcBorders>
              <w:top w:val="nil"/>
              <w:bottom w:val="single" w:color="auto" w:sz="4" w:space="0"/>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7100W＜</w:t>
            </w:r>
            <w:r>
              <w:rPr>
                <w:rFonts w:ascii="Times New Roman" w:hAnsi="Times New Roman" w:eastAsia="宋体" w:cs="Times New Roman"/>
                <w:b w:val="0"/>
                <w:bCs/>
                <w:i/>
                <w:iCs/>
                <w:color w:val="000000"/>
                <w:szCs w:val="21"/>
              </w:rPr>
              <w:t>HC</w:t>
            </w:r>
            <w:r>
              <w:rPr>
                <w:rFonts w:ascii="Times New Roman" w:hAnsi="Times New Roman" w:eastAsia="宋体" w:cs="Times New Roman"/>
                <w:b w:val="0"/>
                <w:bCs/>
                <w:color w:val="000000"/>
                <w:szCs w:val="21"/>
              </w:rPr>
              <w:t>≤14000</w:t>
            </w:r>
          </w:p>
        </w:tc>
        <w:tc>
          <w:tcPr>
            <w:tcW w:w="1749" w:type="dxa"/>
            <w:tcBorders>
              <w:top w:val="nil"/>
              <w:bottom w:val="single" w:color="auto" w:sz="4" w:space="0"/>
            </w:tcBorders>
            <w:vAlign w:val="center"/>
          </w:tcPr>
          <w:p>
            <w:pPr>
              <w:jc w:val="center"/>
              <w:rPr>
                <w:rFonts w:ascii="Times New Roman" w:hAnsi="Times New Roman" w:eastAsia="宋体" w:cs="Times New Roman"/>
                <w:b w:val="0"/>
                <w:bCs/>
                <w:color w:val="000000"/>
                <w:szCs w:val="21"/>
              </w:rPr>
            </w:pPr>
            <w:r>
              <w:rPr>
                <w:rFonts w:hint="eastAsia" w:ascii="Times New Roman" w:hAnsi="Times New Roman" w:eastAsia="宋体" w:cs="Times New Roman"/>
                <w:b w:val="0"/>
                <w:bCs/>
                <w:color w:val="000000"/>
                <w:szCs w:val="21"/>
              </w:rPr>
              <w:t>—</w:t>
            </w:r>
          </w:p>
        </w:tc>
        <w:tc>
          <w:tcPr>
            <w:tcW w:w="2792" w:type="dxa"/>
            <w:tcBorders>
              <w:top w:val="nil"/>
              <w:bottom w:val="single" w:color="auto" w:sz="4" w:space="0"/>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≥2.8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129" w:type="dxa"/>
            <w:vMerge w:val="restart"/>
            <w:tcBorders>
              <w:top w:val="single" w:color="auto" w:sz="4" w:space="0"/>
            </w:tcBorders>
            <w:vAlign w:val="center"/>
          </w:tcPr>
          <w:p>
            <w:pPr>
              <w:jc w:val="center"/>
              <w:rPr>
                <w:rFonts w:ascii="Times New Roman" w:hAnsi="Times New Roman" w:eastAsia="宋体" w:cs="Times New Roman"/>
                <w:b w:val="0"/>
                <w:bCs/>
                <w:color w:val="000000"/>
                <w:szCs w:val="16"/>
              </w:rPr>
            </w:pPr>
            <w:r>
              <w:rPr>
                <w:rFonts w:ascii="Times New Roman" w:hAnsi="Times New Roman" w:eastAsia="宋体" w:cs="Times New Roman"/>
                <w:b w:val="0"/>
                <w:bCs/>
                <w:color w:val="000000"/>
                <w:szCs w:val="16"/>
              </w:rPr>
              <w:t>低环境温度空气源多联式热泵机组</w:t>
            </w:r>
          </w:p>
        </w:tc>
        <w:tc>
          <w:tcPr>
            <w:tcW w:w="2415" w:type="dxa"/>
            <w:tcBorders>
              <w:top w:val="single" w:color="auto" w:sz="4" w:space="0"/>
            </w:tcBorders>
            <w:vAlign w:val="center"/>
          </w:tcPr>
          <w:p>
            <w:pPr>
              <w:jc w:val="center"/>
              <w:rPr>
                <w:rFonts w:ascii="Times New Roman" w:hAnsi="Times New Roman" w:eastAsia="宋体" w:cs="Times New Roman"/>
                <w:b w:val="0"/>
                <w:bCs/>
                <w:i/>
                <w:iCs/>
                <w:color w:val="000000"/>
                <w:szCs w:val="21"/>
              </w:rPr>
            </w:pPr>
            <w:r>
              <w:rPr>
                <w:rFonts w:ascii="Times New Roman" w:hAnsi="Times New Roman" w:eastAsia="宋体" w:cs="Times New Roman"/>
                <w:b w:val="0"/>
                <w:bCs/>
                <w:i/>
                <w:iCs/>
                <w:color w:val="000000"/>
                <w:szCs w:val="21"/>
              </w:rPr>
              <w:t>HC</w:t>
            </w:r>
            <w:r>
              <w:rPr>
                <w:rFonts w:ascii="Times New Roman" w:hAnsi="Times New Roman" w:eastAsia="宋体" w:cs="Times New Roman"/>
                <w:b w:val="0"/>
                <w:bCs/>
                <w:color w:val="000000"/>
                <w:szCs w:val="21"/>
              </w:rPr>
              <w:t>≤18000</w:t>
            </w:r>
          </w:p>
        </w:tc>
        <w:tc>
          <w:tcPr>
            <w:tcW w:w="1749" w:type="dxa"/>
            <w:tcBorders>
              <w:top w:val="single" w:color="auto" w:sz="4" w:space="0"/>
            </w:tcBorders>
            <w:vAlign w:val="center"/>
          </w:tcPr>
          <w:p>
            <w:pPr>
              <w:jc w:val="center"/>
              <w:rPr>
                <w:rFonts w:ascii="Times New Roman" w:hAnsi="Times New Roman" w:eastAsia="宋体" w:cs="Times New Roman"/>
                <w:b w:val="0"/>
                <w:bCs/>
                <w:color w:val="000000"/>
                <w:szCs w:val="21"/>
              </w:rPr>
            </w:pPr>
            <w:r>
              <w:rPr>
                <w:rFonts w:hint="eastAsia" w:ascii="Times New Roman" w:hAnsi="Times New Roman" w:eastAsia="宋体" w:cs="Times New Roman"/>
                <w:b w:val="0"/>
                <w:bCs/>
                <w:color w:val="000000"/>
                <w:szCs w:val="21"/>
              </w:rPr>
              <w:t>—</w:t>
            </w:r>
          </w:p>
        </w:tc>
        <w:tc>
          <w:tcPr>
            <w:tcW w:w="2792" w:type="dxa"/>
            <w:tcBorders>
              <w:top w:val="single" w:color="auto" w:sz="4" w:space="0"/>
            </w:tcBorders>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≥3.0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129" w:type="dxa"/>
            <w:vMerge w:val="continue"/>
            <w:vAlign w:val="center"/>
          </w:tcPr>
          <w:p>
            <w:pPr>
              <w:jc w:val="center"/>
              <w:rPr>
                <w:rFonts w:ascii="Times New Roman" w:hAnsi="Times New Roman" w:eastAsia="宋体" w:cs="Times New Roman"/>
                <w:b w:val="0"/>
                <w:bCs/>
                <w:color w:val="000000"/>
                <w:szCs w:val="21"/>
              </w:rPr>
            </w:pPr>
          </w:p>
        </w:tc>
        <w:tc>
          <w:tcPr>
            <w:tcW w:w="2415" w:type="dxa"/>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i/>
                <w:iCs/>
                <w:color w:val="000000"/>
                <w:szCs w:val="21"/>
              </w:rPr>
              <w:t>HC</w:t>
            </w:r>
            <w:r>
              <w:rPr>
                <w:rFonts w:ascii="Times New Roman" w:hAnsi="Times New Roman" w:eastAsia="宋体" w:cs="Times New Roman"/>
                <w:b w:val="0"/>
                <w:bCs/>
                <w:color w:val="000000"/>
                <w:szCs w:val="21"/>
              </w:rPr>
              <w:t>＞18000</w:t>
            </w:r>
          </w:p>
        </w:tc>
        <w:tc>
          <w:tcPr>
            <w:tcW w:w="1749" w:type="dxa"/>
            <w:vAlign w:val="center"/>
          </w:tcPr>
          <w:p>
            <w:pPr>
              <w:jc w:val="center"/>
              <w:rPr>
                <w:rFonts w:ascii="Times New Roman" w:hAnsi="Times New Roman" w:eastAsia="宋体" w:cs="Times New Roman"/>
                <w:b w:val="0"/>
                <w:bCs/>
                <w:color w:val="000000"/>
                <w:szCs w:val="21"/>
              </w:rPr>
            </w:pPr>
            <w:r>
              <w:rPr>
                <w:rFonts w:hint="eastAsia" w:ascii="Times New Roman" w:hAnsi="Times New Roman" w:eastAsia="宋体" w:cs="Times New Roman"/>
                <w:b w:val="0"/>
                <w:bCs/>
                <w:color w:val="000000"/>
                <w:szCs w:val="21"/>
              </w:rPr>
              <w:t>—</w:t>
            </w:r>
          </w:p>
        </w:tc>
        <w:tc>
          <w:tcPr>
            <w:tcW w:w="2792" w:type="dxa"/>
            <w:vAlign w:val="center"/>
          </w:tcPr>
          <w:p>
            <w:pPr>
              <w:jc w:val="center"/>
              <w:rPr>
                <w:rFonts w:ascii="Times New Roman" w:hAnsi="Times New Roman" w:eastAsia="宋体" w:cs="Times New Roman"/>
                <w:b w:val="0"/>
                <w:bCs/>
                <w:color w:val="000000"/>
                <w:szCs w:val="21"/>
              </w:rPr>
            </w:pPr>
            <w:r>
              <w:rPr>
                <w:rFonts w:ascii="Times New Roman" w:hAnsi="Times New Roman" w:eastAsia="宋体" w:cs="Times New Roman"/>
                <w:b w:val="0"/>
                <w:bCs/>
                <w:color w:val="000000"/>
                <w:szCs w:val="21"/>
              </w:rPr>
              <w:t>≥3.0</w:t>
            </w:r>
          </w:p>
        </w:tc>
      </w:tr>
    </w:tbl>
    <w:p>
      <w:pPr>
        <w:rPr>
          <w:rFonts w:ascii="Times New Roman" w:hAnsi="Times New Roman" w:eastAsia="宋体" w:cs="Times New Roman"/>
          <w:b w:val="0"/>
          <w:bCs/>
        </w:rPr>
      </w:pPr>
    </w:p>
    <w:p>
      <w:pPr>
        <w:pStyle w:val="4"/>
        <w:rPr>
          <w:rFonts w:cs="Times New Roman"/>
          <w:b w:val="0"/>
          <w:bCs/>
        </w:rPr>
      </w:pPr>
      <w:r>
        <w:rPr>
          <w:rFonts w:cs="Times New Roman"/>
          <w:b w:val="0"/>
          <w:bCs/>
        </w:rPr>
        <w:t xml:space="preserve">4.3.8 </w:t>
      </w:r>
      <w:r>
        <w:rPr>
          <w:rFonts w:hint="eastAsia" w:cs="Times New Roman"/>
          <w:b w:val="0"/>
          <w:bCs/>
        </w:rPr>
        <w:t>建筑</w:t>
      </w:r>
      <w:r>
        <w:rPr>
          <w:rFonts w:cs="Times New Roman"/>
          <w:b w:val="0"/>
          <w:bCs/>
        </w:rPr>
        <w:t>应合理设置新风热回收系统，并宜设置新风旁通管。热回收装置性能不宜低于现行国家标准《近零能耗建筑技术标准》GB/T51350的相关规定。</w:t>
      </w:r>
    </w:p>
    <w:p>
      <w:pPr>
        <w:pStyle w:val="4"/>
        <w:rPr>
          <w:rFonts w:ascii="Times New Roman" w:hAnsi="Times New Roman" w:eastAsia="楷体" w:cs="Times New Roman"/>
          <w:b w:val="0"/>
          <w:bCs/>
          <w:color w:val="111111"/>
          <w:szCs w:val="21"/>
        </w:rPr>
      </w:pPr>
      <w:r>
        <w:rPr>
          <w:rFonts w:cs="Times New Roman"/>
          <w:b w:val="0"/>
          <w:bCs/>
        </w:rPr>
        <w:t xml:space="preserve">4.3.9 </w:t>
      </w:r>
      <w:r>
        <w:rPr>
          <w:rFonts w:hint="eastAsia" w:cs="Times New Roman"/>
          <w:b w:val="0"/>
          <w:bCs/>
        </w:rPr>
        <w:t>建筑</w:t>
      </w:r>
      <w:r>
        <w:rPr>
          <w:rFonts w:cs="Times New Roman"/>
          <w:b w:val="0"/>
          <w:bCs/>
        </w:rPr>
        <w:t>应合理选择LED照明产品，并应采用智能照明调光控制系统。</w:t>
      </w:r>
    </w:p>
    <w:p>
      <w:pPr>
        <w:pStyle w:val="4"/>
        <w:rPr>
          <w:rFonts w:cs="Times New Roman"/>
          <w:b w:val="0"/>
          <w:bCs/>
        </w:rPr>
      </w:pPr>
      <w:r>
        <w:rPr>
          <w:rFonts w:cs="Times New Roman"/>
          <w:b w:val="0"/>
          <w:bCs/>
        </w:rPr>
        <w:t>4.3.10 生活热水制备应优先利用太阳能、空气能等热源形式，并应采用高效设备。</w:t>
      </w:r>
    </w:p>
    <w:p>
      <w:pPr>
        <w:pStyle w:val="4"/>
        <w:rPr>
          <w:rFonts w:eastAsia="宋体" w:cs="Times New Roman"/>
          <w:b w:val="0"/>
          <w:bCs/>
          <w:szCs w:val="21"/>
        </w:rPr>
      </w:pPr>
      <w:r>
        <w:rPr>
          <w:rFonts w:cs="Times New Roman"/>
          <w:b w:val="0"/>
          <w:bCs/>
        </w:rPr>
        <w:t>4.3.11 电梯能效等级宜满足现行国家标准《电梯自动扶梯和自动人行道的能量性能 第2部分 电梯的能量计算与分级》GB/T30559.2的1级能效要求，并采取群控等节能控制方式。</w:t>
      </w:r>
    </w:p>
    <w:p>
      <w:pPr>
        <w:pStyle w:val="30"/>
        <w:widowControl/>
        <w:rPr>
          <w:rFonts w:ascii="Times New Roman" w:hAnsi="Times New Roman" w:cs="Times New Roman"/>
          <w:b w:val="0"/>
          <w:bCs/>
          <w:sz w:val="30"/>
          <w:szCs w:val="30"/>
        </w:rPr>
      </w:pPr>
      <w:bookmarkStart w:id="95" w:name="_Toc128988414"/>
      <w:r>
        <w:rPr>
          <w:rFonts w:ascii="Times New Roman" w:hAnsi="Times New Roman" w:cs="Times New Roman"/>
          <w:b w:val="0"/>
          <w:bCs/>
          <w:sz w:val="30"/>
          <w:szCs w:val="30"/>
        </w:rPr>
        <w:t>4.4 新型供配电</w:t>
      </w:r>
      <w:bookmarkEnd w:id="95"/>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4.4.1建筑宜采用可再生能源微网系统，利用蓄能、用能设备协同控制技术，提升可再生能源就地消纳比例。</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4.4.2 建筑供配电系统应具备实时监测、分析、智能调度等管理功能。</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4.4.3 建筑供配电系统应具备按核算单元和用能形式进行分类分项计量功能。</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 xml:space="preserve">4.4.4 </w:t>
      </w:r>
      <w:r>
        <w:rPr>
          <w:rFonts w:hint="eastAsia" w:ascii="Times New Roman" w:hAnsi="Times New Roman" w:eastAsia="宋体" w:cs="Times New Roman"/>
          <w:b w:val="0"/>
          <w:bCs/>
          <w:szCs w:val="32"/>
        </w:rPr>
        <w:t>建筑</w:t>
      </w:r>
      <w:r>
        <w:rPr>
          <w:rFonts w:ascii="Times New Roman" w:hAnsi="Times New Roman" w:eastAsia="宋体" w:cs="Times New Roman"/>
          <w:b w:val="0"/>
          <w:bCs/>
          <w:szCs w:val="21"/>
        </w:rPr>
        <w:t>宜结合建筑及周边场地可再生能源系统，设置储电、蓄热（冷）、电动车充电桩等设施，实现不同蓄能形式灵活应用。</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4.4.5 蓄能用蓄电池的75%荷电状态的充电效率应不低于90%。</w:t>
      </w:r>
    </w:p>
    <w:p>
      <w:pPr>
        <w:spacing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4.4.6 建筑宜采用光储直柔技术，且宜具备与电网友好互动的接口。</w:t>
      </w:r>
    </w:p>
    <w:p>
      <w:pPr>
        <w:spacing w:before="120" w:after="260" w:line="400" w:lineRule="exact"/>
        <w:outlineLvl w:val="2"/>
        <w:rPr>
          <w:rFonts w:ascii="Times New Roman" w:hAnsi="Times New Roman" w:cs="Times New Roman"/>
          <w:b w:val="0"/>
          <w:bCs/>
        </w:rPr>
      </w:pPr>
      <w:r>
        <w:rPr>
          <w:rFonts w:ascii="Times New Roman" w:hAnsi="Times New Roman" w:eastAsia="宋体" w:cs="Times New Roman"/>
          <w:b w:val="0"/>
          <w:bCs/>
          <w:szCs w:val="32"/>
        </w:rPr>
        <w:t>4.4.7 用电设备宜具备用电负荷调节功能，采用光储直柔技术建筑的用电设备应具备功率主动响应功能。</w:t>
      </w:r>
    </w:p>
    <w:p>
      <w:pPr>
        <w:pStyle w:val="30"/>
        <w:widowControl/>
        <w:rPr>
          <w:rFonts w:ascii="Times New Roman" w:hAnsi="Times New Roman" w:cs="Times New Roman"/>
          <w:b w:val="0"/>
          <w:bCs/>
          <w:sz w:val="30"/>
          <w:szCs w:val="30"/>
        </w:rPr>
      </w:pPr>
      <w:bookmarkStart w:id="96" w:name="_Toc128988415"/>
      <w:r>
        <w:rPr>
          <w:rFonts w:ascii="Times New Roman" w:hAnsi="Times New Roman" w:cs="Times New Roman"/>
          <w:b w:val="0"/>
          <w:bCs/>
          <w:sz w:val="30"/>
          <w:szCs w:val="30"/>
        </w:rPr>
        <w:t>4.5 可再生能源利用</w:t>
      </w:r>
      <w:bookmarkEnd w:id="96"/>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4.5.1 在技术经济合理的条件下，建筑冷热源和热水热源应优先选用太阳能光热系统、地源热泵、空气源热泵等；供电系统应优先选用光伏发电、风光互补等。</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4.5.2 新建建筑的可再生能源系统应统一规划、同步设计、同步施工、统一验收。</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4.5.3 太阳能系统设计阶段应逐时计算光伏系统发电量、太阳能集热系统集热量。</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4.5.4 光伏发电系统应优先自发自用。</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4.5.5 建筑采用的标准光伏组件光电转换效率应符合表4.5.5-1的要求。采用光伏建筑一体化构件时，应选择高效率太阳能电池进行集成，其光电转换效率应符合表4.5.5-2的规定。</w:t>
      </w:r>
    </w:p>
    <w:p>
      <w:pPr>
        <w:keepNext/>
        <w:spacing w:before="312" w:beforeLines="100" w:line="360" w:lineRule="auto"/>
        <w:jc w:val="center"/>
        <w:outlineLvl w:val="5"/>
        <w:rPr>
          <w:rFonts w:ascii="Times New Roman" w:hAnsi="Times New Roman" w:eastAsia="宋体" w:cs="Times New Roman"/>
          <w:b w:val="0"/>
          <w:bCs/>
        </w:rPr>
      </w:pPr>
      <w:r>
        <w:rPr>
          <w:rFonts w:ascii="Times New Roman" w:hAnsi="Times New Roman" w:eastAsia="宋体" w:cs="Times New Roman"/>
          <w:b w:val="0"/>
          <w:bCs/>
        </w:rPr>
        <w:t>表4.5.5-1  标准光伏组件光电转换效率</w:t>
      </w:r>
    </w:p>
    <w:tbl>
      <w:tblPr>
        <w:tblStyle w:val="43"/>
        <w:tblW w:w="6521"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7"/>
        <w:gridCol w:w="2842"/>
        <w:gridCol w:w="240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 w:hRule="atLeast"/>
          <w:tblHeader/>
          <w:jc w:val="center"/>
        </w:trPr>
        <w:tc>
          <w:tcPr>
            <w:tcW w:w="4119" w:type="dxa"/>
            <w:gridSpan w:val="2"/>
            <w:tcBorders>
              <w:top w:val="single" w:color="auto" w:sz="12" w:space="0"/>
              <w:bottom w:val="single" w:color="auto" w:sz="4" w:space="0"/>
            </w:tcBorders>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标准光伏组件类型</w:t>
            </w:r>
          </w:p>
        </w:tc>
        <w:tc>
          <w:tcPr>
            <w:tcW w:w="2402" w:type="dxa"/>
            <w:tcBorders>
              <w:top w:val="single" w:color="auto" w:sz="12" w:space="0"/>
              <w:bottom w:val="single" w:color="auto" w:sz="4" w:space="0"/>
            </w:tcBorders>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组件光电转换效率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277" w:type="dxa"/>
            <w:vMerge w:val="restart"/>
            <w:tcBorders>
              <w:top w:val="single" w:color="auto" w:sz="4" w:space="0"/>
            </w:tcBorders>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晶体硅电池组件</w:t>
            </w:r>
          </w:p>
        </w:tc>
        <w:tc>
          <w:tcPr>
            <w:tcW w:w="2842" w:type="dxa"/>
            <w:tcBorders>
              <w:top w:val="single" w:color="auto" w:sz="4" w:space="0"/>
            </w:tcBorders>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多晶硅电池组件</w:t>
            </w:r>
          </w:p>
        </w:tc>
        <w:tc>
          <w:tcPr>
            <w:tcW w:w="2402" w:type="dxa"/>
            <w:tcBorders>
              <w:top w:val="single" w:color="auto" w:sz="4" w:space="0"/>
            </w:tcBorders>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277" w:type="dxa"/>
            <w:vMerge w:val="continue"/>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p>
        </w:tc>
        <w:tc>
          <w:tcPr>
            <w:tcW w:w="284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单晶硅电池组件</w:t>
            </w:r>
          </w:p>
        </w:tc>
        <w:tc>
          <w:tcPr>
            <w:tcW w:w="240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rHeight w:val="343" w:hRule="atLeast"/>
          <w:jc w:val="center"/>
        </w:trPr>
        <w:tc>
          <w:tcPr>
            <w:tcW w:w="1277" w:type="dxa"/>
            <w:vMerge w:val="restart"/>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薄膜电池组件</w:t>
            </w:r>
          </w:p>
        </w:tc>
        <w:tc>
          <w:tcPr>
            <w:tcW w:w="284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硅基电池组件</w:t>
            </w:r>
          </w:p>
        </w:tc>
        <w:tc>
          <w:tcPr>
            <w:tcW w:w="240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277" w:type="dxa"/>
            <w:vMerge w:val="continue"/>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p>
        </w:tc>
        <w:tc>
          <w:tcPr>
            <w:tcW w:w="284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铜铟镓硒（CIGS）电池组件</w:t>
            </w:r>
          </w:p>
        </w:tc>
        <w:tc>
          <w:tcPr>
            <w:tcW w:w="240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277" w:type="dxa"/>
            <w:vMerge w:val="continue"/>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p>
        </w:tc>
        <w:tc>
          <w:tcPr>
            <w:tcW w:w="284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碲化镉（C</w:t>
            </w:r>
            <w:r>
              <w:rPr>
                <w:rFonts w:ascii="Times New Roman" w:hAnsi="Times New Roman" w:eastAsia="宋体" w:cs="Times New Roman"/>
                <w:b w:val="0"/>
                <w:bCs/>
                <w:color w:val="000000" w:themeColor="text1"/>
                <w:szCs w:val="21"/>
                <w:vertAlign w:val="subscript"/>
                <w14:textFill>
                  <w14:solidFill>
                    <w14:schemeClr w14:val="tx1"/>
                  </w14:solidFill>
                </w14:textFill>
              </w:rPr>
              <w:t>d</w:t>
            </w:r>
            <w:r>
              <w:rPr>
                <w:rFonts w:ascii="Times New Roman" w:hAnsi="Times New Roman" w:eastAsia="宋体" w:cs="Times New Roman"/>
                <w:b w:val="0"/>
                <w:bCs/>
                <w:color w:val="000000" w:themeColor="text1"/>
                <w:szCs w:val="21"/>
                <w14:textFill>
                  <w14:solidFill>
                    <w14:schemeClr w14:val="tx1"/>
                  </w14:solidFill>
                </w14:textFill>
              </w:rPr>
              <w:t>T</w:t>
            </w:r>
            <w:r>
              <w:rPr>
                <w:rFonts w:ascii="Times New Roman" w:hAnsi="Times New Roman" w:eastAsia="宋体" w:cs="Times New Roman"/>
                <w:b w:val="0"/>
                <w:bCs/>
                <w:color w:val="000000" w:themeColor="text1"/>
                <w:szCs w:val="21"/>
                <w:vertAlign w:val="subscript"/>
                <w14:textFill>
                  <w14:solidFill>
                    <w14:schemeClr w14:val="tx1"/>
                  </w14:solidFill>
                </w14:textFill>
              </w:rPr>
              <w:t>e</w:t>
            </w:r>
            <w:r>
              <w:rPr>
                <w:rFonts w:ascii="Times New Roman" w:hAnsi="Times New Roman" w:eastAsia="宋体" w:cs="Times New Roman"/>
                <w:b w:val="0"/>
                <w:bCs/>
                <w:color w:val="000000" w:themeColor="text1"/>
                <w:szCs w:val="21"/>
                <w14:textFill>
                  <w14:solidFill>
                    <w14:schemeClr w14:val="tx1"/>
                  </w14:solidFill>
                </w14:textFill>
              </w:rPr>
              <w:t>）电池组件</w:t>
            </w:r>
          </w:p>
        </w:tc>
        <w:tc>
          <w:tcPr>
            <w:tcW w:w="2402" w:type="dxa"/>
            <w:vAlign w:val="center"/>
          </w:tcPr>
          <w:p>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≥15%</w:t>
            </w:r>
          </w:p>
        </w:tc>
      </w:tr>
    </w:tbl>
    <w:p>
      <w:pPr>
        <w:spacing w:before="312" w:beforeLines="100" w:line="360" w:lineRule="auto"/>
        <w:jc w:val="center"/>
        <w:outlineLvl w:val="5"/>
        <w:rPr>
          <w:rFonts w:ascii="Times New Roman" w:hAnsi="Times New Roman" w:eastAsia="宋体" w:cs="Times New Roman"/>
          <w:b w:val="0"/>
          <w:bCs/>
        </w:rPr>
      </w:pPr>
      <w:r>
        <w:rPr>
          <w:rFonts w:ascii="Times New Roman" w:hAnsi="Times New Roman" w:eastAsia="宋体" w:cs="Times New Roman"/>
          <w:b w:val="0"/>
          <w:bCs/>
        </w:rPr>
        <w:t>表4.5.5-2  一体化构件用太阳能电池光电转换效率</w:t>
      </w:r>
    </w:p>
    <w:tbl>
      <w:tblPr>
        <w:tblStyle w:val="43"/>
        <w:tblW w:w="6799" w:type="dxa"/>
        <w:jc w:val="center"/>
        <w:tblLayout w:type="fixed"/>
        <w:tblCellMar>
          <w:top w:w="0" w:type="dxa"/>
          <w:left w:w="108" w:type="dxa"/>
          <w:bottom w:w="0" w:type="dxa"/>
          <w:right w:w="108" w:type="dxa"/>
        </w:tblCellMar>
      </w:tblPr>
      <w:tblGrid>
        <w:gridCol w:w="3397"/>
        <w:gridCol w:w="3402"/>
      </w:tblGrid>
      <w:tr>
        <w:trPr>
          <w:cantSplit/>
          <w:trHeight w:val="33" w:hRule="atLeast"/>
          <w:tblHeader/>
          <w:jc w:val="center"/>
        </w:trPr>
        <w:tc>
          <w:tcPr>
            <w:tcW w:w="3397" w:type="dxa"/>
            <w:tcBorders>
              <w:top w:val="single" w:color="auto" w:sz="12" w:space="0"/>
              <w:bottom w:val="single" w:color="auto" w:sz="4" w:space="0"/>
            </w:tcBorders>
            <w:vAlign w:val="center"/>
          </w:tcPr>
          <w:p>
            <w:pPr>
              <w:spacing w:line="300" w:lineRule="exact"/>
              <w:ind w:firstLine="420" w:firstLineChars="200"/>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太阳能电池类型</w:t>
            </w:r>
          </w:p>
        </w:tc>
        <w:tc>
          <w:tcPr>
            <w:tcW w:w="3402" w:type="dxa"/>
            <w:tcBorders>
              <w:top w:val="single" w:color="auto" w:sz="12" w:space="0"/>
              <w:bottom w:val="single" w:color="auto" w:sz="4" w:space="0"/>
            </w:tcBorders>
            <w:vAlign w:val="center"/>
          </w:tcPr>
          <w:p>
            <w:pPr>
              <w:spacing w:line="300" w:lineRule="exact"/>
              <w:ind w:firstLine="420" w:firstLineChars="200"/>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电池光电转换效率</w:t>
            </w:r>
          </w:p>
        </w:tc>
      </w:tr>
      <w:tr>
        <w:tblPrEx>
          <w:tblCellMar>
            <w:top w:w="0" w:type="dxa"/>
            <w:left w:w="108" w:type="dxa"/>
            <w:bottom w:w="0" w:type="dxa"/>
            <w:right w:w="108" w:type="dxa"/>
          </w:tblCellMar>
        </w:tblPrEx>
        <w:trPr>
          <w:trHeight w:val="32" w:hRule="atLeast"/>
          <w:jc w:val="center"/>
        </w:trPr>
        <w:tc>
          <w:tcPr>
            <w:tcW w:w="3397" w:type="dxa"/>
            <w:tcBorders>
              <w:top w:val="single" w:color="auto" w:sz="4" w:space="0"/>
            </w:tcBorders>
            <w:vAlign w:val="center"/>
          </w:tcPr>
          <w:p>
            <w:pPr>
              <w:spacing w:line="300" w:lineRule="exact"/>
              <w:ind w:firstLine="420" w:firstLineChars="200"/>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单晶硅电池</w:t>
            </w:r>
          </w:p>
        </w:tc>
        <w:tc>
          <w:tcPr>
            <w:tcW w:w="3402" w:type="dxa"/>
            <w:tcBorders>
              <w:top w:val="single" w:color="auto" w:sz="4" w:space="0"/>
            </w:tcBorders>
            <w:vAlign w:val="center"/>
          </w:tcPr>
          <w:p>
            <w:pPr>
              <w:spacing w:line="300" w:lineRule="exact"/>
              <w:ind w:firstLine="420" w:firstLineChars="200"/>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≥22.9%</w:t>
            </w:r>
          </w:p>
        </w:tc>
      </w:tr>
      <w:tr>
        <w:tblPrEx>
          <w:tblCellMar>
            <w:top w:w="0" w:type="dxa"/>
            <w:left w:w="108" w:type="dxa"/>
            <w:bottom w:w="0" w:type="dxa"/>
            <w:right w:w="108" w:type="dxa"/>
          </w:tblCellMar>
        </w:tblPrEx>
        <w:trPr>
          <w:trHeight w:val="10" w:hRule="atLeast"/>
          <w:jc w:val="center"/>
        </w:trPr>
        <w:tc>
          <w:tcPr>
            <w:tcW w:w="3397" w:type="dxa"/>
            <w:tcBorders>
              <w:bottom w:val="single" w:color="auto" w:sz="12" w:space="0"/>
            </w:tcBorders>
            <w:vAlign w:val="center"/>
          </w:tcPr>
          <w:p>
            <w:pPr>
              <w:spacing w:line="300" w:lineRule="exact"/>
              <w:ind w:firstLine="420" w:firstLineChars="200"/>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碲化镉（C</w:t>
            </w:r>
            <w:r>
              <w:rPr>
                <w:rFonts w:ascii="Times New Roman" w:hAnsi="Times New Roman" w:eastAsia="宋体" w:cs="Times New Roman"/>
                <w:b w:val="0"/>
                <w:bCs/>
                <w:color w:val="000000" w:themeColor="text1"/>
                <w:szCs w:val="21"/>
                <w:vertAlign w:val="subscript"/>
                <w14:textFill>
                  <w14:solidFill>
                    <w14:schemeClr w14:val="tx1"/>
                  </w14:solidFill>
                </w14:textFill>
              </w:rPr>
              <w:t>d</w:t>
            </w:r>
            <w:r>
              <w:rPr>
                <w:rFonts w:ascii="Times New Roman" w:hAnsi="Times New Roman" w:eastAsia="宋体" w:cs="Times New Roman"/>
                <w:b w:val="0"/>
                <w:bCs/>
                <w:color w:val="000000" w:themeColor="text1"/>
                <w:szCs w:val="21"/>
                <w14:textFill>
                  <w14:solidFill>
                    <w14:schemeClr w14:val="tx1"/>
                  </w14:solidFill>
                </w14:textFill>
              </w:rPr>
              <w:t>T</w:t>
            </w:r>
            <w:r>
              <w:rPr>
                <w:rFonts w:ascii="Times New Roman" w:hAnsi="Times New Roman" w:eastAsia="宋体" w:cs="Times New Roman"/>
                <w:b w:val="0"/>
                <w:bCs/>
                <w:color w:val="000000" w:themeColor="text1"/>
                <w:szCs w:val="21"/>
                <w:vertAlign w:val="subscript"/>
                <w14:textFill>
                  <w14:solidFill>
                    <w14:schemeClr w14:val="tx1"/>
                  </w14:solidFill>
                </w14:textFill>
              </w:rPr>
              <w:t>e</w:t>
            </w:r>
            <w:r>
              <w:rPr>
                <w:rFonts w:ascii="Times New Roman" w:hAnsi="Times New Roman" w:eastAsia="宋体" w:cs="Times New Roman"/>
                <w:b w:val="0"/>
                <w:bCs/>
                <w:color w:val="000000" w:themeColor="text1"/>
                <w:szCs w:val="21"/>
                <w14:textFill>
                  <w14:solidFill>
                    <w14:schemeClr w14:val="tx1"/>
                  </w14:solidFill>
                </w14:textFill>
              </w:rPr>
              <w:t>）电池</w:t>
            </w:r>
          </w:p>
        </w:tc>
        <w:tc>
          <w:tcPr>
            <w:tcW w:w="3402" w:type="dxa"/>
            <w:tcBorders>
              <w:bottom w:val="single" w:color="auto" w:sz="12" w:space="0"/>
            </w:tcBorders>
            <w:vAlign w:val="center"/>
          </w:tcPr>
          <w:p>
            <w:pPr>
              <w:spacing w:line="300" w:lineRule="exact"/>
              <w:ind w:firstLine="420" w:firstLineChars="200"/>
              <w:jc w:val="center"/>
              <w:textAlignment w:val="center"/>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≥15%</w:t>
            </w:r>
          </w:p>
        </w:tc>
      </w:tr>
    </w:tbl>
    <w:p>
      <w:pPr>
        <w:spacing w:line="360" w:lineRule="auto"/>
        <w:rPr>
          <w:rFonts w:ascii="Times New Roman" w:hAnsi="Times New Roman" w:eastAsia="楷体" w:cs="Times New Roman"/>
          <w:b w:val="0"/>
          <w:bCs/>
          <w:color w:val="111111"/>
          <w:szCs w:val="21"/>
        </w:rPr>
      </w:pP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4.5.6 太阳能热利用系统设计效率不应低于现行国家标准《可再生能源建筑应用工程评价标准》GB/T 50801规定的2级以上。</w:t>
      </w:r>
    </w:p>
    <w:p>
      <w:pPr>
        <w:widowControl/>
        <w:spacing w:line="400" w:lineRule="exact"/>
        <w:rPr>
          <w:rFonts w:ascii="Times New Roman" w:hAnsi="Times New Roman" w:eastAsia="楷体" w:cs="Times New Roman"/>
          <w:b w:val="0"/>
          <w:bCs/>
          <w:color w:val="111111"/>
          <w:szCs w:val="21"/>
        </w:rPr>
      </w:pPr>
    </w:p>
    <w:p>
      <w:pPr>
        <w:pStyle w:val="30"/>
        <w:widowControl/>
        <w:rPr>
          <w:rFonts w:ascii="Times New Roman" w:hAnsi="Times New Roman" w:cs="Times New Roman"/>
          <w:b w:val="0"/>
          <w:bCs/>
          <w:sz w:val="30"/>
          <w:szCs w:val="30"/>
        </w:rPr>
      </w:pPr>
      <w:bookmarkStart w:id="97" w:name="_Toc128988416"/>
      <w:r>
        <w:rPr>
          <w:rFonts w:ascii="Times New Roman" w:hAnsi="Times New Roman" w:cs="Times New Roman"/>
          <w:b w:val="0"/>
          <w:bCs/>
          <w:sz w:val="30"/>
          <w:szCs w:val="30"/>
        </w:rPr>
        <w:t>4.6 监测与控制</w:t>
      </w:r>
      <w:bookmarkEnd w:id="97"/>
    </w:p>
    <w:p>
      <w:pPr>
        <w:pStyle w:val="4"/>
        <w:rPr>
          <w:rFonts w:eastAsia="宋体" w:cs="Times New Roman"/>
          <w:b w:val="0"/>
          <w:bCs/>
        </w:rPr>
      </w:pPr>
      <w:r>
        <w:rPr>
          <w:rFonts w:eastAsia="宋体" w:cs="Times New Roman"/>
          <w:b w:val="0"/>
          <w:bCs/>
        </w:rPr>
        <w:t xml:space="preserve">4.6.1 </w:t>
      </w:r>
      <w:r>
        <w:rPr>
          <w:rFonts w:hint="eastAsia" w:eastAsia="宋体" w:cs="Times New Roman"/>
          <w:b w:val="0"/>
          <w:bCs/>
        </w:rPr>
        <w:t>零碳建筑</w:t>
      </w:r>
      <w:r>
        <w:rPr>
          <w:rFonts w:eastAsia="宋体" w:cs="Times New Roman"/>
          <w:b w:val="0"/>
          <w:bCs/>
        </w:rPr>
        <w:t>应设置建筑碳排放管理系统，实现建筑运行碳排放量的动态统计、计算、分析和展示等管理目标。</w:t>
      </w:r>
    </w:p>
    <w:p>
      <w:pPr>
        <w:pStyle w:val="4"/>
        <w:rPr>
          <w:rFonts w:eastAsia="宋体" w:cs="Times New Roman"/>
          <w:b w:val="0"/>
          <w:bCs/>
        </w:rPr>
      </w:pPr>
      <w:r>
        <w:rPr>
          <w:rFonts w:eastAsia="宋体" w:cs="Times New Roman"/>
          <w:b w:val="0"/>
          <w:bCs/>
        </w:rPr>
        <w:t>4.6.2 建筑碳排放管理系统应具备下列功能：</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1 建筑运行阶段碳排放量、可再生能源降碳量和建筑碳抵消量的分类分项动态统计、计算、分析和展示；</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 xml:space="preserve">2 碳排放数据的查询、预警、记录和下载；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 xml:space="preserve">3 建筑碳排放报表的生成； </w:t>
      </w:r>
    </w:p>
    <w:p>
      <w:pPr>
        <w:spacing w:line="360" w:lineRule="auto"/>
        <w:ind w:firstLine="420" w:firstLineChars="200"/>
        <w:rPr>
          <w:rFonts w:ascii="Times New Roman" w:hAnsi="Times New Roman" w:eastAsia="楷体" w:cs="Times New Roman"/>
          <w:b w:val="0"/>
          <w:bCs/>
          <w:szCs w:val="21"/>
        </w:rPr>
      </w:pPr>
      <w:r>
        <w:rPr>
          <w:rFonts w:ascii="Times New Roman" w:hAnsi="Times New Roman" w:eastAsia="宋体" w:cs="Times New Roman"/>
          <w:b w:val="0"/>
          <w:bCs/>
          <w:szCs w:val="32"/>
        </w:rPr>
        <w:t>4 与其他系统集成的权限。</w:t>
      </w:r>
    </w:p>
    <w:p>
      <w:pPr>
        <w:pStyle w:val="4"/>
        <w:rPr>
          <w:rFonts w:eastAsia="宋体" w:cs="Times New Roman"/>
          <w:b w:val="0"/>
          <w:bCs/>
        </w:rPr>
      </w:pPr>
      <w:r>
        <w:rPr>
          <w:rFonts w:eastAsia="宋体" w:cs="Times New Roman"/>
          <w:b w:val="0"/>
          <w:bCs/>
        </w:rPr>
        <w:t xml:space="preserve">4.6.3 建筑碳排放管理系统应对下列内容进行计量和监测：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 xml:space="preserve">1 建筑消耗的冷热量、电量、气量和其他能源消耗量；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2 建筑可再生能源发电量、蓄能系统蓄放的能量；</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3 电动车充桩充放电量；</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 xml:space="preserve">4 典型房间室内温湿度等主要环境指标；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5 建筑室外温度和辐照度。</w:t>
      </w:r>
    </w:p>
    <w:p>
      <w:pPr>
        <w:pStyle w:val="4"/>
        <w:rPr>
          <w:rFonts w:eastAsia="宋体" w:cs="Times New Roman"/>
          <w:b w:val="0"/>
          <w:bCs/>
        </w:rPr>
      </w:pPr>
      <w:r>
        <w:rPr>
          <w:rFonts w:eastAsia="宋体" w:cs="Times New Roman"/>
          <w:b w:val="0"/>
          <w:bCs/>
        </w:rPr>
        <w:t xml:space="preserve">4.6.4 建筑碳排放管理系统的计量和监测应满足下列规定：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1 采用具有远传功能的智能计量表具和传感器；</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2 计量表具和传感器精度应满足建筑运维管理和碳核查要求；</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3 数据采集频率和存贮周期满足碳排放核查要求和建筑机电系统运行要求。</w:t>
      </w:r>
    </w:p>
    <w:p>
      <w:pPr>
        <w:pStyle w:val="4"/>
        <w:spacing w:before="0" w:after="156" w:afterLines="50" w:line="360" w:lineRule="auto"/>
        <w:rPr>
          <w:rFonts w:eastAsia="宋体" w:cs="Times New Roman"/>
          <w:b w:val="0"/>
          <w:bCs/>
        </w:rPr>
      </w:pPr>
      <w:r>
        <w:rPr>
          <w:rFonts w:eastAsia="宋体" w:cs="Times New Roman"/>
          <w:b w:val="0"/>
          <w:bCs/>
        </w:rPr>
        <w:t xml:space="preserve">4.6.5 </w:t>
      </w:r>
      <w:r>
        <w:rPr>
          <w:rFonts w:hint="eastAsia" w:eastAsia="宋体" w:cs="Times New Roman"/>
          <w:b w:val="0"/>
          <w:bCs/>
        </w:rPr>
        <w:t>建筑</w:t>
      </w:r>
      <w:r>
        <w:rPr>
          <w:rFonts w:eastAsia="宋体" w:cs="Times New Roman"/>
          <w:b w:val="0"/>
          <w:bCs/>
        </w:rPr>
        <w:t>宜设置建筑楼宇自控系统。</w:t>
      </w:r>
    </w:p>
    <w:p>
      <w:pPr>
        <w:spacing w:line="360" w:lineRule="auto"/>
        <w:rPr>
          <w:rFonts w:ascii="Times New Roman" w:hAnsi="Times New Roman" w:eastAsia="楷体" w:cs="Times New Roman"/>
          <w:b w:val="0"/>
          <w:bCs/>
          <w:szCs w:val="21"/>
        </w:rPr>
      </w:pPr>
    </w:p>
    <w:p>
      <w:pPr>
        <w:pStyle w:val="4"/>
        <w:rPr>
          <w:rFonts w:eastAsia="宋体" w:cs="Times New Roman"/>
          <w:b w:val="0"/>
          <w:bCs/>
        </w:rPr>
      </w:pPr>
      <w:r>
        <w:rPr>
          <w:rFonts w:eastAsia="宋体" w:cs="Times New Roman"/>
          <w:b w:val="0"/>
          <w:bCs/>
        </w:rPr>
        <w:t>4.6.6 建筑智能化系统硬件应选用功耗低、长寿命的设备和产品。</w:t>
      </w:r>
    </w:p>
    <w:p>
      <w:pPr>
        <w:rPr>
          <w:rFonts w:ascii="Times New Roman" w:hAnsi="Times New Roman" w:cs="Times New Roman"/>
          <w:b w:val="0"/>
          <w:bCs/>
        </w:rPr>
      </w:pPr>
      <w:bookmarkStart w:id="98" w:name="_Toc128988417"/>
      <w:r>
        <w:rPr>
          <w:rFonts w:ascii="Times New Roman" w:hAnsi="Times New Roman" w:cs="Times New Roman"/>
          <w:b w:val="0"/>
          <w:bCs/>
        </w:rPr>
        <w:br w:type="page"/>
      </w:r>
    </w:p>
    <w:p>
      <w:pPr>
        <w:pStyle w:val="40"/>
        <w:rPr>
          <w:rFonts w:ascii="Times New Roman" w:hAnsi="Times New Roman" w:cs="Times New Roman"/>
          <w:b w:val="0"/>
          <w:bCs/>
        </w:rPr>
      </w:pPr>
      <w:r>
        <w:rPr>
          <w:rFonts w:ascii="Times New Roman" w:hAnsi="Times New Roman" w:cs="Times New Roman"/>
          <w:b w:val="0"/>
          <w:bCs/>
        </w:rPr>
        <w:t>5 区域降碳设计</w:t>
      </w:r>
      <w:bookmarkEnd w:id="98"/>
    </w:p>
    <w:p>
      <w:pPr>
        <w:pStyle w:val="30"/>
        <w:rPr>
          <w:rFonts w:ascii="Times New Roman" w:hAnsi="Times New Roman" w:cs="Times New Roman"/>
          <w:b w:val="0"/>
          <w:bCs/>
          <w:sz w:val="30"/>
          <w:szCs w:val="30"/>
        </w:rPr>
      </w:pPr>
      <w:bookmarkStart w:id="99" w:name="_Toc128988418"/>
      <w:r>
        <w:rPr>
          <w:rFonts w:ascii="Times New Roman" w:hAnsi="Times New Roman" w:cs="Times New Roman"/>
          <w:b w:val="0"/>
          <w:bCs/>
          <w:sz w:val="30"/>
          <w:szCs w:val="30"/>
        </w:rPr>
        <w:t>5.1 规划与设计</w:t>
      </w:r>
      <w:bookmarkEnd w:id="99"/>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5.1.1 新区建设和既有区域更新改造时，应结合资源气候等特点，统筹各方面资源，通过相关技术途径与具体措施，设立降碳目标、落实降碳要求。</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5.1.2 在新建区域开发建设和既有区域更新改造的规划阶段，应制定低碳专项规划。专项规划宜包括下列内容：</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1  明确区域碳排放要素组成；</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2  测算基础情境下的区域碳排放量、碳汇量；</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3  提出各碳排放要素的碳减排要求与指标；</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4  提出碳减排途径与技术措施；</w:t>
      </w:r>
    </w:p>
    <w:p>
      <w:pPr>
        <w:spacing w:line="360" w:lineRule="auto"/>
        <w:ind w:firstLine="420" w:firstLineChars="200"/>
        <w:rPr>
          <w:rFonts w:ascii="Times New Roman" w:hAnsi="Times New Roman" w:eastAsia="宋体" w:cs="Times New Roman"/>
          <w:b w:val="0"/>
          <w:bCs/>
          <w:color w:val="000000" w:themeColor="text1"/>
          <w:sz w:val="24"/>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5  测算改进情境下的区域碳排放量、碳汇量。</w:t>
      </w:r>
      <w:bookmarkStart w:id="100" w:name="_Hlk88542110"/>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5.1.3 区域能源规划建设应符合下列规定：</w:t>
      </w:r>
    </w:p>
    <w:p>
      <w:pPr>
        <w:spacing w:line="360" w:lineRule="auto"/>
        <w:ind w:firstLine="420" w:firstLineChars="200"/>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 以零碳、低碳能源优先为基本原则，在本区域上位能源规划的基础上，提高用能设备电气化率、可再生能源利用率、余废热利用率；</w:t>
      </w:r>
    </w:p>
    <w:p>
      <w:pPr>
        <w:spacing w:line="360" w:lineRule="auto"/>
        <w:ind w:firstLine="420" w:firstLineChars="200"/>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2 新区建设时应综合考虑电、热、气、冷等使用需求与资源条件，进行专项规划，统一协调、综合利用、保障供给、节能低碳、运行经济；</w:t>
      </w:r>
    </w:p>
    <w:p>
      <w:pPr>
        <w:spacing w:line="360" w:lineRule="auto"/>
        <w:ind w:firstLine="420" w:firstLineChars="200"/>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3 既有区域更新改造时，宜编制相关专项规划。</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5.1.4 区域供热系统规划建设应符合下列规定：</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1 供热能源应因地制宜，遵循安全、可靠、低碳、经济、环保的原则，优先利用各类余热、废热资源；充分利用太阳能、地热能、生物质能等可再生能源；</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2 供热管网应结合热源条件和输配方式，采用措施提高热网的输热能力、降低输送能耗和热量损失、减小热媒管径。以热水为热媒时，应采取措施加大供回水温差；以蒸汽为热媒时，应采取措施降低凝结水温度、充分利用其热量、有效利用凝结水；</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3 供热管网应在符合技术要求的情况下，采用高效、节能、低碳、环保的设备和材料；</w:t>
      </w:r>
    </w:p>
    <w:p>
      <w:pPr>
        <w:spacing w:line="360" w:lineRule="auto"/>
        <w:ind w:firstLine="420" w:firstLineChars="200"/>
        <w:rPr>
          <w:rFonts w:ascii="Times New Roman" w:hAnsi="Times New Roman" w:eastAsia="宋体" w:cs="Times New Roman"/>
          <w:b w:val="0"/>
          <w:bCs/>
          <w:sz w:val="24"/>
          <w:szCs w:val="24"/>
          <w:lang w:val="zh-CN"/>
        </w:rPr>
      </w:pPr>
      <w:r>
        <w:rPr>
          <w:rFonts w:ascii="Times New Roman" w:hAnsi="Times New Roman" w:eastAsia="宋体" w:cs="Times New Roman"/>
          <w:b w:val="0"/>
          <w:bCs/>
          <w:szCs w:val="24"/>
          <w:lang w:val="zh-CN"/>
        </w:rPr>
        <w:t>4 挖掘火电机组、工业余热等余热潜力，在条件允许的地区鼓励大温差输送、水热同输。</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5.1.5 区域供电系统规划建设应符合下列规定：</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1 电网输配应统筹协调集中式与分布式发电、可再生能源等低碳能源、电力需求侧管理与多样化用电服务等，提高电网的互动性和调控能力，提升低碳电力比例；</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2 蓄能单元应满足向电网提供持续、稳定电力的要求，选择安全、高效、环保、可靠、易维护和长寿命的设备产品，并应优先使用大容量、高效率、长时间的存储设备；</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3 推动先进信息通讯技术与电力系统深度融合，构建智能互动、安全可控、经济高效的电力服务平台，提升电网运行的可靠性、互动性和适应性，满足各类分布式发电、用电设施接入以及用户多元化等需要。</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5.1.6 区域可再生能源规划建设应符合下列规定：</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1 在气候条件适宜地区，宜充分利用光伏建筑一体化（BIPV）技术，利用公园、广场等休闲空间，停车场等场地空间，公共交通站点等构筑物，提高太阳能光伏安装容量；通过光伏并网、智能微网、蓄能等技术，提高光伏发电的消纳量；</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2 因地制宜利用风电和光伏等，配合电网调控要求，实现分布式电源高效利用；</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3 按照“因地制宜、集约开发、加强监管、安全环保”的原则，开展各类浅层地热利用，并采用高效的热泵机组；</w:t>
      </w:r>
    </w:p>
    <w:p>
      <w:pPr>
        <w:spacing w:line="360" w:lineRule="auto"/>
        <w:ind w:firstLine="420" w:firstLineChars="200"/>
        <w:rPr>
          <w:rFonts w:ascii="Times New Roman" w:hAnsi="Times New Roman" w:eastAsia="宋体" w:cs="Times New Roman"/>
          <w:b w:val="0"/>
          <w:bCs/>
          <w:color w:val="000000" w:themeColor="text1"/>
          <w:szCs w:val="24"/>
          <w14:textFill>
            <w14:solidFill>
              <w14:schemeClr w14:val="tx1"/>
            </w14:solidFill>
          </w14:textFill>
        </w:rPr>
      </w:pPr>
      <w:r>
        <w:rPr>
          <w:rFonts w:ascii="Times New Roman" w:hAnsi="Times New Roman" w:eastAsia="宋体" w:cs="Times New Roman"/>
          <w:b w:val="0"/>
          <w:bCs/>
          <w:color w:val="000000" w:themeColor="text1"/>
          <w:szCs w:val="24"/>
          <w14:textFill>
            <w14:solidFill>
              <w14:schemeClr w14:val="tx1"/>
            </w14:solidFill>
          </w14:textFill>
        </w:rPr>
        <w:t xml:space="preserve">4 地质等条件适宜采用中深层地热时，宜梯级利用，并确保中深层地热供热系统安全可靠、性能稳定、节约高效。 </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5.1.7 区域蓄能系统规划建设应符合下列规定：</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1 供需匹配不一致时，宜采用蓄能方式进行调节，以提升可再生能能源消纳能力、削减尖峰负荷、降低运行成本及碳排放；</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2 应结合区域周边条件选择适宜的蓄能形式，场地紧张或土地价格较为昂贵的区域宜采用相变蓄能，场地宽松的区域宜采用水蓄能，热媒品质要求高的区域宜采用导热油蓄能；</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3 跨季节蓄能系统应进行技术经济比较分析，对蓄能介质、蓄能方式、蓄能率和储冷（热）量、蓄能-释能周期内的逐时运行模式和负荷分配等进行详细计算；</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4 区域应根据系统所需存储容量、额定功率、储存持续时间选择适宜的储电技术，并结合可再生能源及负荷特性，以经济性、环保性、能效性等为目标配置储电设备；</w:t>
      </w:r>
    </w:p>
    <w:p>
      <w:pPr>
        <w:spacing w:line="360" w:lineRule="auto"/>
        <w:ind w:firstLine="420" w:firstLineChars="200"/>
        <w:rPr>
          <w:rFonts w:ascii="Times New Roman" w:hAnsi="Times New Roman" w:eastAsia="宋体" w:cs="Times New Roman"/>
          <w:b w:val="0"/>
          <w:bCs/>
          <w:szCs w:val="24"/>
        </w:rPr>
      </w:pPr>
      <w:r>
        <w:rPr>
          <w:rFonts w:ascii="Times New Roman" w:hAnsi="Times New Roman" w:eastAsia="宋体" w:cs="Times New Roman"/>
          <w:b w:val="0"/>
          <w:bCs/>
          <w:szCs w:val="24"/>
          <w:lang w:val="zh-CN"/>
        </w:rPr>
        <w:t>5 区域储电布置安全性要求应符合国家现行有关标准的规定</w:t>
      </w:r>
      <w:r>
        <w:rPr>
          <w:rFonts w:ascii="Times New Roman" w:hAnsi="Times New Roman" w:eastAsia="宋体" w:cs="Times New Roman"/>
          <w:b w:val="0"/>
          <w:bCs/>
          <w:color w:val="000000" w:themeColor="text1"/>
          <w:szCs w:val="24"/>
          <w14:textFill>
            <w14:solidFill>
              <w14:schemeClr w14:val="tx1"/>
            </w14:solidFill>
          </w14:textFill>
        </w:rPr>
        <w:t>。</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5.1.8 区域能源系统中可再生能源产能应优先本地消纳，配置蓄能系统时其可再生能源利用率应符合下列规定：</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1 系统集成储电技术，可再生能源利用率应提升10%以上；</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2 系统集成储电、蓄热两种蓄能方式时，可再生能源利用率应提升20%以上；</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3 系统集成储电、蓄热、蓄冷三种蓄能方式时，可再生能源利用率应提升30%以上。</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5.1.9 区域环卫设施规划建设应符合下列规定：</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1 城市环卫设施规划应满足城市生活垃圾的收集、运输、处理等需要，贯彻生活垃圾无害化、减量化、资源化、低碳化等原则，实现生活垃圾的分类收集、密闭运输、循环利用、生态化与低碳化处理。合理确定垃圾收集点的位置，提倡生活垃圾的回收和再生利用；</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2 合理预测城市生活垃圾产生量和成分，确定城市生活垃圾收集、运输、处理和处置方式，给出主要环境卫生工程设施的规划原则、类型、标准、数量、布局和用地范围，并提出工艺、技术、建设等要求，垃圾分类收集方式应与后续运输、处理方式相协调；</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3 建筑垃圾应采用就地利用、分散处理、集中处理等形式进行资源化利用。资源化利用应选用节能、高效、低碳的技术与设备；</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4 重大环境卫生工程设施的规划设计宜实现区域共享、城乡共享、优化配置。</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5.1.10 区域给排水规划建设应符合下列规定：</w:t>
      </w:r>
    </w:p>
    <w:p>
      <w:pPr>
        <w:spacing w:line="360" w:lineRule="auto"/>
        <w:ind w:firstLine="420" w:firstLineChars="200"/>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 宜回收利用污废水等排水热量，再生水、污废水的处理工艺，应选择节能、低碳的处理工艺；</w:t>
      </w:r>
    </w:p>
    <w:p>
      <w:pPr>
        <w:spacing w:line="360" w:lineRule="auto"/>
        <w:ind w:firstLine="420" w:firstLineChars="200"/>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2 雨水应收集利用，景观水体补水等应采用雨水，条件允许时，降雨初期的弃流雨水应就近排入绿地；</w:t>
      </w:r>
    </w:p>
    <w:p>
      <w:pPr>
        <w:spacing w:line="360" w:lineRule="auto"/>
        <w:ind w:firstLine="420" w:firstLineChars="200"/>
        <w:rPr>
          <w:rFonts w:ascii="Times New Roman" w:hAnsi="Times New Roman" w:eastAsia="宋体" w:cs="Times New Roman"/>
          <w:b w:val="0"/>
          <w:bCs/>
          <w:color w:val="000000" w:themeColor="text1"/>
          <w:sz w:val="24"/>
          <w:szCs w:val="24"/>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3 综合考虑区域内原水和中水用量的平衡和稳定、系统的技术经济合理性等因素，合理利用中水系统进行室外绿化灌溉、道路浇洒以及汽车清洗、冷却水补水、公共厕所冲厕等。</w:t>
      </w:r>
    </w:p>
    <w:p>
      <w:pPr>
        <w:spacing w:before="120" w:after="260" w:line="400" w:lineRule="exact"/>
        <w:outlineLvl w:val="2"/>
        <w:rPr>
          <w:rFonts w:ascii="Times New Roman" w:hAnsi="Times New Roman" w:eastAsia="宋体" w:cs="Times New Roman"/>
          <w:b w:val="0"/>
          <w:bCs/>
          <w:szCs w:val="21"/>
        </w:rPr>
      </w:pPr>
      <w:r>
        <w:rPr>
          <w:rFonts w:ascii="Times New Roman" w:hAnsi="Times New Roman" w:eastAsia="宋体" w:cs="Times New Roman"/>
          <w:b w:val="0"/>
          <w:bCs/>
          <w:szCs w:val="21"/>
        </w:rPr>
        <w:t>5.1.11 区域交通组织应符合下列规定：</w:t>
      </w:r>
    </w:p>
    <w:p>
      <w:pPr>
        <w:spacing w:line="360" w:lineRule="auto"/>
        <w:ind w:firstLine="420" w:firstLineChars="200"/>
        <w:rPr>
          <w:rFonts w:ascii="Times New Roman" w:hAnsi="Times New Roman" w:eastAsia="宋体" w:cs="Times New Roman"/>
          <w:b w:val="0"/>
          <w:bCs/>
          <w:color w:val="000000" w:themeColor="text1"/>
          <w:szCs w:val="21"/>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1 新建居住区配建停车位应100%满足电动车智能充电要求（或预留安装条件），办公类、商业类及其他类公共建筑配建停车位中，电动车充电设施占比分别不低于25%、20%、15%；</w:t>
      </w:r>
    </w:p>
    <w:p>
      <w:pPr>
        <w:spacing w:line="360" w:lineRule="auto"/>
        <w:ind w:firstLine="420" w:firstLineChars="200"/>
        <w:rPr>
          <w:rFonts w:ascii="Times New Roman" w:hAnsi="Times New Roman" w:eastAsia="宋体" w:cs="Times New Roman"/>
          <w:b w:val="0"/>
          <w:bCs/>
          <w:color w:val="000000" w:themeColor="text1"/>
          <w:sz w:val="24"/>
          <w:szCs w:val="24"/>
          <w14:textFill>
            <w14:solidFill>
              <w14:schemeClr w14:val="tx1"/>
            </w14:solidFill>
          </w14:textFill>
        </w:rPr>
      </w:pPr>
      <w:r>
        <w:rPr>
          <w:rFonts w:ascii="Times New Roman" w:hAnsi="Times New Roman" w:eastAsia="宋体" w:cs="Times New Roman"/>
          <w:b w:val="0"/>
          <w:bCs/>
          <w:color w:val="000000" w:themeColor="text1"/>
          <w:szCs w:val="21"/>
          <w14:textFill>
            <w14:solidFill>
              <w14:schemeClr w14:val="tx1"/>
            </w14:solidFill>
          </w14:textFill>
        </w:rPr>
        <w:t xml:space="preserve">2 </w:t>
      </w:r>
      <w:r>
        <w:rPr>
          <w:rFonts w:ascii="Times New Roman" w:hAnsi="Times New Roman" w:eastAsia="宋体" w:cs="Times New Roman"/>
          <w:b w:val="0"/>
          <w:bCs/>
          <w:szCs w:val="21"/>
        </w:rPr>
        <w:t>宜结合区域发展规划和技术进步，预留氢能源车辆等新型低碳交通工具的应用技术条件。</w:t>
      </w:r>
    </w:p>
    <w:bookmarkEnd w:id="100"/>
    <w:p>
      <w:pPr>
        <w:spacing w:before="120" w:after="260" w:line="400" w:lineRule="exact"/>
        <w:outlineLvl w:val="2"/>
        <w:rPr>
          <w:rFonts w:ascii="Times New Roman" w:hAnsi="Times New Roman" w:eastAsia="宋体" w:cs="Times New Roman"/>
          <w:b w:val="0"/>
          <w:bCs/>
          <w:szCs w:val="21"/>
        </w:rPr>
      </w:pPr>
      <w:bookmarkStart w:id="101" w:name="_Hlk116308105"/>
      <w:r>
        <w:rPr>
          <w:rFonts w:ascii="Times New Roman" w:hAnsi="Times New Roman" w:eastAsia="宋体" w:cs="Times New Roman"/>
          <w:b w:val="0"/>
          <w:bCs/>
          <w:szCs w:val="21"/>
        </w:rPr>
        <w:t>5.1.12 区域园林景观规划建设应符合下列规定：</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1 公园等集中绿地的建设，应提高灌木、乔木等有利于土壤固碳、植物碳汇的植物比例，选择适宜当地气候和土壤条件的植物品种，绿地整体的郁闭度应≥0.4，以发挥其生态改善和空气质量提升的作用；</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2 公园等集中绿地的灌溉和造景，应采用雨水等非传统水源，植物自然生长代谢或养护产生的干、枝、叶、皮等废弃物，应进行单独或区域性集中处理，转化成为种植肥料、绿化景观覆盖物或作为生物质材料再利用；</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3 小区、社区等场地内的绿地建设应选择适宜当地气候和土壤条件、低养护要求、安全无害的植物，采用灌木、乔木相结合的复层绿化方式，充分考虑场地、道路及住宅建筑冬季日照和夏季遮阴的需求，结合气候及建设条件，宜采用立体绿化等方式丰富景观层次、增加环境绿量；</w:t>
      </w:r>
    </w:p>
    <w:p>
      <w:pPr>
        <w:spacing w:line="360" w:lineRule="auto"/>
        <w:ind w:firstLine="420" w:firstLineChars="200"/>
        <w:rPr>
          <w:rFonts w:ascii="Times New Roman" w:hAnsi="Times New Roman" w:eastAsia="宋体" w:cs="Times New Roman"/>
          <w:b w:val="0"/>
          <w:bCs/>
          <w:szCs w:val="24"/>
          <w:lang w:val="zh-CN"/>
        </w:rPr>
      </w:pPr>
      <w:r>
        <w:rPr>
          <w:rFonts w:ascii="Times New Roman" w:hAnsi="Times New Roman" w:eastAsia="宋体" w:cs="Times New Roman"/>
          <w:b w:val="0"/>
          <w:bCs/>
          <w:szCs w:val="24"/>
          <w:lang w:val="zh-CN"/>
        </w:rPr>
        <w:t>4 小区、社区等场地内的绿地浇灌和景观造景所采用非传统水源的用水量占其总用水量的比例不低于80%，应积极利用河湖塘海等自然水体，结合自然水体的碳汇特征，进行针对性的景观设计；通过生态修复等手段，有条件时宜利用自然水体进行蓄能，提高其碳汇贡献。</w:t>
      </w:r>
    </w:p>
    <w:bookmarkEnd w:id="101"/>
    <w:p>
      <w:pPr>
        <w:pStyle w:val="30"/>
        <w:rPr>
          <w:rFonts w:ascii="Times New Roman" w:hAnsi="Times New Roman" w:cs="Times New Roman"/>
          <w:b w:val="0"/>
          <w:bCs/>
          <w:sz w:val="30"/>
          <w:szCs w:val="30"/>
        </w:rPr>
      </w:pPr>
      <w:bookmarkStart w:id="102" w:name="_Toc128988419"/>
      <w:r>
        <w:rPr>
          <w:rFonts w:ascii="Times New Roman" w:hAnsi="Times New Roman" w:cs="Times New Roman"/>
          <w:b w:val="0"/>
          <w:bCs/>
          <w:sz w:val="30"/>
          <w:szCs w:val="30"/>
        </w:rPr>
        <w:t>5.2 智慧区域</w:t>
      </w:r>
      <w:bookmarkEnd w:id="102"/>
    </w:p>
    <w:p>
      <w:pPr>
        <w:pStyle w:val="4"/>
        <w:spacing w:before="0" w:after="0" w:line="360" w:lineRule="auto"/>
        <w:rPr>
          <w:rFonts w:eastAsia="宋体" w:cs="Times New Roman"/>
          <w:b w:val="0"/>
          <w:bCs/>
        </w:rPr>
      </w:pPr>
      <w:r>
        <w:rPr>
          <w:rFonts w:eastAsia="宋体" w:cs="Times New Roman"/>
          <w:b w:val="0"/>
          <w:bCs/>
        </w:rPr>
        <w:t xml:space="preserve">5.2.1 </w:t>
      </w:r>
      <w:r>
        <w:rPr>
          <w:rFonts w:hint="eastAsia" w:eastAsia="宋体" w:cs="Times New Roman"/>
          <w:b w:val="0"/>
          <w:bCs/>
        </w:rPr>
        <w:t>区域</w:t>
      </w:r>
      <w:r>
        <w:rPr>
          <w:rFonts w:eastAsia="宋体" w:cs="Times New Roman"/>
          <w:b w:val="0"/>
          <w:bCs/>
        </w:rPr>
        <w:t>应设置碳排放管理平台，并应对区域内建筑、交通、市政和其他能源活动的碳排放进行数据收集与管理。</w:t>
      </w:r>
    </w:p>
    <w:p>
      <w:pPr>
        <w:spacing w:before="156" w:beforeLines="50"/>
        <w:rPr>
          <w:rFonts w:ascii="Times New Roman" w:hAnsi="Times New Roman" w:cs="Times New Roman"/>
          <w:b w:val="0"/>
          <w:bCs/>
        </w:rPr>
      </w:pPr>
    </w:p>
    <w:p>
      <w:pPr>
        <w:pStyle w:val="4"/>
        <w:spacing w:before="0" w:after="0" w:line="360" w:lineRule="auto"/>
        <w:rPr>
          <w:rFonts w:eastAsia="宋体" w:cs="Times New Roman"/>
          <w:b w:val="0"/>
          <w:bCs/>
        </w:rPr>
      </w:pPr>
      <w:r>
        <w:rPr>
          <w:rFonts w:eastAsia="宋体" w:cs="Times New Roman"/>
          <w:b w:val="0"/>
          <w:bCs/>
        </w:rPr>
        <w:t xml:space="preserve">5.2.2 区域碳排放管理系统应具备下列功能： </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 xml:space="preserve">1 区域内建筑、交通、市政和其他能源活动碳排放量的动态采集、计算、分析和展示；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rPr>
        <w:t>2 区域</w:t>
      </w:r>
      <w:r>
        <w:rPr>
          <w:rFonts w:ascii="Times New Roman" w:hAnsi="Times New Roman" w:eastAsia="宋体" w:cs="Times New Roman"/>
          <w:b w:val="0"/>
          <w:bCs/>
          <w:szCs w:val="32"/>
        </w:rPr>
        <w:t xml:space="preserve">碳排放数据的查询、报警、记录和下载；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 xml:space="preserve">3. 区域碳排放数据报表的生成； </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4. 与其他系统集成的能力和权限。</w:t>
      </w:r>
    </w:p>
    <w:p>
      <w:pPr>
        <w:spacing w:before="156" w:beforeLines="50"/>
        <w:rPr>
          <w:rFonts w:ascii="Times New Roman" w:hAnsi="Times New Roman" w:cs="Times New Roman"/>
          <w:b w:val="0"/>
          <w:bCs/>
        </w:rPr>
      </w:pPr>
    </w:p>
    <w:p>
      <w:pPr>
        <w:pStyle w:val="4"/>
        <w:spacing w:before="0" w:after="0" w:line="360" w:lineRule="auto"/>
        <w:rPr>
          <w:rFonts w:eastAsia="宋体" w:cs="Times New Roman"/>
          <w:b w:val="0"/>
          <w:bCs/>
        </w:rPr>
      </w:pPr>
      <w:r>
        <w:rPr>
          <w:rFonts w:eastAsia="宋体" w:cs="Times New Roman"/>
          <w:b w:val="0"/>
          <w:bCs/>
        </w:rPr>
        <w:t>5.2.3区域碳排放管理系统除应统筹建筑碳排放管理系统的计量和监测数据外，还应对下列内容进行计量和监测：</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1 区域能源站产能和用能量，以及用于本区域之外的外输量；</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 xml:space="preserve">2 区域内绿地、道路等公共场地安装的可再生能源设施发电量、区域用电量、向区域外的输电量； </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 xml:space="preserve">3 区域内外购绿色电力； </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4 区域电动汽车充电桩总充放电量；</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 xml:space="preserve">5 区域内市政照明用电量； </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6 区域公共场地与设施中的电梯和其他用电设施的用电量；</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7 区域场地和碳排放管理相关的其他用能及产能。</w:t>
      </w:r>
    </w:p>
    <w:p>
      <w:pPr>
        <w:spacing w:before="156" w:beforeLines="50"/>
        <w:rPr>
          <w:rFonts w:ascii="Times New Roman" w:hAnsi="Times New Roman" w:cs="Times New Roman"/>
          <w:b w:val="0"/>
          <w:bCs/>
        </w:rPr>
      </w:pPr>
    </w:p>
    <w:p>
      <w:pPr>
        <w:pStyle w:val="4"/>
        <w:spacing w:before="0" w:after="156" w:afterLines="50" w:line="360" w:lineRule="auto"/>
        <w:rPr>
          <w:rFonts w:eastAsia="宋体" w:cs="Times New Roman"/>
          <w:b w:val="0"/>
          <w:bCs/>
        </w:rPr>
      </w:pPr>
      <w:r>
        <w:rPr>
          <w:rFonts w:eastAsia="宋体" w:cs="Times New Roman"/>
          <w:b w:val="0"/>
          <w:bCs/>
        </w:rPr>
        <w:t>5.2.4 当区域内有能源微网系统时，应具有能源微网管理系统，系统应安全、高效运行。</w:t>
      </w:r>
    </w:p>
    <w:p>
      <w:pPr>
        <w:spacing w:before="156" w:beforeLines="50" w:line="360" w:lineRule="auto"/>
        <w:rPr>
          <w:rFonts w:ascii="Times New Roman" w:hAnsi="Times New Roman" w:eastAsia="楷体" w:cs="Times New Roman"/>
          <w:b w:val="0"/>
          <w:bCs/>
          <w:color w:val="111111"/>
          <w:szCs w:val="21"/>
        </w:rPr>
      </w:pPr>
    </w:p>
    <w:p>
      <w:pPr>
        <w:pStyle w:val="4"/>
        <w:spacing w:before="0" w:after="156" w:afterLines="50" w:line="360" w:lineRule="auto"/>
        <w:rPr>
          <w:rFonts w:eastAsia="宋体" w:cs="Times New Roman"/>
          <w:b w:val="0"/>
          <w:bCs/>
        </w:rPr>
      </w:pPr>
      <w:r>
        <w:rPr>
          <w:rFonts w:eastAsia="宋体" w:cs="Times New Roman"/>
          <w:b w:val="0"/>
          <w:bCs/>
        </w:rPr>
        <w:t>5.2.5 区域宜设置智能垃圾管理系统。</w:t>
      </w:r>
    </w:p>
    <w:p>
      <w:pPr>
        <w:spacing w:line="360" w:lineRule="auto"/>
        <w:rPr>
          <w:rFonts w:ascii="Times New Roman" w:hAnsi="Times New Roman" w:eastAsia="楷体" w:cs="Times New Roman"/>
          <w:b w:val="0"/>
          <w:bCs/>
          <w:color w:val="111111"/>
          <w:szCs w:val="21"/>
        </w:rPr>
      </w:pPr>
    </w:p>
    <w:p>
      <w:pPr>
        <w:pStyle w:val="4"/>
        <w:spacing w:before="0" w:after="156" w:afterLines="50" w:line="360" w:lineRule="auto"/>
        <w:rPr>
          <w:rFonts w:eastAsia="宋体" w:cs="Times New Roman"/>
          <w:b w:val="0"/>
          <w:bCs/>
        </w:rPr>
      </w:pPr>
      <w:r>
        <w:rPr>
          <w:rFonts w:eastAsia="宋体" w:cs="Times New Roman"/>
          <w:b w:val="0"/>
          <w:bCs/>
        </w:rPr>
        <w:t>5.2.6 区域宜设置水资源管理系统，区域中水和再生水应统筹利用。</w:t>
      </w:r>
    </w:p>
    <w:p>
      <w:pPr>
        <w:spacing w:before="156" w:beforeLines="50" w:line="360" w:lineRule="auto"/>
        <w:rPr>
          <w:rFonts w:ascii="Times New Roman" w:hAnsi="Times New Roman" w:eastAsia="楷体" w:cs="Times New Roman"/>
          <w:b w:val="0"/>
          <w:bCs/>
          <w:color w:val="111111"/>
          <w:szCs w:val="21"/>
        </w:rPr>
      </w:pPr>
    </w:p>
    <w:p>
      <w:pPr>
        <w:pStyle w:val="4"/>
        <w:spacing w:before="0" w:after="156" w:afterLines="50" w:line="360" w:lineRule="auto"/>
        <w:rPr>
          <w:rFonts w:eastAsia="宋体" w:cs="Times New Roman"/>
          <w:b w:val="0"/>
          <w:bCs/>
        </w:rPr>
      </w:pPr>
      <w:r>
        <w:rPr>
          <w:rFonts w:eastAsia="宋体" w:cs="Times New Roman"/>
          <w:b w:val="0"/>
          <w:bCs/>
        </w:rPr>
        <w:t xml:space="preserve">5.2.7 区域公共照明设施应采用智能照明控制和高效节能灯具。 </w:t>
      </w:r>
    </w:p>
    <w:p>
      <w:pPr>
        <w:spacing w:before="156" w:beforeLines="50" w:line="360" w:lineRule="auto"/>
        <w:rPr>
          <w:rFonts w:ascii="Times New Roman" w:hAnsi="Times New Roman" w:eastAsia="楷体" w:cs="Times New Roman"/>
          <w:b w:val="0"/>
          <w:bCs/>
          <w:color w:val="111111"/>
          <w:szCs w:val="21"/>
        </w:rPr>
      </w:pPr>
    </w:p>
    <w:p>
      <w:pPr>
        <w:pStyle w:val="4"/>
        <w:spacing w:before="0" w:after="156" w:afterLines="50" w:line="360" w:lineRule="auto"/>
        <w:rPr>
          <w:rFonts w:eastAsia="宋体" w:cs="Times New Roman"/>
          <w:b w:val="0"/>
          <w:bCs/>
        </w:rPr>
      </w:pPr>
      <w:r>
        <w:rPr>
          <w:rFonts w:eastAsia="宋体" w:cs="Times New Roman"/>
          <w:b w:val="0"/>
          <w:bCs/>
        </w:rPr>
        <w:t>5.2.8区域宜设置智慧交通管理系统。</w:t>
      </w:r>
    </w:p>
    <w:p>
      <w:pPr>
        <w:spacing w:before="156" w:beforeLines="50" w:line="360" w:lineRule="auto"/>
        <w:rPr>
          <w:rFonts w:ascii="Times New Roman" w:hAnsi="Times New Roman" w:eastAsia="宋体" w:cs="Times New Roman"/>
          <w:b w:val="0"/>
          <w:bCs/>
        </w:rPr>
      </w:pPr>
    </w:p>
    <w:p>
      <w:pPr>
        <w:pStyle w:val="4"/>
        <w:spacing w:before="0" w:after="0" w:line="360" w:lineRule="auto"/>
        <w:rPr>
          <w:rFonts w:eastAsia="宋体" w:cs="Times New Roman"/>
          <w:b w:val="0"/>
          <w:bCs/>
        </w:rPr>
      </w:pPr>
      <w:r>
        <w:rPr>
          <w:rFonts w:eastAsia="宋体" w:cs="Times New Roman"/>
          <w:b w:val="0"/>
          <w:bCs/>
        </w:rPr>
        <w:t>5.2.9区域宜设置电动汽车充电桩智能管理系统，且应符合下列规定：</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 xml:space="preserve">1. 电动充电桩充放电量的单独计量； </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2. 区域电动汽车充电桩的多用户分时共享模式；</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3 与可再生能源发电、建筑用电负荷管理等协同，实现电动车的智能柔性充放电；</w:t>
      </w:r>
    </w:p>
    <w:p>
      <w:pPr>
        <w:spacing w:after="156" w:afterLines="50"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 xml:space="preserve">4. 具备与其他系统集成的能力和权限。 </w:t>
      </w:r>
    </w:p>
    <w:p>
      <w:pPr>
        <w:pStyle w:val="4"/>
        <w:spacing w:before="0" w:after="156" w:afterLines="50" w:line="360" w:lineRule="auto"/>
        <w:rPr>
          <w:rFonts w:eastAsia="宋体" w:cs="Times New Roman"/>
          <w:b w:val="0"/>
          <w:bCs/>
        </w:rPr>
      </w:pPr>
      <w:r>
        <w:rPr>
          <w:rFonts w:eastAsia="宋体" w:cs="Times New Roman"/>
          <w:b w:val="0"/>
          <w:bCs/>
        </w:rPr>
        <w:t>5.2.10 区域公共场地与设施中的电梯宜采用待机功耗低的智慧节能电梯。</w:t>
      </w:r>
    </w:p>
    <w:p>
      <w:pPr>
        <w:widowControl/>
        <w:jc w:val="left"/>
        <w:rPr>
          <w:rFonts w:ascii="Times New Roman" w:hAnsi="Times New Roman" w:eastAsia="宋体" w:cs="Times New Roman"/>
          <w:b w:val="0"/>
          <w:bCs/>
          <w:sz w:val="32"/>
          <w:szCs w:val="32"/>
        </w:rPr>
      </w:pPr>
      <w:r>
        <w:rPr>
          <w:rFonts w:ascii="Times New Roman" w:hAnsi="Times New Roman" w:eastAsia="宋体" w:cs="Times New Roman"/>
          <w:b w:val="0"/>
          <w:bCs/>
          <w:sz w:val="32"/>
          <w:szCs w:val="32"/>
        </w:rPr>
        <w:br w:type="page"/>
      </w:r>
    </w:p>
    <w:p>
      <w:pPr>
        <w:pStyle w:val="40"/>
        <w:rPr>
          <w:rFonts w:ascii="Times New Roman" w:hAnsi="Times New Roman" w:cs="Times New Roman"/>
          <w:b w:val="0"/>
          <w:bCs/>
        </w:rPr>
      </w:pPr>
      <w:bookmarkStart w:id="103" w:name="_Toc128988420"/>
      <w:bookmarkStart w:id="104" w:name="_Toc5807"/>
      <w:r>
        <w:rPr>
          <w:rFonts w:ascii="Times New Roman" w:hAnsi="Times New Roman" w:cs="Times New Roman"/>
          <w:b w:val="0"/>
          <w:bCs/>
        </w:rPr>
        <w:t>6 低碳建造</w:t>
      </w:r>
      <w:bookmarkEnd w:id="103"/>
      <w:bookmarkEnd w:id="104"/>
    </w:p>
    <w:p>
      <w:pPr>
        <w:pStyle w:val="30"/>
        <w:rPr>
          <w:rFonts w:ascii="Times New Roman" w:hAnsi="Times New Roman" w:cs="Times New Roman"/>
          <w:b w:val="0"/>
          <w:bCs/>
          <w:sz w:val="30"/>
          <w:szCs w:val="30"/>
        </w:rPr>
      </w:pPr>
      <w:bookmarkStart w:id="105" w:name="_Toc128988421"/>
      <w:bookmarkStart w:id="106" w:name="_Toc22216"/>
      <w:r>
        <w:rPr>
          <w:rFonts w:ascii="Times New Roman" w:hAnsi="Times New Roman" w:cs="Times New Roman"/>
          <w:b w:val="0"/>
          <w:bCs/>
          <w:sz w:val="30"/>
          <w:szCs w:val="30"/>
        </w:rPr>
        <w:t>6.1 施工管理</w:t>
      </w:r>
      <w:bookmarkEnd w:id="105"/>
      <w:bookmarkEnd w:id="106"/>
    </w:p>
    <w:p>
      <w:pPr>
        <w:pStyle w:val="4"/>
        <w:spacing w:before="0" w:after="156" w:afterLines="50" w:line="360" w:lineRule="auto"/>
        <w:rPr>
          <w:rFonts w:ascii="Times New Roman" w:hAnsi="Times New Roman" w:eastAsia="楷体" w:cs="Times New Roman"/>
          <w:b w:val="0"/>
          <w:bCs/>
          <w:szCs w:val="21"/>
        </w:rPr>
      </w:pPr>
      <w:r>
        <w:rPr>
          <w:rFonts w:eastAsia="宋体" w:cs="Times New Roman"/>
          <w:b w:val="0"/>
          <w:bCs/>
        </w:rPr>
        <w:t>6.1.1 工程项目建造应实施降碳目标管理，促进设计、施工深度协同，实现建造全过程碳排放统筹与计量。</w:t>
      </w:r>
    </w:p>
    <w:p>
      <w:pPr>
        <w:pStyle w:val="4"/>
        <w:spacing w:before="156" w:beforeLines="50" w:after="156" w:afterLines="50" w:line="360" w:lineRule="auto"/>
        <w:rPr>
          <w:rFonts w:ascii="Times New Roman" w:hAnsi="Times New Roman" w:eastAsia="楷体_GB2312" w:cs="Times New Roman"/>
          <w:b w:val="0"/>
          <w:bCs/>
          <w:szCs w:val="28"/>
        </w:rPr>
      </w:pPr>
      <w:r>
        <w:rPr>
          <w:rFonts w:eastAsia="宋体" w:cs="Times New Roman"/>
          <w:b w:val="0"/>
          <w:bCs/>
        </w:rPr>
        <w:t>6.1.2施工前应进行低碳建造策划及施工阶段碳排放量测算，制定专项低碳建造方案，明确建造碳排放目标。专项低碳建造方案应包括施工现场内能源供应方案，宜采用清洁能源作为施工现场用能。</w:t>
      </w:r>
    </w:p>
    <w:p>
      <w:pPr>
        <w:pStyle w:val="4"/>
        <w:spacing w:before="156" w:beforeLines="50" w:after="0" w:line="360" w:lineRule="auto"/>
        <w:rPr>
          <w:rFonts w:eastAsia="宋体" w:cs="Times New Roman"/>
          <w:b w:val="0"/>
          <w:bCs/>
        </w:rPr>
      </w:pPr>
      <w:r>
        <w:rPr>
          <w:rFonts w:eastAsia="宋体" w:cs="Times New Roman"/>
          <w:b w:val="0"/>
          <w:bCs/>
        </w:rPr>
        <w:t>6.1.3 工程项目建造应进行施工现场场地布置规划，减少场地内运输能耗及碳排放。</w:t>
      </w:r>
    </w:p>
    <w:p>
      <w:pPr>
        <w:rPr>
          <w:rFonts w:ascii="Times New Roman" w:hAnsi="Times New Roman" w:eastAsia="楷体_GB2312" w:cs="Times New Roman"/>
          <w:b w:val="0"/>
          <w:bCs/>
          <w:szCs w:val="28"/>
        </w:rPr>
      </w:pPr>
    </w:p>
    <w:p>
      <w:pPr>
        <w:pStyle w:val="4"/>
        <w:rPr>
          <w:rFonts w:eastAsia="宋体" w:cs="Times New Roman"/>
          <w:b w:val="0"/>
          <w:bCs/>
        </w:rPr>
      </w:pPr>
      <w:r>
        <w:rPr>
          <w:rFonts w:eastAsia="宋体" w:cs="Times New Roman"/>
          <w:b w:val="0"/>
          <w:bCs/>
        </w:rPr>
        <w:t>6.1.4工程项目建造应编制施工现场建筑垃圾减量化专项方案，并按下列要求进行施工管理：</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1.现浇钢筋混凝土结构建筑的垃圾产生量应小于每平方米建筑面积30kg，装配式建筑的垃圾产生量应小于每平方米建筑面积20kg；</w:t>
      </w:r>
    </w:p>
    <w:p>
      <w:pPr>
        <w:spacing w:line="360" w:lineRule="auto"/>
        <w:ind w:firstLine="420" w:firstLineChars="200"/>
        <w:rPr>
          <w:rFonts w:ascii="Times New Roman" w:hAnsi="Times New Roman" w:eastAsia="宋体" w:cs="Times New Roman"/>
          <w:b w:val="0"/>
          <w:bCs/>
        </w:rPr>
      </w:pPr>
      <w:r>
        <w:rPr>
          <w:rFonts w:ascii="Times New Roman" w:hAnsi="Times New Roman" w:eastAsia="宋体" w:cs="Times New Roman"/>
          <w:b w:val="0"/>
          <w:bCs/>
        </w:rPr>
        <w:t>2.施工产生的建筑垃圾应进行分类收集及综合利用，回收率应达到90%以上，综合利用率应达到60%以上。</w:t>
      </w:r>
    </w:p>
    <w:p>
      <w:pPr>
        <w:pStyle w:val="4"/>
        <w:spacing w:before="156" w:beforeLines="50" w:after="0" w:line="360" w:lineRule="auto"/>
        <w:rPr>
          <w:rFonts w:eastAsia="宋体" w:cs="Times New Roman"/>
          <w:b w:val="0"/>
          <w:bCs/>
        </w:rPr>
      </w:pPr>
      <w:r>
        <w:rPr>
          <w:rFonts w:eastAsia="宋体" w:cs="Times New Roman"/>
          <w:b w:val="0"/>
          <w:bCs/>
        </w:rPr>
        <w:t>6.1.5施工现场的生产、生活、办公用房应采用保温隔热、遮阳等被动式方式。</w:t>
      </w:r>
    </w:p>
    <w:p>
      <w:pPr>
        <w:pStyle w:val="4"/>
        <w:spacing w:before="156" w:beforeLines="50" w:after="0" w:line="360" w:lineRule="auto"/>
        <w:rPr>
          <w:rFonts w:eastAsia="宋体" w:cs="Times New Roman"/>
          <w:b w:val="0"/>
          <w:bCs/>
        </w:rPr>
      </w:pPr>
      <w:r>
        <w:rPr>
          <w:rFonts w:eastAsia="宋体" w:cs="Times New Roman"/>
          <w:b w:val="0"/>
          <w:bCs/>
        </w:rPr>
        <w:t>6.1.6 施工现场的生产、生活、办公主要用能设备应符合下列规定：</w:t>
      </w:r>
    </w:p>
    <w:p>
      <w:pPr>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1 应采用节能高效设备；</w:t>
      </w:r>
    </w:p>
    <w:p>
      <w:pPr>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2 应采用节能照明灯具；</w:t>
      </w:r>
    </w:p>
    <w:p>
      <w:pPr>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3 宜采用新能源施工机具与运输设备；</w:t>
      </w:r>
    </w:p>
    <w:p>
      <w:pPr>
        <w:spacing w:after="156" w:afterLines="50"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4 应监控重点能耗设备，对多台同类设备实施群控管理。</w:t>
      </w:r>
    </w:p>
    <w:p>
      <w:pPr>
        <w:pStyle w:val="4"/>
        <w:spacing w:before="156" w:beforeLines="50" w:after="0" w:line="360" w:lineRule="auto"/>
        <w:rPr>
          <w:rFonts w:eastAsia="宋体" w:cs="Times New Roman"/>
          <w:b w:val="0"/>
          <w:bCs/>
        </w:rPr>
      </w:pPr>
      <w:r>
        <w:rPr>
          <w:rFonts w:eastAsia="宋体" w:cs="Times New Roman"/>
          <w:b w:val="0"/>
          <w:bCs/>
        </w:rPr>
        <w:t>6.1.7 施工时应进行施工现场用能及碳排放量统计，统计内容应包括施工现场内工作区、材料堆放区、办公区、生活区等，竣工后应基于实际能源消耗种类及数量进行碳核查。</w:t>
      </w:r>
    </w:p>
    <w:p>
      <w:pPr>
        <w:rPr>
          <w:rFonts w:ascii="Times New Roman" w:hAnsi="Times New Roman" w:cs="Times New Roman"/>
          <w:b w:val="0"/>
          <w:bCs/>
        </w:rPr>
      </w:pPr>
    </w:p>
    <w:p>
      <w:pPr>
        <w:pStyle w:val="4"/>
        <w:spacing w:before="156" w:beforeLines="50" w:after="0" w:line="360" w:lineRule="auto"/>
        <w:rPr>
          <w:rFonts w:eastAsia="宋体" w:cs="Times New Roman"/>
          <w:b w:val="0"/>
          <w:bCs/>
        </w:rPr>
      </w:pPr>
      <w:r>
        <w:rPr>
          <w:rFonts w:eastAsia="宋体" w:cs="Times New Roman"/>
          <w:b w:val="0"/>
          <w:bCs/>
        </w:rPr>
        <w:t xml:space="preserve">6.1.8 施工现场碳排放宜采用信息化平台监测和管理。 </w:t>
      </w:r>
    </w:p>
    <w:p>
      <w:pPr>
        <w:rPr>
          <w:rFonts w:ascii="Times New Roman" w:hAnsi="Times New Roman" w:cs="Times New Roman"/>
          <w:b w:val="0"/>
          <w:bCs/>
        </w:rPr>
      </w:pPr>
    </w:p>
    <w:p>
      <w:pPr>
        <w:rPr>
          <w:rFonts w:ascii="Times New Roman" w:hAnsi="Times New Roman" w:cs="Times New Roman"/>
          <w:b w:val="0"/>
          <w:bCs/>
        </w:rPr>
      </w:pPr>
    </w:p>
    <w:p>
      <w:pPr>
        <w:pStyle w:val="30"/>
        <w:widowControl/>
        <w:rPr>
          <w:rFonts w:ascii="Times New Roman" w:hAnsi="Times New Roman" w:cs="Times New Roman"/>
          <w:b w:val="0"/>
          <w:bCs/>
          <w:sz w:val="30"/>
          <w:szCs w:val="30"/>
        </w:rPr>
      </w:pPr>
      <w:bookmarkStart w:id="107" w:name="_Toc27347"/>
      <w:bookmarkStart w:id="108" w:name="_Toc128988422"/>
      <w:r>
        <w:rPr>
          <w:rFonts w:ascii="Times New Roman" w:hAnsi="Times New Roman" w:cs="Times New Roman"/>
          <w:b w:val="0"/>
          <w:bCs/>
          <w:sz w:val="30"/>
          <w:szCs w:val="30"/>
        </w:rPr>
        <w:t>6.2 施工</w:t>
      </w:r>
      <w:bookmarkEnd w:id="107"/>
      <w:r>
        <w:rPr>
          <w:rFonts w:ascii="Times New Roman" w:hAnsi="Times New Roman" w:cs="Times New Roman"/>
          <w:b w:val="0"/>
          <w:bCs/>
          <w:sz w:val="30"/>
          <w:szCs w:val="30"/>
        </w:rPr>
        <w:t>措施</w:t>
      </w:r>
      <w:bookmarkEnd w:id="108"/>
    </w:p>
    <w:p>
      <w:pPr>
        <w:pStyle w:val="4"/>
        <w:spacing w:before="156" w:beforeLines="50" w:after="0" w:line="360" w:lineRule="auto"/>
        <w:rPr>
          <w:rFonts w:eastAsia="宋体" w:cs="Times New Roman"/>
          <w:b w:val="0"/>
          <w:bCs/>
        </w:rPr>
      </w:pPr>
      <w:r>
        <w:rPr>
          <w:rFonts w:eastAsia="宋体" w:cs="Times New Roman"/>
          <w:b w:val="0"/>
          <w:bCs/>
        </w:rPr>
        <w:t>6.2.1 工程项目建造宜采用智能建造方式，提高效率，减少损耗。</w:t>
      </w:r>
    </w:p>
    <w:p>
      <w:pPr>
        <w:pStyle w:val="4"/>
        <w:spacing w:before="156" w:beforeLines="50" w:after="0" w:line="360" w:lineRule="auto"/>
        <w:rPr>
          <w:rFonts w:eastAsia="宋体" w:cs="Times New Roman"/>
          <w:b w:val="0"/>
          <w:bCs/>
        </w:rPr>
      </w:pPr>
      <w:r>
        <w:rPr>
          <w:rFonts w:eastAsia="宋体" w:cs="Times New Roman"/>
          <w:b w:val="0"/>
          <w:bCs/>
        </w:rPr>
        <w:t xml:space="preserve">6.2.2 </w:t>
      </w:r>
      <w:r>
        <w:rPr>
          <w:rFonts w:hint="eastAsia" w:eastAsia="宋体" w:cs="Times New Roman"/>
          <w:b w:val="0"/>
          <w:bCs/>
        </w:rPr>
        <w:t>建筑</w:t>
      </w:r>
      <w:r>
        <w:rPr>
          <w:rFonts w:eastAsia="宋体" w:cs="Times New Roman"/>
          <w:b w:val="0"/>
          <w:bCs/>
        </w:rPr>
        <w:t>宜采用装配式预制构件，与设计、物流、现场施工进行有效协同与联动。</w:t>
      </w:r>
    </w:p>
    <w:p>
      <w:pPr>
        <w:pStyle w:val="4"/>
        <w:spacing w:before="156" w:beforeLines="50" w:after="0" w:line="360" w:lineRule="auto"/>
        <w:rPr>
          <w:rFonts w:eastAsia="宋体" w:cs="Times New Roman"/>
          <w:b w:val="0"/>
          <w:bCs/>
        </w:rPr>
      </w:pPr>
      <w:r>
        <w:rPr>
          <w:rFonts w:eastAsia="宋体" w:cs="Times New Roman"/>
          <w:b w:val="0"/>
          <w:bCs/>
        </w:rPr>
        <w:t xml:space="preserve">6.2.3 </w:t>
      </w:r>
      <w:r>
        <w:rPr>
          <w:rFonts w:hint="eastAsia" w:eastAsia="宋体" w:cs="Times New Roman"/>
          <w:b w:val="0"/>
          <w:bCs/>
        </w:rPr>
        <w:t>建筑</w:t>
      </w:r>
      <w:r>
        <w:rPr>
          <w:rFonts w:eastAsia="宋体" w:cs="Times New Roman"/>
          <w:b w:val="0"/>
          <w:bCs/>
        </w:rPr>
        <w:t>宜采用装配式装修等干式法施工工艺及集成厨卫等模块化部品部件。</w:t>
      </w:r>
    </w:p>
    <w:p>
      <w:pPr>
        <w:pStyle w:val="4"/>
        <w:spacing w:before="156" w:beforeLines="50" w:after="0" w:line="360" w:lineRule="auto"/>
        <w:rPr>
          <w:rFonts w:eastAsia="宋体" w:cs="Times New Roman"/>
          <w:b w:val="0"/>
          <w:bCs/>
        </w:rPr>
      </w:pPr>
      <w:r>
        <w:rPr>
          <w:rFonts w:eastAsia="宋体" w:cs="Times New Roman"/>
          <w:b w:val="0"/>
          <w:bCs/>
        </w:rPr>
        <w:t>6.2.4 室外道路、消防管道、现场围挡及雨水收集利用设施等宜实现永临结合。</w:t>
      </w:r>
    </w:p>
    <w:p>
      <w:pPr>
        <w:pStyle w:val="4"/>
        <w:spacing w:before="0" w:after="100" w:afterAutospacing="1" w:line="360" w:lineRule="auto"/>
        <w:rPr>
          <w:rFonts w:eastAsia="宋体" w:cs="Times New Roman"/>
          <w:b w:val="0"/>
          <w:bCs/>
        </w:rPr>
      </w:pPr>
      <w:r>
        <w:rPr>
          <w:rFonts w:eastAsia="宋体" w:cs="Times New Roman"/>
          <w:b w:val="0"/>
          <w:bCs/>
        </w:rPr>
        <w:t>6.2.5 施工临时设施和周转材料应符合下列规定：</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1 除现场模板外的非实体材料可重复使用率不低于70%；</w:t>
      </w:r>
    </w:p>
    <w:p>
      <w:pPr>
        <w:spacing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2 模板周转次数不低于6次，宜使用铝合金模板等新型模架体系；</w:t>
      </w:r>
    </w:p>
    <w:p>
      <w:pPr>
        <w:spacing w:after="156" w:afterLines="50" w:line="360" w:lineRule="auto"/>
        <w:ind w:firstLine="420" w:firstLineChars="200"/>
        <w:rPr>
          <w:rFonts w:ascii="Times New Roman" w:hAnsi="Times New Roman" w:eastAsia="宋体" w:cs="Times New Roman"/>
          <w:b w:val="0"/>
          <w:bCs/>
          <w:szCs w:val="32"/>
        </w:rPr>
      </w:pPr>
      <w:r>
        <w:rPr>
          <w:rFonts w:ascii="Times New Roman" w:hAnsi="Times New Roman" w:eastAsia="宋体" w:cs="Times New Roman"/>
          <w:b w:val="0"/>
          <w:bCs/>
          <w:szCs w:val="32"/>
        </w:rPr>
        <w:t>3 办公及生活用房采用周转次数高的模块化集成房屋。</w:t>
      </w:r>
    </w:p>
    <w:p>
      <w:pPr>
        <w:pStyle w:val="30"/>
        <w:widowControl/>
        <w:rPr>
          <w:rFonts w:ascii="Times New Roman" w:hAnsi="Times New Roman" w:cs="Times New Roman"/>
          <w:b w:val="0"/>
          <w:bCs/>
          <w:sz w:val="30"/>
          <w:szCs w:val="30"/>
        </w:rPr>
      </w:pPr>
      <w:bookmarkStart w:id="109" w:name="_Toc6494"/>
      <w:bookmarkStart w:id="110" w:name="_Toc128988423"/>
      <w:r>
        <w:rPr>
          <w:rFonts w:ascii="Times New Roman" w:hAnsi="Times New Roman" w:cs="Times New Roman"/>
          <w:b w:val="0"/>
          <w:bCs/>
          <w:sz w:val="30"/>
          <w:szCs w:val="30"/>
        </w:rPr>
        <w:t>6.3 拆除与回收</w:t>
      </w:r>
      <w:bookmarkEnd w:id="109"/>
      <w:bookmarkEnd w:id="110"/>
    </w:p>
    <w:p>
      <w:pPr>
        <w:pStyle w:val="4"/>
        <w:spacing w:before="156" w:beforeLines="50" w:after="0" w:line="360" w:lineRule="auto"/>
        <w:rPr>
          <w:rFonts w:eastAsia="宋体" w:cs="Times New Roman"/>
          <w:b w:val="0"/>
          <w:bCs/>
        </w:rPr>
      </w:pPr>
      <w:r>
        <w:rPr>
          <w:rFonts w:eastAsia="宋体" w:cs="Times New Roman"/>
          <w:b w:val="0"/>
          <w:bCs/>
        </w:rPr>
        <w:t xml:space="preserve">6.3.1 </w:t>
      </w:r>
      <w:r>
        <w:rPr>
          <w:rFonts w:hint="eastAsia" w:eastAsia="宋体" w:cs="Times New Roman"/>
          <w:b w:val="0"/>
          <w:bCs/>
        </w:rPr>
        <w:t>施工单位</w:t>
      </w:r>
      <w:r>
        <w:rPr>
          <w:rFonts w:eastAsia="宋体" w:cs="Times New Roman"/>
          <w:b w:val="0"/>
          <w:bCs/>
        </w:rPr>
        <w:t>应制定专项拆除施工方案及资源化利用方案，拆除前应对工程所在地建筑预产生垃圾进行识别与分类。</w:t>
      </w:r>
    </w:p>
    <w:p>
      <w:pPr>
        <w:pStyle w:val="4"/>
        <w:spacing w:before="156" w:beforeLines="50" w:after="156" w:afterLines="50" w:line="360" w:lineRule="auto"/>
        <w:rPr>
          <w:rFonts w:eastAsia="宋体" w:cs="Times New Roman"/>
          <w:b w:val="0"/>
          <w:bCs/>
        </w:rPr>
      </w:pPr>
      <w:r>
        <w:rPr>
          <w:rFonts w:eastAsia="宋体" w:cs="Times New Roman"/>
          <w:b w:val="0"/>
          <w:bCs/>
        </w:rPr>
        <w:t>6.3.2 拆除垃圾应实现分类收集、运输及处理处置，拆除垃圾的处置应符合现行行业标准《建筑垃圾处理技术标准》CJJ/T134的规定，优先考虑资源化利用。</w:t>
      </w:r>
    </w:p>
    <w:p>
      <w:pPr>
        <w:widowControl/>
        <w:jc w:val="left"/>
        <w:rPr>
          <w:rFonts w:ascii="Times New Roman" w:hAnsi="Times New Roman" w:cs="Times New Roman"/>
          <w:b w:val="0"/>
          <w:bCs/>
        </w:rPr>
      </w:pPr>
    </w:p>
    <w:p>
      <w:pPr>
        <w:rPr>
          <w:rFonts w:ascii="Times New Roman" w:hAnsi="Times New Roman" w:cs="Times New Roman"/>
          <w:b w:val="0"/>
          <w:bCs/>
        </w:rPr>
      </w:pPr>
      <w:bookmarkStart w:id="111" w:name="_Toc128988424"/>
      <w:bookmarkStart w:id="112" w:name="_Toc22181"/>
      <w:r>
        <w:rPr>
          <w:rFonts w:ascii="Times New Roman" w:hAnsi="Times New Roman" w:cs="Times New Roman"/>
          <w:b w:val="0"/>
          <w:bCs/>
        </w:rPr>
        <w:br w:type="page"/>
      </w:r>
    </w:p>
    <w:p>
      <w:pPr>
        <w:pStyle w:val="40"/>
        <w:rPr>
          <w:rFonts w:ascii="Times New Roman" w:hAnsi="Times New Roman" w:cs="Times New Roman"/>
          <w:b w:val="0"/>
          <w:bCs/>
        </w:rPr>
      </w:pPr>
      <w:r>
        <w:rPr>
          <w:rFonts w:ascii="Times New Roman" w:hAnsi="Times New Roman" w:cs="Times New Roman"/>
          <w:b w:val="0"/>
          <w:bCs/>
        </w:rPr>
        <w:t>7 低碳运行</w:t>
      </w:r>
      <w:bookmarkEnd w:id="111"/>
      <w:bookmarkEnd w:id="112"/>
    </w:p>
    <w:p>
      <w:pPr>
        <w:pStyle w:val="30"/>
        <w:widowControl/>
        <w:rPr>
          <w:rFonts w:ascii="Times New Roman" w:hAnsi="Times New Roman" w:cs="Times New Roman"/>
          <w:b w:val="0"/>
          <w:bCs/>
          <w:sz w:val="30"/>
          <w:szCs w:val="30"/>
        </w:rPr>
      </w:pPr>
      <w:bookmarkStart w:id="113" w:name="_Toc128988425"/>
      <w:bookmarkStart w:id="114" w:name="_Toc120665357"/>
      <w:bookmarkStart w:id="115" w:name="_Toc26955"/>
      <w:bookmarkStart w:id="116" w:name="_Toc116399457"/>
      <w:r>
        <w:rPr>
          <w:rFonts w:ascii="Times New Roman" w:hAnsi="Times New Roman" w:cs="Times New Roman"/>
          <w:b w:val="0"/>
          <w:bCs/>
          <w:sz w:val="30"/>
          <w:szCs w:val="30"/>
        </w:rPr>
        <w:t>7.1 一般规定</w:t>
      </w:r>
      <w:bookmarkEnd w:id="113"/>
      <w:bookmarkEnd w:id="114"/>
      <w:bookmarkEnd w:id="115"/>
      <w:bookmarkEnd w:id="116"/>
    </w:p>
    <w:p>
      <w:pPr>
        <w:pStyle w:val="4"/>
        <w:rPr>
          <w:rFonts w:cs="Times New Roman"/>
          <w:b w:val="0"/>
          <w:bCs/>
        </w:rPr>
      </w:pPr>
      <w:r>
        <w:rPr>
          <w:rFonts w:cs="Times New Roman"/>
          <w:b w:val="0"/>
          <w:bCs/>
        </w:rPr>
        <w:t>7.1.1 建筑低碳运行应以保障室内环境为前提，以降低建筑运行的能耗和碳排放为目标。</w:t>
      </w:r>
    </w:p>
    <w:p>
      <w:pPr>
        <w:pStyle w:val="4"/>
        <w:rPr>
          <w:rFonts w:ascii="Times New Roman" w:hAnsi="Times New Roman" w:eastAsia="仿宋" w:cs="Times New Roman"/>
          <w:b w:val="0"/>
          <w:bCs/>
          <w:color w:val="000000"/>
          <w:kern w:val="0"/>
          <w:sz w:val="24"/>
          <w:szCs w:val="24"/>
          <w:lang w:bidi="ar"/>
        </w:rPr>
      </w:pPr>
      <w:r>
        <w:rPr>
          <w:rFonts w:cs="Times New Roman"/>
          <w:b w:val="0"/>
          <w:bCs/>
        </w:rPr>
        <w:t>7.1.2 区域低碳运行应以控制和削减碳排放为目标，基于建筑、能源、市政、交通、可再生能源、蓄能、碳汇等多领域低碳技术，优化和提升运行管理，实现区域内能源利用效率的持续优化和碳排放量持续降低。</w:t>
      </w:r>
    </w:p>
    <w:p>
      <w:pPr>
        <w:pStyle w:val="4"/>
        <w:rPr>
          <w:rFonts w:cs="Times New Roman"/>
          <w:b w:val="0"/>
          <w:bCs/>
        </w:rPr>
      </w:pPr>
      <w:r>
        <w:rPr>
          <w:rFonts w:cs="Times New Roman"/>
          <w:b w:val="0"/>
          <w:bCs/>
        </w:rPr>
        <w:t>7.1.3 建筑和区域的运行碳排放应基于监测数据进行核算。核算对象应为建筑与区域运营过程中所产生的二氧化碳气体排放。运行碳排放核算应符合下列规定：</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1 基于建筑和区域各用能系统的运行计量数据；</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2 排放源应计入直接碳排放和间接碳排放。</w:t>
      </w:r>
    </w:p>
    <w:p>
      <w:pPr>
        <w:pStyle w:val="4"/>
        <w:rPr>
          <w:rFonts w:cs="Times New Roman"/>
          <w:b w:val="0"/>
          <w:bCs/>
        </w:rPr>
      </w:pPr>
      <w:r>
        <w:rPr>
          <w:rFonts w:cs="Times New Roman"/>
          <w:b w:val="0"/>
          <w:bCs/>
        </w:rPr>
        <w:t>7.1.4 建筑和区域应通过数字化、智能算法、柔性调配等手段持续优化低碳运行的管理措施，并根据建筑和区域运行碳排放年度核算结果对低碳运行目标进行动态调整。</w:t>
      </w:r>
    </w:p>
    <w:p>
      <w:pPr>
        <w:pStyle w:val="30"/>
        <w:widowControl/>
        <w:rPr>
          <w:rFonts w:ascii="Times New Roman" w:hAnsi="Times New Roman" w:cs="Times New Roman"/>
          <w:b w:val="0"/>
          <w:bCs/>
          <w:sz w:val="30"/>
          <w:szCs w:val="30"/>
        </w:rPr>
      </w:pPr>
      <w:bookmarkStart w:id="117" w:name="_Toc8795"/>
      <w:bookmarkStart w:id="118" w:name="_Toc116399458"/>
      <w:bookmarkStart w:id="119" w:name="_Toc128988426"/>
      <w:r>
        <w:rPr>
          <w:rFonts w:ascii="Times New Roman" w:hAnsi="Times New Roman" w:cs="Times New Roman"/>
          <w:b w:val="0"/>
          <w:bCs/>
          <w:sz w:val="30"/>
          <w:szCs w:val="30"/>
        </w:rPr>
        <w:t>7.2 调适</w:t>
      </w:r>
      <w:bookmarkEnd w:id="117"/>
      <w:r>
        <w:rPr>
          <w:rFonts w:ascii="Times New Roman" w:hAnsi="Times New Roman" w:cs="Times New Roman"/>
          <w:b w:val="0"/>
          <w:bCs/>
          <w:sz w:val="30"/>
          <w:szCs w:val="30"/>
        </w:rPr>
        <w:t>和维护</w:t>
      </w:r>
      <w:bookmarkEnd w:id="118"/>
      <w:bookmarkEnd w:id="119"/>
    </w:p>
    <w:p>
      <w:pPr>
        <w:pStyle w:val="4"/>
        <w:rPr>
          <w:rFonts w:cs="Times New Roman"/>
          <w:b w:val="0"/>
          <w:bCs/>
        </w:rPr>
      </w:pPr>
      <w:r>
        <w:rPr>
          <w:rFonts w:cs="Times New Roman"/>
          <w:b w:val="0"/>
          <w:bCs/>
        </w:rPr>
        <w:t>7.2.1 设备系统应建立综合调适制度，并进行综合能效调适。综合调适制度应明确各参与方的职责、调适流程、调适内容、工作范围、调适人员、时间计划及相关配合事宜。</w:t>
      </w:r>
    </w:p>
    <w:p>
      <w:pPr>
        <w:pStyle w:val="4"/>
        <w:rPr>
          <w:rFonts w:cs="Times New Roman"/>
          <w:b w:val="0"/>
          <w:bCs/>
        </w:rPr>
      </w:pPr>
      <w:r>
        <w:rPr>
          <w:rFonts w:cs="Times New Roman"/>
          <w:b w:val="0"/>
          <w:bCs/>
        </w:rPr>
        <w:t>7.2.2 设备系统综合调适应符合下列规定：</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1 应从正式投入使用开始，一般不少于三个完整年度；</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2 应以满足建筑或区域的设计能效为系统调适目标；</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3  调适目标的实现应通过运维管理水平提升、建筑设备与系统校正、运行与控制策略优化等途径；</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4  覆盖但不限于暖通空调系统、新型供配电系统、电气与照明系统、给排水系统、可调节的围护结构系统及智能化控制系统；</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5  基本内容应包括夏季工况、冬季工况以及过渡季节部分负荷工况的调适和性能验证；</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6  综合调适报告应包含施工质量检查报告，风系统、水系统平衡验证报告，自控验证报告，系统联合运转报告，综合效能调适过程中发现的问题日志及解决方案；</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7 建筑或区域运行过程中，当使用功能发生重大改变，或对用能系统进行改造后，应重新确定</w:t>
      </w:r>
      <w:r>
        <w:rPr>
          <w:rFonts w:ascii="Times New Roman" w:hAnsi="Times New Roman" w:cs="Times New Roman"/>
          <w:b w:val="0"/>
          <w:bCs/>
        </w:rPr>
        <w:t>建筑或区域的年度碳排放指标，并</w:t>
      </w:r>
      <w:r>
        <w:rPr>
          <w:rFonts w:ascii="Times New Roman" w:hAnsi="Times New Roman" w:eastAsia="宋体" w:cs="Times New Roman"/>
          <w:b w:val="0"/>
          <w:bCs/>
        </w:rPr>
        <w:t>在建筑或区域恢复运行的第一个年度重新启动能源设备系统综合调适。</w:t>
      </w:r>
    </w:p>
    <w:p>
      <w:pPr>
        <w:pStyle w:val="4"/>
        <w:rPr>
          <w:rFonts w:cs="Times New Roman"/>
          <w:b w:val="0"/>
          <w:bCs/>
        </w:rPr>
      </w:pPr>
      <w:r>
        <w:rPr>
          <w:rFonts w:cs="Times New Roman"/>
          <w:b w:val="0"/>
          <w:bCs/>
        </w:rPr>
        <w:t>7.2.3 系统设备维护应有利于控制和降低碳排放，并应符合下列规定：</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1 维持设备系统的高能效运行状态；</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2 设备和建筑构件的维修或更换应基于技术经济比较和碳排放计算比较。</w:t>
      </w:r>
    </w:p>
    <w:p>
      <w:pPr>
        <w:rPr>
          <w:rFonts w:ascii="Times New Roman" w:hAnsi="Times New Roman" w:cs="Times New Roman"/>
          <w:b w:val="0"/>
          <w:bCs/>
        </w:rPr>
      </w:pPr>
    </w:p>
    <w:p>
      <w:pPr>
        <w:rPr>
          <w:rFonts w:ascii="Times New Roman" w:hAnsi="Times New Roman" w:cs="Times New Roman"/>
          <w:b w:val="0"/>
          <w:bCs/>
        </w:rPr>
      </w:pPr>
    </w:p>
    <w:p>
      <w:pPr>
        <w:pStyle w:val="30"/>
        <w:widowControl/>
        <w:rPr>
          <w:rFonts w:ascii="Times New Roman" w:hAnsi="Times New Roman" w:cs="Times New Roman"/>
          <w:b w:val="0"/>
          <w:bCs/>
          <w:sz w:val="30"/>
          <w:szCs w:val="30"/>
        </w:rPr>
      </w:pPr>
      <w:bookmarkStart w:id="120" w:name="_Toc128988427"/>
      <w:bookmarkStart w:id="121" w:name="_Toc29392"/>
      <w:bookmarkStart w:id="122" w:name="_Toc116399459"/>
      <w:r>
        <w:rPr>
          <w:rFonts w:ascii="Times New Roman" w:hAnsi="Times New Roman" w:cs="Times New Roman"/>
          <w:b w:val="0"/>
          <w:bCs/>
          <w:sz w:val="30"/>
          <w:szCs w:val="30"/>
        </w:rPr>
        <w:t>7.3 低碳运行管理</w:t>
      </w:r>
      <w:bookmarkEnd w:id="120"/>
      <w:bookmarkEnd w:id="121"/>
      <w:bookmarkEnd w:id="122"/>
    </w:p>
    <w:p>
      <w:pPr>
        <w:pStyle w:val="4"/>
        <w:rPr>
          <w:rFonts w:cs="Times New Roman"/>
          <w:b w:val="0"/>
          <w:bCs/>
        </w:rPr>
      </w:pPr>
      <w:r>
        <w:rPr>
          <w:rFonts w:cs="Times New Roman"/>
          <w:b w:val="0"/>
          <w:bCs/>
        </w:rPr>
        <w:t xml:space="preserve">7.3.1 </w:t>
      </w:r>
      <w:r>
        <w:rPr>
          <w:rFonts w:hint="eastAsia" w:cs="Times New Roman"/>
          <w:b w:val="0"/>
          <w:bCs/>
        </w:rPr>
        <w:t>建筑和区域</w:t>
      </w:r>
      <w:r>
        <w:rPr>
          <w:rFonts w:cs="Times New Roman"/>
          <w:b w:val="0"/>
          <w:bCs/>
        </w:rPr>
        <w:t>应建立智能化低碳运行维护工作体系，包括系统运行、系统维护、系统维修和系统优化等方面内容。</w:t>
      </w:r>
    </w:p>
    <w:p>
      <w:pPr>
        <w:pStyle w:val="4"/>
        <w:rPr>
          <w:rFonts w:cs="Times New Roman"/>
          <w:b w:val="0"/>
          <w:bCs/>
        </w:rPr>
      </w:pPr>
      <w:r>
        <w:rPr>
          <w:rFonts w:cs="Times New Roman"/>
          <w:b w:val="0"/>
          <w:bCs/>
        </w:rPr>
        <w:t>7.3.2每月宜检查建筑系统和设备的控制器、内置电池、系统通信、控制逻辑算法、联动功能的工作状态。宜每季度监测校正传感器和执行器。</w:t>
      </w:r>
    </w:p>
    <w:p>
      <w:pPr>
        <w:rPr>
          <w:rFonts w:ascii="Times New Roman" w:hAnsi="Times New Roman" w:cs="Times New Roman"/>
          <w:b w:val="0"/>
          <w:bCs/>
        </w:rPr>
      </w:pPr>
    </w:p>
    <w:p>
      <w:pPr>
        <w:pStyle w:val="4"/>
        <w:rPr>
          <w:rFonts w:cs="Times New Roman"/>
          <w:b w:val="0"/>
          <w:bCs/>
        </w:rPr>
      </w:pPr>
      <w:r>
        <w:rPr>
          <w:rFonts w:cs="Times New Roman"/>
          <w:b w:val="0"/>
          <w:bCs/>
        </w:rPr>
        <w:t xml:space="preserve">7.3.3 </w:t>
      </w:r>
      <w:r>
        <w:rPr>
          <w:rFonts w:hint="eastAsia" w:cs="Times New Roman"/>
          <w:b w:val="0"/>
          <w:bCs/>
        </w:rPr>
        <w:t>建筑和区域</w:t>
      </w:r>
      <w:r>
        <w:rPr>
          <w:rFonts w:cs="Times New Roman"/>
          <w:b w:val="0"/>
          <w:bCs/>
        </w:rPr>
        <w:t>应根据季节变化及建筑使用的实际情况，增加和细化调整系统的联动功能、运行参数、工作模式、控制逻辑以及报表输出的类型和方式。</w:t>
      </w:r>
    </w:p>
    <w:p>
      <w:pPr>
        <w:widowControl/>
        <w:spacing w:line="360" w:lineRule="auto"/>
        <w:ind w:firstLine="420"/>
        <w:jc w:val="left"/>
        <w:rPr>
          <w:rFonts w:ascii="Times New Roman" w:hAnsi="Times New Roman" w:eastAsia="楷体" w:cs="Times New Roman"/>
          <w:b w:val="0"/>
          <w:bCs/>
          <w:color w:val="000000"/>
          <w:kern w:val="0"/>
          <w:szCs w:val="21"/>
          <w:lang w:bidi="ar"/>
        </w:rPr>
      </w:pPr>
    </w:p>
    <w:p>
      <w:pPr>
        <w:pStyle w:val="4"/>
        <w:rPr>
          <w:rFonts w:cs="Times New Roman"/>
          <w:b w:val="0"/>
          <w:bCs/>
        </w:rPr>
      </w:pPr>
      <w:r>
        <w:rPr>
          <w:rFonts w:cs="Times New Roman"/>
          <w:b w:val="0"/>
          <w:bCs/>
        </w:rPr>
        <w:t xml:space="preserve">7.3.4 </w:t>
      </w:r>
      <w:r>
        <w:rPr>
          <w:rFonts w:hint="eastAsia" w:cs="Times New Roman"/>
          <w:b w:val="0"/>
          <w:bCs/>
        </w:rPr>
        <w:t>建筑</w:t>
      </w:r>
      <w:r>
        <w:rPr>
          <w:rFonts w:cs="Times New Roman"/>
          <w:b w:val="0"/>
          <w:bCs/>
        </w:rPr>
        <w:t>应根据供冷季、供暖季和年度运行能耗和碳排放数据分析运行状态并评估碳排放表现。</w:t>
      </w:r>
    </w:p>
    <w:p>
      <w:pPr>
        <w:pStyle w:val="4"/>
        <w:rPr>
          <w:rFonts w:ascii="Times New Roman" w:hAnsi="Times New Roman" w:cs="Times New Roman"/>
          <w:b w:val="0"/>
          <w:bCs/>
        </w:rPr>
      </w:pPr>
      <w:r>
        <w:rPr>
          <w:rFonts w:cs="Times New Roman"/>
          <w:b w:val="0"/>
          <w:bCs/>
        </w:rPr>
        <w:t xml:space="preserve">7.3.5 </w:t>
      </w:r>
      <w:r>
        <w:rPr>
          <w:rFonts w:hint="eastAsia" w:cs="Times New Roman"/>
          <w:b w:val="0"/>
          <w:bCs/>
        </w:rPr>
        <w:t>区域</w:t>
      </w:r>
      <w:r>
        <w:rPr>
          <w:rFonts w:cs="Times New Roman"/>
          <w:b w:val="0"/>
          <w:bCs/>
        </w:rPr>
        <w:t>应建立覆盖各类主体的碳排放管理体系，制定碳排放管理制度，明确各主体责任和义务，建立区域重点排放单位目标责任制。</w:t>
      </w:r>
    </w:p>
    <w:p>
      <w:pPr>
        <w:pStyle w:val="4"/>
        <w:rPr>
          <w:rFonts w:cs="Times New Roman"/>
          <w:b w:val="0"/>
          <w:bCs/>
        </w:rPr>
      </w:pPr>
      <w:r>
        <w:rPr>
          <w:rFonts w:cs="Times New Roman"/>
          <w:b w:val="0"/>
          <w:bCs/>
        </w:rPr>
        <w:t>7.3.6 碳排放统计核算和评估工作应符合下列规定：</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1 公示碳排放统计核算对象和范围；</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2 建立区域碳排放统计调查制度和碳排放信息管理台账；</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3 按照区域碳排放核算相关方法学，综合采用统计数据、动态监测、抽样调查等手段，组织开展统计核算工作；</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4 定期开展碳排放评估工作，并向区域居民和有关单位公示反映区域低碳发展水平的指标信息；</w:t>
      </w:r>
    </w:p>
    <w:p>
      <w:pPr>
        <w:spacing w:line="360" w:lineRule="auto"/>
        <w:ind w:firstLine="420"/>
        <w:rPr>
          <w:rFonts w:ascii="Times New Roman" w:hAnsi="Times New Roman" w:eastAsia="宋体" w:cs="Times New Roman"/>
          <w:b w:val="0"/>
          <w:bCs/>
        </w:rPr>
      </w:pPr>
      <w:r>
        <w:rPr>
          <w:rFonts w:ascii="Times New Roman" w:hAnsi="Times New Roman" w:eastAsia="宋体" w:cs="Times New Roman"/>
          <w:b w:val="0"/>
          <w:bCs/>
        </w:rPr>
        <w:t>5 针对碳排放重点领域、重点区域、重点单位、重点建筑、重点设施，应推行碳排放报告、第三方盘查制度和目标预警机制，制定有针对性的碳排放管控措施。</w:t>
      </w:r>
    </w:p>
    <w:p>
      <w:pPr>
        <w:rPr>
          <w:rFonts w:ascii="Times New Roman" w:hAnsi="Times New Roman" w:cs="Times New Roman"/>
          <w:b w:val="0"/>
          <w:bCs/>
        </w:rPr>
      </w:pPr>
    </w:p>
    <w:p>
      <w:pPr>
        <w:pStyle w:val="4"/>
        <w:rPr>
          <w:rFonts w:cs="Times New Roman"/>
          <w:b w:val="0"/>
          <w:bCs/>
        </w:rPr>
      </w:pPr>
      <w:r>
        <w:rPr>
          <w:rFonts w:cs="Times New Roman"/>
          <w:b w:val="0"/>
          <w:bCs/>
        </w:rPr>
        <w:t>7.3.7 建筑和区域的能源系统低碳运行，应以保障建筑室内环境舒适度和其他基本用能需求为前提，减少系统化石能源消耗为目标，并应符合下列规定：</w:t>
      </w:r>
    </w:p>
    <w:p>
      <w:pPr>
        <w:spacing w:line="360" w:lineRule="auto"/>
        <w:ind w:firstLine="420"/>
        <w:rPr>
          <w:rFonts w:ascii="Times New Roman" w:hAnsi="Times New Roman" w:cs="Times New Roman"/>
          <w:b w:val="0"/>
          <w:bCs/>
          <w:lang w:bidi="ar"/>
        </w:rPr>
      </w:pPr>
      <w:r>
        <w:rPr>
          <w:rFonts w:ascii="Times New Roman" w:hAnsi="Times New Roman" w:cs="Times New Roman"/>
          <w:b w:val="0"/>
          <w:bCs/>
          <w:lang w:bidi="ar"/>
        </w:rPr>
        <w:t>1 优先充分利用本地可再生能源系统产能量；</w:t>
      </w:r>
    </w:p>
    <w:p>
      <w:pPr>
        <w:spacing w:line="360" w:lineRule="auto"/>
        <w:ind w:firstLine="420"/>
        <w:rPr>
          <w:rFonts w:ascii="Times New Roman" w:hAnsi="Times New Roman" w:cs="Times New Roman"/>
          <w:b w:val="0"/>
          <w:bCs/>
          <w:lang w:bidi="ar"/>
        </w:rPr>
      </w:pPr>
      <w:r>
        <w:rPr>
          <w:rFonts w:ascii="Times New Roman" w:hAnsi="Times New Roman" w:cs="Times New Roman"/>
          <w:b w:val="0"/>
          <w:bCs/>
          <w:lang w:bidi="ar"/>
        </w:rPr>
        <w:t>2 降低区域用能峰值、提升用能效率；</w:t>
      </w:r>
    </w:p>
    <w:p>
      <w:pPr>
        <w:spacing w:line="360" w:lineRule="auto"/>
        <w:ind w:firstLine="420"/>
        <w:rPr>
          <w:rFonts w:ascii="Times New Roman" w:hAnsi="Times New Roman" w:cs="Times New Roman"/>
          <w:b w:val="0"/>
          <w:bCs/>
          <w:lang w:bidi="ar"/>
        </w:rPr>
      </w:pPr>
      <w:r>
        <w:rPr>
          <w:rFonts w:ascii="Times New Roman" w:hAnsi="Times New Roman" w:cs="Times New Roman"/>
          <w:b w:val="0"/>
          <w:bCs/>
          <w:lang w:bidi="ar"/>
        </w:rPr>
        <w:t>3 根据实际运行工况和外部条件变化及时优化调整蓄能系统运行模式。</w:t>
      </w:r>
    </w:p>
    <w:p>
      <w:pPr>
        <w:pStyle w:val="4"/>
        <w:rPr>
          <w:rFonts w:ascii="Times New Roman" w:hAnsi="Times New Roman" w:cs="Times New Roman"/>
          <w:b w:val="0"/>
          <w:bCs/>
          <w:lang w:bidi="ar"/>
        </w:rPr>
      </w:pPr>
      <w:r>
        <w:rPr>
          <w:rFonts w:cs="Times New Roman"/>
          <w:b w:val="0"/>
          <w:bCs/>
          <w:lang w:bidi="ar"/>
        </w:rPr>
        <w:t>7.3.8 区域能源系统运行，宜采用“日前-日内-实时”三阶段优化运行方法。</w:t>
      </w:r>
    </w:p>
    <w:p>
      <w:pPr>
        <w:pStyle w:val="4"/>
        <w:rPr>
          <w:rFonts w:cs="Times New Roman"/>
          <w:b w:val="0"/>
          <w:bCs/>
          <w:lang w:bidi="ar"/>
        </w:rPr>
      </w:pPr>
      <w:r>
        <w:rPr>
          <w:rFonts w:cs="Times New Roman"/>
          <w:b w:val="0"/>
          <w:bCs/>
          <w:lang w:bidi="ar"/>
        </w:rPr>
        <w:t>7.3.9 建筑和区域应对固体废物实行全过程一体化管理，完善资源回收利用体系，</w:t>
      </w:r>
      <w:r>
        <w:rPr>
          <w:rFonts w:cs="Times New Roman"/>
          <w:b w:val="0"/>
          <w:bCs/>
        </w:rPr>
        <w:t>最大限度地将生活垃圾纳入资源循环利用，实现末端垃圾总量递减，</w:t>
      </w:r>
      <w:r>
        <w:rPr>
          <w:rFonts w:cs="Times New Roman"/>
          <w:b w:val="0"/>
          <w:bCs/>
          <w:lang w:bidi="ar"/>
        </w:rPr>
        <w:t>并应符合下列规定：</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 xml:space="preserve">1 生活垃圾应分类收集； </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 xml:space="preserve">2 完善餐厨垃圾专业化收集管理，餐厨垃圾应运往有资质的餐厨垃圾处理厂； </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 xml:space="preserve">3 规范建筑垃圾清运作业； </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 xml:space="preserve">4 开展固体废弃物收集管理：电子废弃物应运往有资质的电子废弃物回收利用厂，应控制电子废弃物非法拆解和有毒有害物质的非法排放。 </w:t>
      </w:r>
    </w:p>
    <w:p>
      <w:pPr>
        <w:widowControl/>
        <w:spacing w:line="360" w:lineRule="auto"/>
        <w:ind w:firstLine="420"/>
        <w:jc w:val="left"/>
        <w:rPr>
          <w:rFonts w:ascii="Times New Roman" w:hAnsi="Times New Roman" w:eastAsia="宋体" w:cs="Times New Roman"/>
          <w:b w:val="0"/>
          <w:bCs/>
          <w:lang w:bidi="ar"/>
        </w:rPr>
      </w:pPr>
    </w:p>
    <w:p>
      <w:pPr>
        <w:pStyle w:val="4"/>
        <w:rPr>
          <w:rFonts w:cs="Times New Roman"/>
          <w:b w:val="0"/>
          <w:bCs/>
        </w:rPr>
      </w:pPr>
      <w:r>
        <w:rPr>
          <w:rFonts w:cs="Times New Roman"/>
          <w:b w:val="0"/>
          <w:bCs/>
          <w:lang w:bidi="ar"/>
        </w:rPr>
        <w:t xml:space="preserve">7.3.10 建筑和区域应合理利用水资源，采用节能供水技术，降低给排水系统碳排放，并应符合下列规定： </w:t>
      </w:r>
    </w:p>
    <w:p>
      <w:pPr>
        <w:widowControl/>
        <w:spacing w:line="360" w:lineRule="auto"/>
        <w:ind w:firstLine="420"/>
        <w:jc w:val="left"/>
        <w:rPr>
          <w:rFonts w:ascii="Times New Roman" w:hAnsi="Times New Roman" w:eastAsia="宋体" w:cs="Times New Roman"/>
          <w:b w:val="0"/>
          <w:bCs/>
        </w:rPr>
      </w:pPr>
      <w:r>
        <w:rPr>
          <w:rFonts w:ascii="Times New Roman" w:hAnsi="Times New Roman" w:eastAsia="宋体" w:cs="Times New Roman"/>
          <w:b w:val="0"/>
          <w:bCs/>
          <w:lang w:bidi="ar"/>
        </w:rPr>
        <w:t xml:space="preserve">1 优化多区域供水运行方式，采用节能供水技术； </w:t>
      </w:r>
    </w:p>
    <w:p>
      <w:pPr>
        <w:widowControl/>
        <w:spacing w:line="360" w:lineRule="auto"/>
        <w:ind w:firstLine="420"/>
        <w:jc w:val="left"/>
        <w:rPr>
          <w:rFonts w:ascii="Times New Roman" w:hAnsi="Times New Roman" w:eastAsia="宋体" w:cs="Times New Roman"/>
          <w:b w:val="0"/>
          <w:bCs/>
        </w:rPr>
      </w:pPr>
      <w:r>
        <w:rPr>
          <w:rFonts w:ascii="Times New Roman" w:hAnsi="Times New Roman" w:eastAsia="宋体" w:cs="Times New Roman"/>
          <w:b w:val="0"/>
          <w:bCs/>
          <w:lang w:bidi="ar"/>
        </w:rPr>
        <w:t xml:space="preserve">2 推进中水管网的运行，普及节水器具和设施的使用，优化采用中水为绿化浇灌和路面喷洒用水的占比； </w:t>
      </w:r>
    </w:p>
    <w:p>
      <w:pPr>
        <w:widowControl/>
        <w:spacing w:line="360" w:lineRule="auto"/>
        <w:ind w:firstLine="420"/>
        <w:jc w:val="left"/>
        <w:rPr>
          <w:rFonts w:ascii="Times New Roman" w:hAnsi="Times New Roman" w:eastAsia="宋体" w:cs="Times New Roman"/>
          <w:b w:val="0"/>
          <w:bCs/>
        </w:rPr>
      </w:pPr>
      <w:r>
        <w:rPr>
          <w:rFonts w:ascii="Times New Roman" w:hAnsi="Times New Roman" w:eastAsia="宋体" w:cs="Times New Roman"/>
          <w:b w:val="0"/>
          <w:bCs/>
          <w:lang w:bidi="ar"/>
        </w:rPr>
        <w:t>3 排水系统应秉持资源化利用原则，可用尽用，污水和雨水实施资源利用，工业废水实施内部循环利用</w:t>
      </w:r>
      <w:r>
        <w:rPr>
          <w:rFonts w:hint="eastAsia" w:ascii="Times New Roman" w:hAnsi="Times New Roman" w:eastAsia="宋体" w:cs="Times New Roman"/>
          <w:b w:val="0"/>
          <w:bCs/>
          <w:lang w:bidi="ar"/>
        </w:rPr>
        <w:t>；</w:t>
      </w:r>
    </w:p>
    <w:p>
      <w:pPr>
        <w:widowControl/>
        <w:spacing w:line="360" w:lineRule="auto"/>
        <w:ind w:firstLine="420"/>
        <w:jc w:val="left"/>
        <w:rPr>
          <w:rFonts w:ascii="Times New Roman" w:hAnsi="Times New Roman" w:eastAsia="宋体" w:cs="Times New Roman"/>
          <w:b w:val="0"/>
          <w:bCs/>
        </w:rPr>
      </w:pPr>
      <w:r>
        <w:rPr>
          <w:rFonts w:ascii="Times New Roman" w:hAnsi="Times New Roman" w:eastAsia="宋体" w:cs="Times New Roman"/>
          <w:b w:val="0"/>
          <w:bCs/>
          <w:lang w:bidi="ar"/>
        </w:rPr>
        <w:t xml:space="preserve">4 应实现雨水用于绿地浇灌、冲洗路面、补充景观用水等用途，提高区域抗内涝能力和雨水综合资源利用能力； </w:t>
      </w:r>
    </w:p>
    <w:p>
      <w:pPr>
        <w:widowControl/>
        <w:spacing w:line="360" w:lineRule="auto"/>
        <w:ind w:firstLine="420"/>
        <w:jc w:val="left"/>
        <w:rPr>
          <w:rFonts w:ascii="Times New Roman" w:hAnsi="Times New Roman" w:eastAsia="宋体" w:cs="Times New Roman"/>
          <w:b w:val="0"/>
          <w:bCs/>
        </w:rPr>
      </w:pPr>
      <w:r>
        <w:rPr>
          <w:rFonts w:ascii="Times New Roman" w:hAnsi="Times New Roman" w:eastAsia="宋体" w:cs="Times New Roman"/>
          <w:b w:val="0"/>
          <w:bCs/>
          <w:lang w:bidi="ar"/>
        </w:rPr>
        <w:t xml:space="preserve">5 生产废水应实现内部循环利用，具有危险性的废水应按照危险废物进行规范处置。 </w:t>
      </w:r>
    </w:p>
    <w:p>
      <w:pPr>
        <w:spacing w:line="360" w:lineRule="auto"/>
        <w:rPr>
          <w:rFonts w:ascii="Times New Roman" w:hAnsi="Times New Roman" w:eastAsia="宋体" w:cs="Times New Roman"/>
          <w:b w:val="0"/>
          <w:bCs/>
        </w:rPr>
      </w:pPr>
    </w:p>
    <w:p>
      <w:pPr>
        <w:pStyle w:val="4"/>
        <w:rPr>
          <w:rFonts w:cs="Times New Roman"/>
          <w:b w:val="0"/>
          <w:bCs/>
          <w:lang w:bidi="ar"/>
        </w:rPr>
      </w:pPr>
      <w:r>
        <w:rPr>
          <w:rFonts w:cs="Times New Roman"/>
          <w:b w:val="0"/>
          <w:bCs/>
          <w:lang w:bidi="ar"/>
        </w:rPr>
        <w:t>7.3.11 区域应优化内部交通系统，降低车辆碳排放，并应符合下列规定：</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 xml:space="preserve">1 鼓励公交、地铁、自行车、步行交通等出行方式； </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 xml:space="preserve">2 非机动车道和人行道交通应安全、连续、无障碍； </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3 具备条件的区域可根据条件设置自行车专用道或自行车绿道</w:t>
      </w:r>
      <w:r>
        <w:rPr>
          <w:rFonts w:hint="eastAsia" w:ascii="Times New Roman" w:hAnsi="Times New Roman" w:eastAsia="宋体" w:cs="Times New Roman"/>
          <w:b w:val="0"/>
          <w:bCs/>
          <w:lang w:bidi="ar"/>
        </w:rPr>
        <w:t>；</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4 推广新能源车辆，根据区域使用需求加强新能源汽车配套设施建设；</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 xml:space="preserve">5 提高公务用车、公共交通等车辆中新能源汽车比例。  </w:t>
      </w:r>
    </w:p>
    <w:p>
      <w:pPr>
        <w:widowControl/>
        <w:spacing w:line="360" w:lineRule="auto"/>
        <w:jc w:val="left"/>
        <w:rPr>
          <w:rFonts w:ascii="Times New Roman" w:hAnsi="Times New Roman" w:eastAsia="宋体" w:cs="Times New Roman"/>
          <w:b w:val="0"/>
          <w:bCs/>
          <w:lang w:bidi="ar"/>
        </w:rPr>
      </w:pPr>
    </w:p>
    <w:p>
      <w:pPr>
        <w:pStyle w:val="30"/>
        <w:widowControl/>
        <w:rPr>
          <w:rFonts w:ascii="Times New Roman" w:hAnsi="Times New Roman" w:cs="Times New Roman"/>
          <w:b w:val="0"/>
          <w:bCs/>
          <w:sz w:val="30"/>
          <w:szCs w:val="30"/>
        </w:rPr>
      </w:pPr>
      <w:bookmarkStart w:id="123" w:name="_Toc13485"/>
      <w:bookmarkStart w:id="124" w:name="_Toc128988428"/>
      <w:bookmarkStart w:id="125" w:name="_Toc116399460"/>
      <w:r>
        <w:rPr>
          <w:rFonts w:ascii="Times New Roman" w:hAnsi="Times New Roman" w:cs="Times New Roman"/>
          <w:b w:val="0"/>
          <w:bCs/>
          <w:sz w:val="30"/>
          <w:szCs w:val="30"/>
        </w:rPr>
        <w:t>7.4 低碳</w:t>
      </w:r>
      <w:bookmarkEnd w:id="123"/>
      <w:r>
        <w:rPr>
          <w:rFonts w:ascii="Times New Roman" w:hAnsi="Times New Roman" w:cs="Times New Roman"/>
          <w:b w:val="0"/>
          <w:bCs/>
          <w:sz w:val="30"/>
          <w:szCs w:val="30"/>
        </w:rPr>
        <w:t>行为</w:t>
      </w:r>
      <w:bookmarkEnd w:id="124"/>
      <w:bookmarkEnd w:id="125"/>
    </w:p>
    <w:p>
      <w:pPr>
        <w:pStyle w:val="4"/>
        <w:rPr>
          <w:rFonts w:cs="Times New Roman"/>
          <w:b w:val="0"/>
          <w:bCs/>
        </w:rPr>
      </w:pPr>
      <w:r>
        <w:rPr>
          <w:rFonts w:cs="Times New Roman"/>
          <w:b w:val="0"/>
          <w:bCs/>
        </w:rPr>
        <w:t>7.4.1 建筑和区域管理者应引导使用者遵循低碳生活方式，低碳生活方式应包括但不限于下列内容：</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1 基础设施和建筑的装饰装修及日用品应选择绿色建材或再循环比例高的材料和产品；</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2 应减少一次性用品的使用，自备可重复使用购物袋购物，快递包装应尽量重复使用并避免过度包装；</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3 应提倡无纸化办公；</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4 日常食品采购季节性本地产品，并应按需购买，减少浪费；</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5 提倡节水节电行为习惯，选用高能效家用电器、办公设备和节能灯具；</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6 电器在非运行时段应切断电源，减少待机能耗，或选用具有智能切断电源功能的节能型插座；</w:t>
      </w:r>
    </w:p>
    <w:p>
      <w:pPr>
        <w:widowControl/>
        <w:spacing w:line="360" w:lineRule="auto"/>
        <w:ind w:firstLine="420"/>
        <w:jc w:val="left"/>
        <w:rPr>
          <w:rFonts w:ascii="Times New Roman" w:hAnsi="Times New Roman" w:eastAsia="宋体" w:cs="Times New Roman"/>
          <w:b w:val="0"/>
          <w:bCs/>
          <w:lang w:bidi="ar"/>
        </w:rPr>
      </w:pPr>
      <w:r>
        <w:rPr>
          <w:rFonts w:ascii="Times New Roman" w:hAnsi="Times New Roman" w:eastAsia="宋体" w:cs="Times New Roman"/>
          <w:b w:val="0"/>
          <w:bCs/>
          <w:lang w:bidi="ar"/>
        </w:rPr>
        <w:t>7 提倡步行、骑车或乘公共交通工具等绿色出行方式。</w:t>
      </w:r>
    </w:p>
    <w:p>
      <w:pPr>
        <w:rPr>
          <w:rFonts w:ascii="Times New Roman" w:hAnsi="Times New Roman" w:cs="Times New Roman"/>
          <w:b w:val="0"/>
          <w:bCs/>
        </w:rPr>
      </w:pPr>
    </w:p>
    <w:p>
      <w:pPr>
        <w:pStyle w:val="4"/>
        <w:rPr>
          <w:rFonts w:cs="Times New Roman"/>
          <w:b w:val="0"/>
          <w:bCs/>
        </w:rPr>
      </w:pPr>
      <w:r>
        <w:rPr>
          <w:rFonts w:cs="Times New Roman"/>
          <w:b w:val="0"/>
          <w:bCs/>
        </w:rPr>
        <w:t>7.4.2 区域服务应强化企业的低碳责任，在区域引入商场、超市、酒店、餐饮、娱乐等服务企业时应提出降碳要求，把低碳理念融入到采购、销售和售后服务的全过程，积极推广低碳产品和服务，提供绿色低碳消费环境。</w:t>
      </w:r>
    </w:p>
    <w:p>
      <w:pPr>
        <w:widowControl/>
        <w:jc w:val="left"/>
        <w:rPr>
          <w:rFonts w:ascii="Times New Roman" w:hAnsi="Times New Roman" w:eastAsia="宋体" w:cs="Times New Roman"/>
          <w:b w:val="0"/>
          <w:bCs/>
          <w:sz w:val="32"/>
          <w:szCs w:val="32"/>
        </w:rPr>
      </w:pPr>
    </w:p>
    <w:p>
      <w:pPr>
        <w:rPr>
          <w:rFonts w:ascii="Times New Roman" w:hAnsi="Times New Roman" w:cs="Times New Roman"/>
          <w:b w:val="0"/>
          <w:bCs/>
        </w:rPr>
      </w:pPr>
      <w:bookmarkStart w:id="126" w:name="_Toc128988429"/>
      <w:r>
        <w:rPr>
          <w:rFonts w:ascii="Times New Roman" w:hAnsi="Times New Roman" w:cs="Times New Roman"/>
          <w:b w:val="0"/>
          <w:bCs/>
        </w:rPr>
        <w:br w:type="page"/>
      </w:r>
    </w:p>
    <w:p>
      <w:pPr>
        <w:pStyle w:val="40"/>
        <w:tabs>
          <w:tab w:val="left" w:pos="1734"/>
          <w:tab w:val="center" w:pos="4156"/>
        </w:tabs>
        <w:rPr>
          <w:rFonts w:ascii="Times New Roman" w:hAnsi="Times New Roman" w:cs="Times New Roman"/>
          <w:b w:val="0"/>
          <w:bCs/>
        </w:rPr>
      </w:pPr>
      <w:r>
        <w:rPr>
          <w:rFonts w:ascii="Times New Roman" w:hAnsi="Times New Roman" w:cs="Times New Roman"/>
          <w:b w:val="0"/>
          <w:bCs/>
        </w:rPr>
        <w:t>8 检测与判定</w:t>
      </w:r>
      <w:bookmarkEnd w:id="126"/>
    </w:p>
    <w:p>
      <w:pPr>
        <w:pStyle w:val="30"/>
        <w:rPr>
          <w:rFonts w:ascii="Times New Roman" w:hAnsi="Times New Roman" w:cs="Times New Roman"/>
          <w:b w:val="0"/>
          <w:bCs/>
          <w:sz w:val="30"/>
          <w:szCs w:val="30"/>
        </w:rPr>
      </w:pPr>
      <w:bookmarkStart w:id="127" w:name="_Toc128988430"/>
      <w:r>
        <w:rPr>
          <w:rFonts w:ascii="Times New Roman" w:hAnsi="Times New Roman" w:cs="Times New Roman"/>
          <w:b w:val="0"/>
          <w:bCs/>
          <w:sz w:val="30"/>
          <w:szCs w:val="30"/>
        </w:rPr>
        <w:t>8.1 一般规定</w:t>
      </w:r>
      <w:bookmarkEnd w:id="127"/>
    </w:p>
    <w:p>
      <w:pPr>
        <w:pStyle w:val="4"/>
        <w:rPr>
          <w:rFonts w:ascii="Times New Roman" w:hAnsi="Times New Roman" w:eastAsia="楷体" w:cs="Times New Roman"/>
          <w:b w:val="0"/>
          <w:bCs/>
          <w:color w:val="111111"/>
          <w:szCs w:val="21"/>
        </w:rPr>
      </w:pPr>
      <w:r>
        <w:rPr>
          <w:rFonts w:cs="Times New Roman"/>
          <w:b w:val="0"/>
          <w:bCs/>
        </w:rPr>
        <w:t>8.1.1 建筑和区域的降碳水平应通过碳排放指标判定。</w:t>
      </w:r>
    </w:p>
    <w:p>
      <w:pPr>
        <w:pStyle w:val="4"/>
        <w:rPr>
          <w:rFonts w:cs="Times New Roman"/>
          <w:b w:val="0"/>
          <w:bCs/>
        </w:rPr>
      </w:pPr>
      <w:r>
        <w:rPr>
          <w:rFonts w:cs="Times New Roman"/>
          <w:b w:val="0"/>
          <w:bCs/>
        </w:rPr>
        <w:t>8.1.2 判定建筑和区域设计降碳水平，应以设计文件为依据；判定建筑和区域运行降碳水平，应以检测结果作为计算依据进行判定。</w:t>
      </w:r>
    </w:p>
    <w:p>
      <w:pPr>
        <w:pStyle w:val="4"/>
        <w:rPr>
          <w:rFonts w:cs="Times New Roman"/>
          <w:b w:val="0"/>
          <w:bCs/>
        </w:rPr>
      </w:pPr>
      <w:r>
        <w:rPr>
          <w:rFonts w:cs="Times New Roman"/>
          <w:b w:val="0"/>
          <w:bCs/>
        </w:rPr>
        <w:t>8.1.3 建筑判定对象应为单栋建筑。区域判定对象应具有清晰物理边界，占地面积不宜超过1km</w:t>
      </w:r>
      <w:r>
        <w:rPr>
          <w:rFonts w:cs="Times New Roman"/>
          <w:b w:val="0"/>
          <w:bCs/>
          <w:vertAlign w:val="superscript"/>
        </w:rPr>
        <w:t>2</w:t>
      </w:r>
      <w:r>
        <w:rPr>
          <w:rFonts w:cs="Times New Roman"/>
          <w:b w:val="0"/>
          <w:bCs/>
        </w:rPr>
        <w:t>，人数宜高于2500人，户数宜高于1000户。</w:t>
      </w:r>
    </w:p>
    <w:p>
      <w:pPr>
        <w:pStyle w:val="4"/>
        <w:rPr>
          <w:rFonts w:cs="Times New Roman"/>
          <w:b w:val="0"/>
          <w:bCs/>
        </w:rPr>
      </w:pPr>
      <w:r>
        <w:rPr>
          <w:rFonts w:cs="Times New Roman"/>
          <w:b w:val="0"/>
          <w:bCs/>
        </w:rPr>
        <w:t>8.1.4 低碳、近零碳、零碳建筑和区域的判定应以年为周期，</w:t>
      </w:r>
      <w:r>
        <w:rPr>
          <w:rFonts w:hint="eastAsia" w:cs="Times New Roman"/>
          <w:b w:val="0"/>
          <w:bCs/>
        </w:rPr>
        <w:t>全过程</w:t>
      </w:r>
      <w:r>
        <w:rPr>
          <w:rFonts w:cs="Times New Roman"/>
          <w:b w:val="0"/>
          <w:bCs/>
        </w:rPr>
        <w:t>零碳建筑的判定应以设计使用年限为周期。</w:t>
      </w:r>
    </w:p>
    <w:p>
      <w:pPr>
        <w:spacing w:line="400" w:lineRule="exact"/>
        <w:rPr>
          <w:rFonts w:ascii="Times New Roman" w:hAnsi="Times New Roman" w:eastAsia="楷体" w:cs="Times New Roman"/>
          <w:b w:val="0"/>
          <w:bCs/>
          <w:color w:val="111111"/>
          <w:szCs w:val="21"/>
        </w:rPr>
      </w:pPr>
    </w:p>
    <w:p>
      <w:pPr>
        <w:pStyle w:val="30"/>
        <w:rPr>
          <w:rFonts w:ascii="Times New Roman" w:hAnsi="Times New Roman" w:cs="Times New Roman"/>
          <w:b w:val="0"/>
          <w:bCs/>
          <w:sz w:val="30"/>
          <w:szCs w:val="30"/>
        </w:rPr>
      </w:pPr>
      <w:bookmarkStart w:id="128" w:name="_Toc128988431"/>
      <w:r>
        <w:rPr>
          <w:rFonts w:ascii="Times New Roman" w:hAnsi="Times New Roman" w:cs="Times New Roman"/>
          <w:b w:val="0"/>
          <w:bCs/>
          <w:sz w:val="30"/>
          <w:szCs w:val="30"/>
        </w:rPr>
        <w:t>8.2 检测与监测</w:t>
      </w:r>
      <w:bookmarkEnd w:id="128"/>
    </w:p>
    <w:p>
      <w:pPr>
        <w:pStyle w:val="4"/>
        <w:rPr>
          <w:rFonts w:cs="Times New Roman"/>
          <w:b w:val="0"/>
          <w:bCs/>
        </w:rPr>
      </w:pPr>
      <w:r>
        <w:rPr>
          <w:rFonts w:cs="Times New Roman"/>
          <w:b w:val="0"/>
          <w:bCs/>
        </w:rPr>
        <w:t>8.2.1 参与运行判定的建筑和区域应进行检测和监测，检测和监测内容应包含室内环境、建筑和区域能耗、可再生能源等。</w:t>
      </w:r>
    </w:p>
    <w:p>
      <w:pPr>
        <w:pStyle w:val="4"/>
        <w:rPr>
          <w:rFonts w:cs="Times New Roman"/>
          <w:b w:val="0"/>
          <w:bCs/>
        </w:rPr>
      </w:pPr>
      <w:r>
        <w:rPr>
          <w:rFonts w:cs="Times New Roman"/>
          <w:b w:val="0"/>
          <w:bCs/>
        </w:rPr>
        <w:t>8.2.2 建筑室内环境检测应包括温度、湿度、照度、室内环境噪声、二氧化碳。</w:t>
      </w:r>
    </w:p>
    <w:p>
      <w:pPr>
        <w:pStyle w:val="4"/>
        <w:rPr>
          <w:rFonts w:cs="Times New Roman"/>
          <w:b w:val="0"/>
          <w:bCs/>
        </w:rPr>
      </w:pPr>
      <w:r>
        <w:rPr>
          <w:rFonts w:cs="Times New Roman"/>
          <w:b w:val="0"/>
          <w:bCs/>
        </w:rPr>
        <w:t>8.2.3 建筑和区域能耗监测应包含运行过程中全部能源消耗。</w:t>
      </w:r>
    </w:p>
    <w:p>
      <w:pPr>
        <w:pStyle w:val="4"/>
        <w:rPr>
          <w:rFonts w:cs="Times New Roman"/>
          <w:b w:val="0"/>
          <w:bCs/>
        </w:rPr>
      </w:pPr>
      <w:r>
        <w:rPr>
          <w:rFonts w:cs="Times New Roman"/>
          <w:b w:val="0"/>
          <w:bCs/>
        </w:rPr>
        <w:t>8.2.4 可再生能源监测应包含光伏系统发电、太阳能热水等。</w:t>
      </w:r>
    </w:p>
    <w:p>
      <w:pPr>
        <w:rPr>
          <w:rFonts w:ascii="Times New Roman" w:hAnsi="Times New Roman" w:cs="Times New Roman"/>
          <w:b w:val="0"/>
          <w:bCs/>
        </w:rPr>
      </w:pPr>
    </w:p>
    <w:p>
      <w:pPr>
        <w:pStyle w:val="30"/>
        <w:rPr>
          <w:rFonts w:ascii="Times New Roman" w:hAnsi="Times New Roman" w:cs="Times New Roman"/>
          <w:b w:val="0"/>
          <w:bCs/>
          <w:sz w:val="30"/>
          <w:szCs w:val="30"/>
        </w:rPr>
      </w:pPr>
      <w:bookmarkStart w:id="129" w:name="_Toc128988432"/>
      <w:r>
        <w:rPr>
          <w:rFonts w:ascii="Times New Roman" w:hAnsi="Times New Roman" w:cs="Times New Roman"/>
          <w:b w:val="0"/>
          <w:bCs/>
          <w:sz w:val="30"/>
          <w:szCs w:val="30"/>
        </w:rPr>
        <w:t>8.3 核算</w:t>
      </w:r>
      <w:bookmarkEnd w:id="129"/>
    </w:p>
    <w:p>
      <w:pPr>
        <w:pStyle w:val="4"/>
        <w:rPr>
          <w:rFonts w:cs="Times New Roman"/>
          <w:b w:val="0"/>
          <w:bCs/>
        </w:rPr>
      </w:pPr>
      <w:r>
        <w:rPr>
          <w:rFonts w:cs="Times New Roman"/>
          <w:b w:val="0"/>
          <w:bCs/>
        </w:rPr>
        <w:t>8.3.1 建筑碳排放指标计算应符合附录A的规定，建筑碳排放指标计算报告书可符合附录B的规定；区域碳排放指标计算应符合附录C的规定，区域碳排放指标计算报告书可符合附录D的规定。</w:t>
      </w:r>
    </w:p>
    <w:p>
      <w:pPr>
        <w:autoSpaceDE w:val="0"/>
        <w:autoSpaceDN w:val="0"/>
        <w:spacing w:line="360" w:lineRule="auto"/>
        <w:rPr>
          <w:rFonts w:ascii="Times New Roman" w:hAnsi="Times New Roman" w:eastAsia="宋体" w:cs="Times New Roman"/>
          <w:b w:val="0"/>
          <w:bCs/>
          <w:szCs w:val="32"/>
        </w:rPr>
      </w:pPr>
    </w:p>
    <w:p>
      <w:pPr>
        <w:pStyle w:val="4"/>
        <w:rPr>
          <w:rFonts w:cs="Times New Roman"/>
          <w:b w:val="0"/>
          <w:bCs/>
        </w:rPr>
      </w:pPr>
      <w:r>
        <w:rPr>
          <w:rFonts w:cs="Times New Roman"/>
          <w:b w:val="0"/>
          <w:bCs/>
        </w:rPr>
        <w:t>8.3.2 低碳、近零碳、零碳建筑碳排放应按建筑运行阶段核算，</w:t>
      </w:r>
      <w:r>
        <w:rPr>
          <w:rFonts w:hint="eastAsia" w:cs="Times New Roman"/>
          <w:b w:val="0"/>
          <w:bCs/>
        </w:rPr>
        <w:t>全过程</w:t>
      </w:r>
      <w:r>
        <w:rPr>
          <w:rFonts w:cs="Times New Roman"/>
          <w:b w:val="0"/>
          <w:bCs/>
        </w:rPr>
        <w:t>建筑碳排放应按建筑材料生产运输、建造、运行、拆除阶段核算。</w:t>
      </w:r>
    </w:p>
    <w:p>
      <w:pPr>
        <w:spacing w:before="120" w:after="26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8.3.3 区域碳排放核算应包含区域内建筑、市政、交通及其他能源消耗产生的碳排放量和区域内可再生能源发电及碳汇降碳量，并应扣除输送至区域外部的能源产生的碳排放。</w:t>
      </w:r>
    </w:p>
    <w:p>
      <w:pPr>
        <w:pStyle w:val="4"/>
        <w:rPr>
          <w:rFonts w:cs="Times New Roman"/>
          <w:b w:val="0"/>
          <w:bCs/>
        </w:rPr>
      </w:pPr>
      <w:r>
        <w:rPr>
          <w:rFonts w:cs="Times New Roman"/>
          <w:b w:val="0"/>
          <w:bCs/>
        </w:rPr>
        <w:t>8.3.4 建筑和区域碳排放计算所采用的电力排放因子取值应为0.5kgCO</w:t>
      </w:r>
      <w:r>
        <w:rPr>
          <w:rFonts w:cs="Times New Roman"/>
          <w:b w:val="0"/>
          <w:bCs/>
          <w:vertAlign w:val="subscript"/>
        </w:rPr>
        <w:t>2</w:t>
      </w:r>
      <w:r>
        <w:rPr>
          <w:rFonts w:cs="Times New Roman"/>
          <w:b w:val="0"/>
          <w:bCs/>
        </w:rPr>
        <w:t>/kWh。</w:t>
      </w:r>
    </w:p>
    <w:p>
      <w:pPr>
        <w:spacing w:line="400" w:lineRule="exact"/>
        <w:rPr>
          <w:rFonts w:ascii="Times New Roman" w:hAnsi="Times New Roman" w:eastAsia="楷体" w:cs="Times New Roman"/>
          <w:b w:val="0"/>
          <w:bCs/>
          <w:color w:val="111111"/>
          <w:szCs w:val="21"/>
        </w:rPr>
      </w:pPr>
    </w:p>
    <w:p>
      <w:pPr>
        <w:pStyle w:val="30"/>
        <w:rPr>
          <w:rFonts w:ascii="Times New Roman" w:hAnsi="Times New Roman" w:cs="Times New Roman"/>
          <w:b w:val="0"/>
          <w:bCs/>
          <w:sz w:val="30"/>
          <w:szCs w:val="30"/>
        </w:rPr>
      </w:pPr>
      <w:bookmarkStart w:id="130" w:name="_Toc128988433"/>
      <w:r>
        <w:rPr>
          <w:rFonts w:ascii="Times New Roman" w:hAnsi="Times New Roman" w:cs="Times New Roman"/>
          <w:b w:val="0"/>
          <w:bCs/>
          <w:sz w:val="30"/>
          <w:szCs w:val="30"/>
        </w:rPr>
        <w:t>8.4 判定</w:t>
      </w:r>
      <w:bookmarkEnd w:id="130"/>
    </w:p>
    <w:p>
      <w:pPr>
        <w:pStyle w:val="4"/>
        <w:rPr>
          <w:rFonts w:cs="Times New Roman"/>
          <w:b w:val="0"/>
          <w:bCs/>
        </w:rPr>
      </w:pPr>
      <w:bookmarkStart w:id="131" w:name="_Hlk121473741"/>
      <w:r>
        <w:rPr>
          <w:rFonts w:cs="Times New Roman"/>
          <w:b w:val="0"/>
          <w:bCs/>
        </w:rPr>
        <w:t>8.4.1 建筑与区域的判定应符合本标准第3章技术指标要求，并应符合下列规定：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1 当达到本标准低碳建筑或低碳区域指标要求时，进行低碳建筑或低碳区域判定；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2 当达到本标准近零碳建筑或近零碳区域指标要求时，进行近零碳建筑或近零碳区域判定；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3 当达到本标准零碳建筑或零碳区域指标要求时，进行零碳建筑或零碳区域判定；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4 当达到本标准全过程零碳建筑指标要求时，进行全寿命周期零碳建筑判定。</w:t>
      </w:r>
    </w:p>
    <w:p>
      <w:pPr>
        <w:spacing w:line="400" w:lineRule="exact"/>
        <w:rPr>
          <w:rFonts w:ascii="Times New Roman" w:hAnsi="Times New Roman" w:eastAsia="楷体" w:cs="Times New Roman"/>
          <w:b w:val="0"/>
          <w:bCs/>
          <w:color w:val="111111"/>
          <w:szCs w:val="21"/>
        </w:rPr>
      </w:pPr>
    </w:p>
    <w:p>
      <w:pPr>
        <w:pStyle w:val="4"/>
        <w:spacing w:after="120"/>
        <w:rPr>
          <w:rFonts w:cs="Times New Roman"/>
          <w:b w:val="0"/>
          <w:bCs/>
        </w:rPr>
      </w:pPr>
      <w:r>
        <w:rPr>
          <w:rFonts w:cs="Times New Roman"/>
          <w:b w:val="0"/>
          <w:bCs/>
        </w:rPr>
        <w:t>8.4.2 建筑设计判定应具备下列条件：</w:t>
      </w:r>
    </w:p>
    <w:p>
      <w:pPr>
        <w:spacing w:line="400" w:lineRule="exact"/>
        <w:ind w:firstLine="42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1 建筑施工图设计审查通过；</w:t>
      </w:r>
    </w:p>
    <w:p>
      <w:pPr>
        <w:spacing w:line="400" w:lineRule="exact"/>
        <w:ind w:firstLine="420" w:firstLineChars="20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2 建筑碳排放技术指标相关计算和证明文件齐全。</w:t>
      </w:r>
    </w:p>
    <w:p>
      <w:pPr>
        <w:pStyle w:val="4"/>
        <w:rPr>
          <w:rFonts w:cs="Times New Roman"/>
          <w:b w:val="0"/>
          <w:bCs/>
        </w:rPr>
      </w:pPr>
      <w:r>
        <w:rPr>
          <w:rFonts w:cs="Times New Roman"/>
          <w:b w:val="0"/>
          <w:bCs/>
        </w:rPr>
        <w:t>8.4.3 区域设计判定应具备下列条件：</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1 区域应具有控制性详细规划和修建性详细规划；</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2 区域内获得方案批复的建筑面积不应低于判定区域总建筑面积的60%；</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3 当区域分批次建造时，应制定设计评价后不少于三年的实施方案。</w:t>
      </w:r>
    </w:p>
    <w:p>
      <w:pPr>
        <w:pStyle w:val="4"/>
        <w:rPr>
          <w:rFonts w:cs="Times New Roman"/>
          <w:b w:val="0"/>
          <w:bCs/>
        </w:rPr>
      </w:pPr>
      <w:r>
        <w:rPr>
          <w:rFonts w:cs="Times New Roman"/>
          <w:b w:val="0"/>
          <w:bCs/>
        </w:rPr>
        <w:t>8.4.4 建筑运行判定应符合下列规定：</w:t>
      </w:r>
    </w:p>
    <w:p>
      <w:pPr>
        <w:spacing w:line="400" w:lineRule="exact"/>
        <w:ind w:firstLine="420"/>
        <w:rPr>
          <w:rFonts w:ascii="Times New Roman" w:hAnsi="Times New Roman" w:cs="Times New Roman"/>
          <w:b w:val="0"/>
          <w:bCs/>
        </w:rPr>
      </w:pPr>
      <w:r>
        <w:rPr>
          <w:rFonts w:ascii="Times New Roman" w:hAnsi="Times New Roman" w:cs="Times New Roman"/>
          <w:b w:val="0"/>
          <w:bCs/>
        </w:rPr>
        <w:t>1 建筑竣工并在建筑使用面积不低于判定面积60%的情况下正常运行一年以上；</w:t>
      </w:r>
    </w:p>
    <w:p>
      <w:pPr>
        <w:spacing w:line="400" w:lineRule="exact"/>
        <w:ind w:firstLine="420"/>
        <w:rPr>
          <w:rFonts w:ascii="Times New Roman" w:hAnsi="Times New Roman" w:cs="Times New Roman"/>
          <w:b w:val="0"/>
          <w:bCs/>
        </w:rPr>
      </w:pPr>
      <w:r>
        <w:rPr>
          <w:rFonts w:ascii="Times New Roman" w:hAnsi="Times New Roman" w:cs="Times New Roman"/>
          <w:b w:val="0"/>
          <w:bCs/>
        </w:rPr>
        <w:t>2 建筑使用面积为判定面积的60%~80%时，采用运行数据折算后判定；建筑使用面积高于判定面积80%时，可采用运行数据直接判定；</w:t>
      </w:r>
    </w:p>
    <w:p>
      <w:pPr>
        <w:spacing w:line="400" w:lineRule="exact"/>
        <w:ind w:firstLine="420"/>
        <w:rPr>
          <w:rFonts w:ascii="Times New Roman" w:hAnsi="Times New Roman" w:cs="Times New Roman"/>
          <w:b w:val="0"/>
          <w:bCs/>
        </w:rPr>
      </w:pPr>
      <w:r>
        <w:rPr>
          <w:rFonts w:ascii="Times New Roman" w:hAnsi="Times New Roman" w:cs="Times New Roman"/>
          <w:b w:val="0"/>
          <w:bCs/>
        </w:rPr>
        <w:t>3 居住建筑以栋或典型用户电表、气表等计量仪表的实测数据为依据，经计算分析后满足本标准</w:t>
      </w:r>
      <w:r>
        <w:rPr>
          <w:rFonts w:hint="eastAsia" w:ascii="Times New Roman" w:hAnsi="Times New Roman" w:cs="Times New Roman"/>
          <w:b w:val="0"/>
          <w:bCs/>
        </w:rPr>
        <w:t>第</w:t>
      </w:r>
      <w:r>
        <w:rPr>
          <w:rFonts w:ascii="Times New Roman" w:hAnsi="Times New Roman" w:cs="Times New Roman"/>
          <w:b w:val="0"/>
          <w:bCs/>
        </w:rPr>
        <w:t>3.2节的要求；公共建筑应采用分项计量的能耗数据，经计算分析后满足本标准3.2节的要求。</w:t>
      </w:r>
    </w:p>
    <w:p>
      <w:pPr>
        <w:pStyle w:val="4"/>
        <w:rPr>
          <w:rFonts w:cs="Times New Roman"/>
          <w:b w:val="0"/>
          <w:bCs/>
        </w:rPr>
      </w:pPr>
      <w:r>
        <w:rPr>
          <w:rFonts w:cs="Times New Roman"/>
          <w:b w:val="0"/>
          <w:bCs/>
        </w:rPr>
        <w:t>8.4.5 区域运行判定应符合下列规定：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1 区域内主要道路、管线、公共服务、绿地等基础设施应建成并投入使用；</w:t>
      </w:r>
      <w:bookmarkStart w:id="132" w:name="_Hlk121390775"/>
      <w:r>
        <w:rPr>
          <w:rFonts w:ascii="Times New Roman" w:hAnsi="Times New Roman" w:cs="Times New Roman"/>
          <w:b w:val="0"/>
          <w:bCs/>
          <w:kern w:val="0"/>
        </w:rPr>
        <w:t>投入使用建筑面积不应低于</w:t>
      </w:r>
      <w:r>
        <w:rPr>
          <w:rFonts w:ascii="Times New Roman" w:hAnsi="Times New Roman" w:cs="Times New Roman"/>
          <w:b w:val="0"/>
          <w:bCs/>
        </w:rPr>
        <w:t>判定区域总建筑面积的</w:t>
      </w:r>
      <w:r>
        <w:rPr>
          <w:rFonts w:ascii="Times New Roman" w:hAnsi="Times New Roman" w:cs="Times New Roman"/>
          <w:b w:val="0"/>
          <w:bCs/>
          <w:kern w:val="0"/>
        </w:rPr>
        <w:t>60%</w:t>
      </w:r>
      <w:bookmarkEnd w:id="132"/>
      <w:r>
        <w:rPr>
          <w:rFonts w:ascii="Times New Roman" w:hAnsi="Times New Roman" w:cs="Times New Roman"/>
          <w:b w:val="0"/>
          <w:bCs/>
          <w:kern w:val="0"/>
        </w:rPr>
        <w:t>，且</w:t>
      </w:r>
      <w:r>
        <w:rPr>
          <w:rFonts w:ascii="Times New Roman" w:hAnsi="Times New Roman" w:cs="Times New Roman"/>
          <w:b w:val="0"/>
          <w:bCs/>
        </w:rPr>
        <w:t>正常运行满一年后进行；</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2 区域投入使用的建筑面积为判定区域总建筑面积的60%~80%时，采用运行数据折算后判定；区域投入使用的建筑面积高于判定区域总建筑面积的80%时，可采用运行数据直接判定；</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3 区域以总电表、气表等计量仪表实测数据为依据，经计算分析后满足本标准</w:t>
      </w:r>
      <w:r>
        <w:rPr>
          <w:rFonts w:hint="eastAsia" w:ascii="Times New Roman" w:hAnsi="Times New Roman" w:cs="Times New Roman"/>
          <w:b w:val="0"/>
          <w:bCs/>
        </w:rPr>
        <w:t>第</w:t>
      </w:r>
      <w:r>
        <w:rPr>
          <w:rFonts w:ascii="Times New Roman" w:hAnsi="Times New Roman" w:cs="Times New Roman"/>
          <w:b w:val="0"/>
          <w:bCs/>
        </w:rPr>
        <w:t>3.3节的要求。</w:t>
      </w:r>
    </w:p>
    <w:p>
      <w:pPr>
        <w:pStyle w:val="4"/>
        <w:rPr>
          <w:rFonts w:cs="Times New Roman"/>
          <w:b w:val="0"/>
          <w:bCs/>
        </w:rPr>
      </w:pPr>
      <w:r>
        <w:rPr>
          <w:rFonts w:cs="Times New Roman"/>
          <w:b w:val="0"/>
          <w:bCs/>
        </w:rPr>
        <w:t xml:space="preserve">8.4.6 </w:t>
      </w:r>
      <w:r>
        <w:rPr>
          <w:rFonts w:hint="eastAsia" w:cs="Times New Roman"/>
          <w:b w:val="0"/>
          <w:bCs/>
        </w:rPr>
        <w:t>当设计建筑满足本标准第3.2.1条或3.2.2条的低碳建筑碳排放指标，并满足下列条件时，可判定为近零碳建筑：</w:t>
      </w:r>
    </w:p>
    <w:p>
      <w:pPr>
        <w:spacing w:line="360" w:lineRule="auto"/>
        <w:ind w:firstLine="420" w:firstLineChars="200"/>
        <w:rPr>
          <w:rFonts w:ascii="Times New Roman" w:hAnsi="Times New Roman" w:cs="Times New Roman"/>
          <w:b w:val="0"/>
          <w:bCs/>
        </w:rPr>
      </w:pPr>
      <w:bookmarkStart w:id="133" w:name="_Hlk128391521"/>
      <w:r>
        <w:rPr>
          <w:rFonts w:ascii="Times New Roman" w:hAnsi="Times New Roman" w:cs="Times New Roman"/>
          <w:b w:val="0"/>
          <w:bCs/>
        </w:rPr>
        <w:t>1  建筑负荷柔性调节具备的单次调节能力，且最大调节功率不小于基线功率的20%，调节电量比例不小于基线电量的20%。</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2  建筑柔性响应时间不大于300秒，响应速率不小于可调节负荷容量的15%/分钟，持续调节时间不小于1h。</w:t>
      </w:r>
    </w:p>
    <w:p>
      <w:pPr>
        <w:spacing w:line="360" w:lineRule="auto"/>
        <w:ind w:firstLine="420" w:firstLineChars="200"/>
        <w:rPr>
          <w:rFonts w:ascii="Times New Roman" w:hAnsi="Times New Roman" w:cs="Times New Roman"/>
          <w:b w:val="0"/>
          <w:bCs/>
        </w:rPr>
      </w:pPr>
      <w:r>
        <w:rPr>
          <w:rFonts w:ascii="Times New Roman" w:hAnsi="Times New Roman" w:cs="Times New Roman"/>
          <w:b w:val="0"/>
          <w:bCs/>
        </w:rPr>
        <w:t>3  通过建筑电气化替代和减少化石能源使用，且建筑电气化率不低于90%。</w:t>
      </w:r>
    </w:p>
    <w:bookmarkEnd w:id="133"/>
    <w:p>
      <w:pPr>
        <w:pStyle w:val="4"/>
        <w:rPr>
          <w:rFonts w:cs="Times New Roman"/>
          <w:b w:val="0"/>
          <w:bCs/>
        </w:rPr>
      </w:pPr>
      <w:r>
        <w:rPr>
          <w:rFonts w:cs="Times New Roman"/>
          <w:b w:val="0"/>
          <w:bCs/>
        </w:rPr>
        <w:t>8.4.7 当设计建筑满足本标准</w:t>
      </w:r>
      <w:r>
        <w:rPr>
          <w:rFonts w:hint="eastAsia" w:cs="Times New Roman"/>
          <w:b w:val="0"/>
          <w:bCs/>
        </w:rPr>
        <w:t>第</w:t>
      </w:r>
      <w:r>
        <w:rPr>
          <w:rFonts w:cs="Times New Roman"/>
          <w:b w:val="0"/>
          <w:bCs/>
        </w:rPr>
        <w:t>3.2.3条或3.2.4条的近零碳建筑碳排放指标，并满足下列条件时，可判定为零碳建筑：</w:t>
      </w:r>
    </w:p>
    <w:p>
      <w:pPr>
        <w:pStyle w:val="71"/>
        <w:numPr>
          <w:ilvl w:val="255"/>
          <w:numId w:val="0"/>
        </w:numPr>
        <w:tabs>
          <w:tab w:val="left" w:pos="480"/>
          <w:tab w:val="left" w:pos="7200"/>
        </w:tabs>
        <w:spacing w:line="360" w:lineRule="auto"/>
        <w:ind w:firstLine="420" w:firstLineChars="200"/>
        <w:rPr>
          <w:rFonts w:ascii="Times New Roman" w:hAnsi="Times New Roman" w:cs="Times New Roman"/>
          <w:b w:val="0"/>
          <w:bCs/>
        </w:rPr>
      </w:pPr>
      <w:r>
        <w:rPr>
          <w:rFonts w:ascii="Times New Roman" w:hAnsi="Times New Roman" w:cs="Times New Roman"/>
          <w:b w:val="0"/>
          <w:bCs/>
        </w:rPr>
        <w:t>1  建筑负荷柔性调节具备的单次调节能力，最大调节容量不小于基线功率的50%，调节电量比例不小于基线</w:t>
      </w:r>
      <w:r>
        <w:rPr>
          <w:rFonts w:hint="eastAsia" w:ascii="Times New Roman" w:hAnsi="Times New Roman" w:cs="Times New Roman"/>
          <w:b w:val="0"/>
          <w:bCs/>
        </w:rPr>
        <w:t>电</w:t>
      </w:r>
      <w:r>
        <w:rPr>
          <w:rFonts w:ascii="Times New Roman" w:hAnsi="Times New Roman" w:cs="Times New Roman"/>
          <w:b w:val="0"/>
          <w:bCs/>
        </w:rPr>
        <w:t>量的50%。</w:t>
      </w:r>
    </w:p>
    <w:p>
      <w:pPr>
        <w:pStyle w:val="71"/>
        <w:numPr>
          <w:ilvl w:val="255"/>
          <w:numId w:val="0"/>
        </w:numPr>
        <w:tabs>
          <w:tab w:val="left" w:pos="480"/>
          <w:tab w:val="left" w:pos="7200"/>
        </w:tabs>
        <w:spacing w:line="360" w:lineRule="auto"/>
        <w:ind w:firstLine="420" w:firstLineChars="200"/>
        <w:rPr>
          <w:rFonts w:ascii="Times New Roman" w:hAnsi="Times New Roman" w:cs="Times New Roman"/>
          <w:b w:val="0"/>
          <w:bCs/>
        </w:rPr>
      </w:pPr>
      <w:r>
        <w:rPr>
          <w:rFonts w:ascii="Times New Roman" w:hAnsi="Times New Roman" w:cs="Times New Roman"/>
          <w:b w:val="0"/>
          <w:bCs/>
        </w:rPr>
        <w:t>2  建筑负荷柔性调节具备的连续调节能力，调节功率偏差不大于目标功率的20%，调节电量偏差不大于理论调节电量的10%。</w:t>
      </w:r>
    </w:p>
    <w:p>
      <w:pPr>
        <w:pStyle w:val="71"/>
        <w:numPr>
          <w:ilvl w:val="255"/>
          <w:numId w:val="0"/>
        </w:numPr>
        <w:tabs>
          <w:tab w:val="left" w:pos="480"/>
          <w:tab w:val="left" w:pos="7200"/>
        </w:tabs>
        <w:spacing w:line="360" w:lineRule="auto"/>
        <w:ind w:firstLine="420" w:firstLineChars="200"/>
        <w:rPr>
          <w:rFonts w:ascii="Times New Roman" w:hAnsi="Times New Roman" w:cs="Times New Roman"/>
          <w:b w:val="0"/>
          <w:bCs/>
        </w:rPr>
      </w:pPr>
      <w:r>
        <w:rPr>
          <w:rFonts w:ascii="Times New Roman" w:hAnsi="Times New Roman" w:cs="Times New Roman"/>
          <w:b w:val="0"/>
          <w:bCs/>
        </w:rPr>
        <w:t>3  建筑柔性响应时间不大于120s，响应速率不小于可调节负荷容量的15%/min，持续调节时间不小于2h。</w:t>
      </w:r>
    </w:p>
    <w:p>
      <w:pPr>
        <w:pStyle w:val="71"/>
        <w:numPr>
          <w:ilvl w:val="255"/>
          <w:numId w:val="0"/>
        </w:numPr>
        <w:tabs>
          <w:tab w:val="left" w:pos="480"/>
          <w:tab w:val="left" w:pos="7200"/>
        </w:tabs>
        <w:spacing w:line="360" w:lineRule="auto"/>
        <w:ind w:firstLine="420" w:firstLineChars="200"/>
        <w:rPr>
          <w:rFonts w:ascii="Times New Roman" w:hAnsi="Times New Roman" w:cs="Times New Roman"/>
          <w:b w:val="0"/>
          <w:bCs/>
        </w:rPr>
      </w:pPr>
      <w:r>
        <w:rPr>
          <w:rFonts w:ascii="Times New Roman" w:hAnsi="Times New Roman" w:cs="Times New Roman"/>
          <w:b w:val="0"/>
          <w:bCs/>
        </w:rPr>
        <w:t>4  建筑全部用能由非化石能源提供，且建筑电气化率为100%。</w:t>
      </w:r>
    </w:p>
    <w:bookmarkEnd w:id="131"/>
    <w:p>
      <w:pPr>
        <w:rPr>
          <w:rFonts w:ascii="Times New Roman" w:hAnsi="Times New Roman" w:cs="Times New Roman"/>
          <w:b w:val="0"/>
          <w:bCs/>
        </w:rPr>
      </w:pPr>
      <w:bookmarkStart w:id="134" w:name="_Toc126397935"/>
      <w:bookmarkStart w:id="135" w:name="_Toc128988434"/>
      <w:r>
        <w:rPr>
          <w:rFonts w:ascii="Times New Roman" w:hAnsi="Times New Roman" w:cs="Times New Roman"/>
          <w:b w:val="0"/>
          <w:bCs/>
        </w:rPr>
        <w:br w:type="page"/>
      </w:r>
    </w:p>
    <w:p>
      <w:pPr>
        <w:pStyle w:val="40"/>
        <w:tabs>
          <w:tab w:val="left" w:pos="1734"/>
          <w:tab w:val="center" w:pos="4156"/>
        </w:tabs>
        <w:rPr>
          <w:rFonts w:ascii="Times New Roman" w:hAnsi="Times New Roman" w:cs="Times New Roman"/>
          <w:b w:val="0"/>
          <w:bCs/>
        </w:rPr>
      </w:pPr>
      <w:r>
        <w:rPr>
          <w:rFonts w:ascii="Times New Roman" w:hAnsi="Times New Roman" w:cs="Times New Roman"/>
          <w:b w:val="0"/>
          <w:bCs/>
        </w:rPr>
        <w:t xml:space="preserve">9 </w:t>
      </w:r>
      <w:bookmarkEnd w:id="134"/>
      <w:r>
        <w:rPr>
          <w:rFonts w:ascii="Times New Roman" w:hAnsi="Times New Roman" w:cs="Times New Roman"/>
          <w:b w:val="0"/>
          <w:bCs/>
        </w:rPr>
        <w:t>碳抵消</w:t>
      </w:r>
      <w:bookmarkEnd w:id="135"/>
    </w:p>
    <w:p>
      <w:pPr>
        <w:spacing w:before="120" w:after="12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21"/>
        </w:rPr>
        <w:t>9.0.1零碳</w:t>
      </w:r>
      <w:r>
        <w:rPr>
          <w:rFonts w:ascii="Times New Roman" w:hAnsi="Times New Roman" w:eastAsia="宋体" w:cs="Times New Roman"/>
          <w:b w:val="0"/>
          <w:bCs/>
          <w:szCs w:val="32"/>
        </w:rPr>
        <w:t>建筑与区域可通过引入绿色电力交易和碳排放权交易等碳抵消方式实现。</w:t>
      </w:r>
    </w:p>
    <w:p>
      <w:pPr>
        <w:spacing w:before="120" w:after="12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21"/>
        </w:rPr>
        <w:t>9.0.2</w:t>
      </w:r>
      <w:r>
        <w:rPr>
          <w:rFonts w:ascii="Times New Roman" w:hAnsi="Times New Roman" w:eastAsia="宋体" w:cs="Times New Roman"/>
          <w:b w:val="0"/>
          <w:bCs/>
          <w:szCs w:val="32"/>
        </w:rPr>
        <w:t>绿色电力交易与碳排放权交易的产品应为中国国内相关交易机制签发或在中国境内开发的减排项目。</w:t>
      </w:r>
    </w:p>
    <w:p>
      <w:pPr>
        <w:spacing w:before="120" w:after="120" w:line="400" w:lineRule="exact"/>
        <w:outlineLvl w:val="2"/>
        <w:rPr>
          <w:rFonts w:ascii="Times New Roman" w:hAnsi="Times New Roman" w:eastAsia="宋体" w:cs="Times New Roman"/>
          <w:b w:val="0"/>
          <w:bCs/>
          <w:szCs w:val="32"/>
        </w:rPr>
      </w:pPr>
      <w:r>
        <w:rPr>
          <w:rFonts w:ascii="Times New Roman" w:hAnsi="Times New Roman" w:eastAsia="宋体" w:cs="Times New Roman"/>
          <w:b w:val="0"/>
          <w:bCs/>
          <w:szCs w:val="32"/>
        </w:rPr>
        <w:t>9.0.3</w:t>
      </w:r>
      <w:bookmarkStart w:id="136" w:name="_Hlk128314099"/>
      <w:r>
        <w:rPr>
          <w:rFonts w:ascii="Times New Roman" w:hAnsi="Times New Roman" w:eastAsia="宋体" w:cs="Times New Roman"/>
          <w:b w:val="0"/>
          <w:bCs/>
          <w:szCs w:val="21"/>
        </w:rPr>
        <w:t>零碳建筑与区域引入碳抵消方式进行设计判定时</w:t>
      </w:r>
      <w:bookmarkEnd w:id="136"/>
      <w:r>
        <w:rPr>
          <w:rFonts w:ascii="Times New Roman" w:hAnsi="Times New Roman" w:eastAsia="宋体" w:cs="Times New Roman"/>
          <w:b w:val="0"/>
          <w:bCs/>
          <w:szCs w:val="21"/>
        </w:rPr>
        <w:t>，应购买不少于10年的绿色电力或等量的碳信用产品</w:t>
      </w:r>
      <w:r>
        <w:rPr>
          <w:rFonts w:ascii="Times New Roman" w:hAnsi="Times New Roman" w:eastAsia="宋体" w:cs="Times New Roman"/>
          <w:b w:val="0"/>
          <w:bCs/>
          <w:color w:val="000000"/>
          <w:kern w:val="0"/>
          <w:szCs w:val="21"/>
        </w:rPr>
        <w:t>。零碳建筑与区域引入碳抵消方式进行运行判定时，可先使用设计阶段购买的绿色电力或碳信用产品进行抵消，当购买量抵消完时，应购买不少于5年运行期的绿色电力或等量的碳信用产品。</w:t>
      </w:r>
    </w:p>
    <w:p>
      <w:pPr>
        <w:spacing w:before="120" w:after="156" w:afterLines="50" w:line="400" w:lineRule="exact"/>
        <w:outlineLvl w:val="2"/>
        <w:rPr>
          <w:rFonts w:ascii="Times New Roman" w:hAnsi="Times New Roman" w:eastAsia="宋体" w:cs="Times New Roman"/>
          <w:b w:val="0"/>
          <w:bCs/>
        </w:rPr>
      </w:pPr>
      <w:r>
        <w:rPr>
          <w:rFonts w:ascii="Times New Roman" w:hAnsi="Times New Roman" w:eastAsia="宋体" w:cs="Times New Roman"/>
          <w:b w:val="0"/>
          <w:bCs/>
          <w:szCs w:val="32"/>
        </w:rPr>
        <w:t xml:space="preserve">9.0.4 </w:t>
      </w:r>
      <w:r>
        <w:rPr>
          <w:rFonts w:hint="eastAsia" w:ascii="Times New Roman" w:hAnsi="Times New Roman" w:eastAsia="宋体" w:cs="Times New Roman"/>
          <w:b w:val="0"/>
          <w:bCs/>
        </w:rPr>
        <w:t>下列</w:t>
      </w:r>
      <w:r>
        <w:rPr>
          <w:rFonts w:ascii="Times New Roman" w:hAnsi="Times New Roman" w:eastAsia="宋体" w:cs="Times New Roman"/>
          <w:b w:val="0"/>
          <w:bCs/>
        </w:rPr>
        <w:t>领域宜开展建筑和区域碳抵消模式创新：</w:t>
      </w:r>
    </w:p>
    <w:p>
      <w:pPr>
        <w:spacing w:line="400" w:lineRule="exact"/>
        <w:ind w:firstLine="420" w:firstLineChars="200"/>
        <w:rPr>
          <w:rFonts w:ascii="Times New Roman" w:hAnsi="Times New Roman" w:eastAsia="宋体" w:cs="Times New Roman"/>
          <w:b w:val="0"/>
          <w:bCs/>
        </w:rPr>
      </w:pPr>
      <w:r>
        <w:rPr>
          <w:rFonts w:ascii="Times New Roman" w:hAnsi="Times New Roman" w:eastAsia="宋体" w:cs="Times New Roman"/>
          <w:b w:val="0"/>
          <w:bCs/>
        </w:rPr>
        <w:t>1 在建筑和区域边界外投资集中式或分布式可再生能源发电设施，为运行阶段提供绿色电力；</w:t>
      </w:r>
    </w:p>
    <w:p>
      <w:pPr>
        <w:spacing w:line="360" w:lineRule="auto"/>
        <w:ind w:firstLine="420" w:firstLineChars="200"/>
        <w:jc w:val="left"/>
        <w:rPr>
          <w:rFonts w:ascii="Times New Roman" w:hAnsi="Times New Roman" w:eastAsia="宋体" w:cs="Times New Roman"/>
          <w:b w:val="0"/>
          <w:bCs/>
        </w:rPr>
      </w:pPr>
      <w:r>
        <w:rPr>
          <w:rFonts w:ascii="Times New Roman" w:hAnsi="Times New Roman" w:eastAsia="宋体" w:cs="Times New Roman"/>
          <w:b w:val="0"/>
          <w:bCs/>
        </w:rPr>
        <w:t>2 在城市郊区、农村开发大型生态绿廊、生态公益林等新型农林碳汇项目，用于建筑和区域实现零碳排放。</w:t>
      </w:r>
    </w:p>
    <w:p>
      <w:pPr>
        <w:rPr>
          <w:rFonts w:hint="eastAsia" w:ascii="Times New Roman" w:hAnsi="Times New Roman" w:eastAsia="黑体" w:cs="Times New Roman"/>
          <w:b w:val="0"/>
          <w:bCs/>
          <w:kern w:val="0"/>
          <w:sz w:val="28"/>
          <w:szCs w:val="28"/>
        </w:rPr>
      </w:pPr>
      <w:bookmarkStart w:id="137" w:name="_Toc126397936"/>
      <w:bookmarkStart w:id="138" w:name="_Toc128988435"/>
      <w:r>
        <w:rPr>
          <w:rFonts w:hint="eastAsia" w:ascii="Times New Roman" w:hAnsi="Times New Roman" w:eastAsia="黑体" w:cs="Times New Roman"/>
          <w:b w:val="0"/>
          <w:bCs/>
          <w:kern w:val="0"/>
          <w:sz w:val="28"/>
          <w:szCs w:val="28"/>
        </w:rPr>
        <w:br w:type="page"/>
      </w:r>
    </w:p>
    <w:p>
      <w:pPr>
        <w:keepNext/>
        <w:tabs>
          <w:tab w:val="left" w:pos="720"/>
          <w:tab w:val="left" w:pos="910"/>
          <w:tab w:val="left" w:pos="1190"/>
          <w:tab w:val="left" w:pos="2520"/>
          <w:tab w:val="left" w:pos="7020"/>
        </w:tabs>
        <w:adjustRightInd/>
        <w:snapToGrid/>
        <w:spacing w:before="156" w:beforeLines="50" w:after="156" w:afterLines="50" w:line="276" w:lineRule="auto"/>
        <w:jc w:val="center"/>
        <w:outlineLvl w:val="0"/>
        <w:rPr>
          <w:rFonts w:ascii="Times New Roman" w:hAnsi="Times New Roman" w:eastAsia="黑体" w:cs="Times New Roman"/>
          <w:b w:val="0"/>
          <w:bCs/>
          <w:kern w:val="0"/>
          <w:sz w:val="28"/>
          <w:szCs w:val="28"/>
        </w:rPr>
      </w:pPr>
      <w:r>
        <w:rPr>
          <w:rFonts w:hint="eastAsia" w:ascii="Times New Roman" w:hAnsi="Times New Roman" w:eastAsia="黑体" w:cs="Times New Roman"/>
          <w:b w:val="0"/>
          <w:bCs/>
          <w:kern w:val="0"/>
          <w:sz w:val="28"/>
          <w:szCs w:val="28"/>
        </w:rPr>
        <w:t>附录</w:t>
      </w:r>
      <w:r>
        <w:rPr>
          <w:rFonts w:ascii="Times New Roman" w:hAnsi="Times New Roman" w:eastAsia="黑体" w:cs="Times New Roman"/>
          <w:b w:val="0"/>
          <w:bCs/>
          <w:kern w:val="0"/>
          <w:sz w:val="28"/>
          <w:szCs w:val="28"/>
        </w:rPr>
        <w:t>A</w:t>
      </w:r>
      <w:r>
        <w:rPr>
          <w:rFonts w:hint="eastAsia" w:ascii="Times New Roman" w:hAnsi="Times New Roman" w:eastAsia="黑体" w:cs="Times New Roman"/>
          <w:b w:val="0"/>
          <w:bCs/>
          <w:kern w:val="0"/>
          <w:sz w:val="28"/>
          <w:szCs w:val="28"/>
        </w:rPr>
        <w:t>建筑碳排放指标计算</w:t>
      </w:r>
      <w:bookmarkEnd w:id="137"/>
      <w:bookmarkEnd w:id="138"/>
    </w:p>
    <w:p>
      <w:pPr>
        <w:widowControl/>
        <w:adjustRightInd/>
        <w:snapToGrid/>
        <w:spacing w:line="360" w:lineRule="auto"/>
        <w:jc w:val="left"/>
        <w:rPr>
          <w:rFonts w:ascii="Times New Roman" w:hAnsi="Times New Roman" w:eastAsia="宋体" w:cs="Times New Roman"/>
          <w:b w:val="0"/>
          <w:bCs/>
          <w:szCs w:val="21"/>
        </w:rPr>
      </w:pPr>
      <w:r>
        <w:rPr>
          <w:rFonts w:ascii="Times New Roman" w:hAnsi="Times New Roman" w:eastAsia="宋体" w:cs="Times New Roman"/>
          <w:b w:val="0"/>
          <w:bCs/>
          <w:szCs w:val="21"/>
        </w:rPr>
        <w:t>A.0.1</w:t>
      </w:r>
      <w:r>
        <w:rPr>
          <w:rFonts w:hint="eastAsia" w:ascii="Times New Roman" w:hAnsi="Times New Roman" w:eastAsia="宋体" w:cs="Times New Roman"/>
          <w:b w:val="0"/>
          <w:bCs/>
          <w:szCs w:val="21"/>
        </w:rPr>
        <w:t>技术指标的计算应满足下列规定：</w:t>
      </w:r>
    </w:p>
    <w:p>
      <w:pPr>
        <w:spacing w:before="78" w:after="78"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 xml:space="preserve">1 </w:t>
      </w:r>
      <w:r>
        <w:rPr>
          <w:rFonts w:hint="eastAsia" w:ascii="Times New Roman" w:hAnsi="Times New Roman" w:eastAsia="宋体" w:cs="Times New Roman"/>
          <w:b w:val="0"/>
          <w:bCs/>
          <w:szCs w:val="21"/>
        </w:rPr>
        <w:t>气象参数应按现行行业标准《建筑节能气象参数标准》</w:t>
      </w:r>
      <w:r>
        <w:rPr>
          <w:rFonts w:ascii="Times New Roman" w:hAnsi="Times New Roman" w:eastAsia="宋体" w:cs="Times New Roman"/>
          <w:b w:val="0"/>
          <w:bCs/>
          <w:szCs w:val="21"/>
        </w:rPr>
        <w:t>JGJ/T 346</w:t>
      </w:r>
      <w:r>
        <w:rPr>
          <w:rFonts w:hint="eastAsia" w:ascii="Times New Roman" w:hAnsi="Times New Roman" w:eastAsia="宋体" w:cs="Times New Roman"/>
          <w:b w:val="0"/>
          <w:bCs/>
          <w:szCs w:val="21"/>
        </w:rPr>
        <w:t>确定；</w:t>
      </w:r>
    </w:p>
    <w:p>
      <w:pPr>
        <w:spacing w:before="78" w:after="78"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 xml:space="preserve">2 </w:t>
      </w:r>
      <w:r>
        <w:rPr>
          <w:rFonts w:hint="eastAsia" w:ascii="Times New Roman" w:hAnsi="Times New Roman" w:eastAsia="宋体" w:cs="Times New Roman"/>
          <w:b w:val="0"/>
          <w:bCs/>
          <w:szCs w:val="21"/>
        </w:rPr>
        <w:t>供暖年耗热量和供冷年耗冷量应包括围护结构的热损失和处理新风的热（或冷）需求；</w:t>
      </w:r>
    </w:p>
    <w:p>
      <w:pPr>
        <w:spacing w:before="78" w:after="78"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 xml:space="preserve">3 </w:t>
      </w:r>
      <w:r>
        <w:rPr>
          <w:rFonts w:hint="eastAsia" w:ascii="Times New Roman" w:hAnsi="Times New Roman" w:eastAsia="宋体" w:cs="Times New Roman"/>
          <w:b w:val="0"/>
          <w:bCs/>
          <w:szCs w:val="21"/>
        </w:rPr>
        <w:t>当室外温度</w:t>
      </w:r>
      <w:r>
        <w:rPr>
          <w:rFonts w:ascii="Times New Roman" w:hAnsi="Times New Roman" w:eastAsia="宋体" w:cs="Times New Roman"/>
          <w:b w:val="0"/>
          <w:bCs/>
          <w:szCs w:val="21"/>
        </w:rPr>
        <w:t>≤28℃</w:t>
      </w:r>
      <w:r>
        <w:rPr>
          <w:rFonts w:hint="eastAsia" w:ascii="Times New Roman" w:hAnsi="Times New Roman" w:eastAsia="宋体" w:cs="Times New Roman"/>
          <w:b w:val="0"/>
          <w:bCs/>
          <w:szCs w:val="21"/>
        </w:rPr>
        <w:t>且相对湿度</w:t>
      </w:r>
      <w:r>
        <w:rPr>
          <w:rFonts w:ascii="Times New Roman" w:hAnsi="Times New Roman" w:eastAsia="宋体" w:cs="Times New Roman"/>
          <w:b w:val="0"/>
          <w:bCs/>
          <w:szCs w:val="21"/>
        </w:rPr>
        <w:t>≤70%</w:t>
      </w:r>
      <w:r>
        <w:rPr>
          <w:rFonts w:hint="eastAsia" w:ascii="Times New Roman" w:hAnsi="Times New Roman" w:eastAsia="宋体" w:cs="Times New Roman"/>
          <w:b w:val="0"/>
          <w:bCs/>
          <w:szCs w:val="21"/>
        </w:rPr>
        <w:t>时，应利用自然通风，不计算建筑的供冷需求；</w:t>
      </w:r>
    </w:p>
    <w:p>
      <w:pPr>
        <w:adjustRightInd/>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4</w:t>
      </w:r>
      <w:r>
        <w:rPr>
          <w:rFonts w:hint="eastAsia" w:ascii="Times New Roman" w:hAnsi="Times New Roman" w:eastAsia="宋体" w:cs="Times New Roman"/>
          <w:b w:val="0"/>
          <w:bCs/>
          <w:szCs w:val="21"/>
        </w:rPr>
        <w:t>供暖通风空调系统能耗计算时应能考虑部分负荷及间歇使用的影响；</w:t>
      </w:r>
    </w:p>
    <w:p>
      <w:pPr>
        <w:adjustRightInd/>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5</w:t>
      </w:r>
      <w:r>
        <w:rPr>
          <w:rFonts w:hint="eastAsia" w:ascii="Times New Roman" w:hAnsi="Times New Roman" w:eastAsia="宋体" w:cs="Times New Roman"/>
          <w:b w:val="0"/>
          <w:bCs/>
          <w:szCs w:val="21"/>
        </w:rPr>
        <w:t>照明能耗的计算应考虑自然采光和自动控制的影响；</w:t>
      </w:r>
    </w:p>
    <w:p>
      <w:pPr>
        <w:adjustRightInd/>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6</w:t>
      </w:r>
      <w:r>
        <w:rPr>
          <w:rFonts w:hint="eastAsia" w:ascii="Times New Roman" w:hAnsi="Times New Roman" w:eastAsia="宋体" w:cs="Times New Roman"/>
          <w:b w:val="0"/>
          <w:bCs/>
          <w:szCs w:val="21"/>
        </w:rPr>
        <w:t>应计算可再生能源利用量；</w:t>
      </w:r>
    </w:p>
    <w:p>
      <w:pPr>
        <w:autoSpaceDE w:val="0"/>
        <w:autoSpaceDN w:val="0"/>
        <w:snapToGrid/>
        <w:spacing w:before="240" w:line="360" w:lineRule="auto"/>
        <w:rPr>
          <w:rFonts w:ascii="Times New Roman" w:hAnsi="Times New Roman" w:eastAsia="宋体" w:cs="Times New Roman"/>
          <w:b w:val="0"/>
          <w:bCs/>
          <w:kern w:val="0"/>
          <w:szCs w:val="21"/>
        </w:rPr>
      </w:pPr>
      <w:r>
        <w:rPr>
          <w:rFonts w:ascii="Times New Roman" w:hAnsi="Times New Roman" w:eastAsia="宋体" w:cs="Times New Roman"/>
          <w:b w:val="0"/>
          <w:bCs/>
          <w:szCs w:val="21"/>
        </w:rPr>
        <w:t xml:space="preserve">A.0.2 </w:t>
      </w:r>
      <w:r>
        <w:rPr>
          <w:rFonts w:hint="eastAsia" w:ascii="Times New Roman" w:hAnsi="Times New Roman" w:eastAsia="宋体" w:cs="Times New Roman"/>
          <w:b w:val="0"/>
          <w:bCs/>
          <w:kern w:val="0"/>
          <w:szCs w:val="21"/>
        </w:rPr>
        <w:t>设计建筑</w:t>
      </w:r>
      <w:r>
        <w:rPr>
          <w:rFonts w:hint="eastAsia" w:ascii="Times New Roman" w:hAnsi="Times New Roman" w:eastAsia="宋体" w:cs="Times New Roman"/>
          <w:b w:val="0"/>
          <w:bCs/>
          <w:szCs w:val="21"/>
        </w:rPr>
        <w:t>技术指标计算参数设置</w:t>
      </w:r>
      <w:r>
        <w:rPr>
          <w:rFonts w:hint="eastAsia" w:ascii="Times New Roman" w:hAnsi="Times New Roman" w:eastAsia="宋体" w:cs="Times New Roman"/>
          <w:b w:val="0"/>
          <w:bCs/>
          <w:kern w:val="0"/>
          <w:szCs w:val="21"/>
        </w:rPr>
        <w:t>应符合下列规定：</w:t>
      </w:r>
    </w:p>
    <w:p>
      <w:pPr>
        <w:autoSpaceDE w:val="0"/>
        <w:autoSpaceDN w:val="0"/>
        <w:snapToGrid/>
        <w:spacing w:line="360" w:lineRule="auto"/>
        <w:ind w:firstLine="420" w:firstLineChars="200"/>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 xml:space="preserve">1 </w:t>
      </w:r>
      <w:r>
        <w:rPr>
          <w:rFonts w:hint="eastAsia" w:ascii="Times New Roman" w:hAnsi="Times New Roman" w:eastAsia="宋体" w:cs="Times New Roman"/>
          <w:b w:val="0"/>
          <w:bCs/>
          <w:kern w:val="0"/>
          <w:szCs w:val="21"/>
        </w:rPr>
        <w:t>建筑的形状、大小、朝向、内部的空间划分和使用功能、建筑构造尺寸、建筑围护结构传热系数、做法、外窗（包括透光幕墙）太阳得热系数、窗墙面积比、屋面开窗面积应与建筑设计文件一致；</w:t>
      </w:r>
      <w:r>
        <w:rPr>
          <w:rFonts w:hint="eastAsia" w:ascii="Times New Roman" w:hAnsi="Times New Roman" w:eastAsia="宋体" w:cs="Times New Roman"/>
          <w:b w:val="0"/>
          <w:bCs/>
          <w:szCs w:val="21"/>
        </w:rPr>
        <w:t>当设计建筑采用活动遮阳装置时，供暖季和供冷季的遮阳系数按表</w:t>
      </w:r>
      <w:r>
        <w:rPr>
          <w:rFonts w:ascii="Times New Roman" w:hAnsi="Times New Roman" w:eastAsia="宋体" w:cs="Times New Roman"/>
          <w:b w:val="0"/>
          <w:bCs/>
          <w:szCs w:val="21"/>
        </w:rPr>
        <w:t>A.1.3-2</w:t>
      </w:r>
      <w:r>
        <w:rPr>
          <w:rFonts w:hint="eastAsia" w:ascii="Times New Roman" w:hAnsi="Times New Roman" w:eastAsia="宋体" w:cs="Times New Roman"/>
          <w:b w:val="0"/>
          <w:bCs/>
          <w:szCs w:val="21"/>
        </w:rPr>
        <w:t>确定；</w:t>
      </w:r>
    </w:p>
    <w:p>
      <w:pPr>
        <w:autoSpaceDE w:val="0"/>
        <w:autoSpaceDN w:val="0"/>
        <w:snapToGrid/>
        <w:spacing w:line="360" w:lineRule="auto"/>
        <w:ind w:firstLine="420" w:firstLineChars="200"/>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 xml:space="preserve">2 </w:t>
      </w:r>
      <w:r>
        <w:rPr>
          <w:rFonts w:hint="eastAsia" w:ascii="Times New Roman" w:hAnsi="Times New Roman" w:eastAsia="宋体" w:cs="Times New Roman"/>
          <w:b w:val="0"/>
          <w:bCs/>
          <w:kern w:val="0"/>
          <w:szCs w:val="21"/>
        </w:rPr>
        <w:t>供暖、通风、空调、照明、生活热水、电梯、炊事、可再生能源、用电器具的系统形式和能效应与设计文件一致；生活热水系统的用水量应与设计文件一致，并满足国家标准现行国家标准《民用建筑节水设计标准》</w:t>
      </w:r>
      <w:r>
        <w:rPr>
          <w:rFonts w:ascii="Times New Roman" w:hAnsi="Times New Roman" w:eastAsia="宋体" w:cs="Times New Roman"/>
          <w:b w:val="0"/>
          <w:bCs/>
          <w:kern w:val="0"/>
          <w:szCs w:val="21"/>
        </w:rPr>
        <w:t>GB50555</w:t>
      </w:r>
      <w:r>
        <w:rPr>
          <w:rFonts w:hint="eastAsia" w:ascii="Times New Roman" w:hAnsi="Times New Roman" w:eastAsia="宋体" w:cs="Times New Roman"/>
          <w:b w:val="0"/>
          <w:bCs/>
          <w:kern w:val="0"/>
          <w:szCs w:val="21"/>
        </w:rPr>
        <w:t>的规定；</w:t>
      </w:r>
    </w:p>
    <w:p>
      <w:pPr>
        <w:autoSpaceDE w:val="0"/>
        <w:autoSpaceDN w:val="0"/>
        <w:snapToGrid/>
        <w:spacing w:line="360" w:lineRule="auto"/>
        <w:ind w:firstLine="417" w:firstLineChars="199"/>
        <w:rPr>
          <w:rFonts w:ascii="Times New Roman" w:hAnsi="Times New Roman" w:eastAsia="宋体" w:cs="Times New Roman"/>
          <w:b w:val="0"/>
          <w:bCs/>
          <w:szCs w:val="21"/>
        </w:rPr>
      </w:pPr>
      <w:r>
        <w:rPr>
          <w:rFonts w:ascii="Times New Roman" w:hAnsi="Times New Roman" w:eastAsia="宋体" w:cs="Times New Roman"/>
          <w:b w:val="0"/>
          <w:bCs/>
          <w:szCs w:val="21"/>
        </w:rPr>
        <w:t xml:space="preserve">3 </w:t>
      </w:r>
      <w:r>
        <w:rPr>
          <w:rFonts w:hint="eastAsia" w:ascii="Times New Roman" w:hAnsi="Times New Roman" w:eastAsia="宋体" w:cs="Times New Roman"/>
          <w:b w:val="0"/>
          <w:bCs/>
          <w:kern w:val="0"/>
          <w:szCs w:val="21"/>
        </w:rPr>
        <w:t>建筑功能区除设计文件中已明确的非供暖和供冷区外，均应按设置供暖和供冷的区域计算；</w:t>
      </w:r>
    </w:p>
    <w:p>
      <w:pPr>
        <w:autoSpaceDE w:val="0"/>
        <w:autoSpaceDN w:val="0"/>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 xml:space="preserve">4 </w:t>
      </w:r>
      <w:r>
        <w:rPr>
          <w:rFonts w:hint="eastAsia" w:ascii="Times New Roman" w:hAnsi="Times New Roman" w:eastAsia="宋体" w:cs="Times New Roman"/>
          <w:b w:val="0"/>
          <w:bCs/>
          <w:szCs w:val="21"/>
        </w:rPr>
        <w:t>房间人员密度及在室率、电器设备功率密度及使用率、照明开启时间表等参数应满足现行国家标准《近零能耗建筑技术标准》</w:t>
      </w:r>
      <w:r>
        <w:rPr>
          <w:rFonts w:ascii="Times New Roman" w:hAnsi="Times New Roman" w:eastAsia="宋体" w:cs="Times New Roman"/>
          <w:b w:val="0"/>
          <w:bCs/>
          <w:szCs w:val="21"/>
        </w:rPr>
        <w:t>GB/T51350</w:t>
      </w:r>
      <w:r>
        <w:rPr>
          <w:rFonts w:hint="eastAsia" w:ascii="Times New Roman" w:hAnsi="Times New Roman" w:eastAsia="宋体" w:cs="Times New Roman"/>
          <w:b w:val="0"/>
          <w:bCs/>
          <w:szCs w:val="21"/>
        </w:rPr>
        <w:t>的规定；</w:t>
      </w:r>
    </w:p>
    <w:p>
      <w:pPr>
        <w:autoSpaceDE w:val="0"/>
        <w:autoSpaceDN w:val="0"/>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 xml:space="preserve">5 </w:t>
      </w:r>
      <w:r>
        <w:rPr>
          <w:rFonts w:hint="eastAsia" w:ascii="Times New Roman" w:hAnsi="Times New Roman" w:eastAsia="宋体" w:cs="Times New Roman"/>
          <w:b w:val="0"/>
          <w:bCs/>
          <w:szCs w:val="21"/>
        </w:rPr>
        <w:t>插座、动力、炊事的相关能耗量的计算参数应与设计文件一致。</w:t>
      </w:r>
    </w:p>
    <w:p>
      <w:pPr>
        <w:autoSpaceDE w:val="0"/>
        <w:autoSpaceDN w:val="0"/>
        <w:snapToGrid/>
        <w:spacing w:before="240" w:line="360" w:lineRule="auto"/>
        <w:rPr>
          <w:rFonts w:ascii="Times New Roman" w:hAnsi="Times New Roman" w:eastAsia="宋体" w:cs="Times New Roman"/>
          <w:b w:val="0"/>
          <w:bCs/>
          <w:kern w:val="0"/>
          <w:szCs w:val="21"/>
        </w:rPr>
      </w:pPr>
      <w:r>
        <w:rPr>
          <w:rFonts w:ascii="Times New Roman" w:hAnsi="Times New Roman" w:eastAsia="宋体" w:cs="Times New Roman"/>
          <w:b w:val="0"/>
          <w:bCs/>
          <w:szCs w:val="21"/>
        </w:rPr>
        <w:t xml:space="preserve">A.0.3 </w:t>
      </w:r>
      <w:r>
        <w:rPr>
          <w:rFonts w:hint="eastAsia" w:ascii="Times New Roman" w:hAnsi="Times New Roman" w:eastAsia="宋体" w:cs="Times New Roman"/>
          <w:b w:val="0"/>
          <w:bCs/>
          <w:kern w:val="0"/>
          <w:szCs w:val="21"/>
        </w:rPr>
        <w:t>基准建筑</w:t>
      </w:r>
      <w:r>
        <w:rPr>
          <w:rFonts w:hint="eastAsia" w:ascii="Times New Roman" w:hAnsi="Times New Roman" w:eastAsia="宋体" w:cs="Times New Roman"/>
          <w:b w:val="0"/>
          <w:bCs/>
          <w:szCs w:val="21"/>
        </w:rPr>
        <w:t>技术指标计算参数设置</w:t>
      </w:r>
      <w:r>
        <w:rPr>
          <w:rFonts w:hint="eastAsia" w:ascii="Times New Roman" w:hAnsi="Times New Roman" w:eastAsia="宋体" w:cs="Times New Roman"/>
          <w:b w:val="0"/>
          <w:bCs/>
          <w:kern w:val="0"/>
          <w:szCs w:val="21"/>
        </w:rPr>
        <w:t>应符合下列规定：</w:t>
      </w:r>
    </w:p>
    <w:p>
      <w:pPr>
        <w:widowControl/>
        <w:adjustRightInd/>
        <w:snapToGrid/>
        <w:spacing w:line="360" w:lineRule="auto"/>
        <w:ind w:firstLine="420" w:firstLineChars="200"/>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 xml:space="preserve">1 </w:t>
      </w:r>
      <w:r>
        <w:rPr>
          <w:rFonts w:hint="eastAsia" w:ascii="Times New Roman" w:hAnsi="Times New Roman" w:eastAsia="宋体" w:cs="Times New Roman"/>
          <w:b w:val="0"/>
          <w:bCs/>
          <w:kern w:val="0"/>
          <w:szCs w:val="21"/>
        </w:rPr>
        <w:t>基准建筑的形状、大小以及内部的空间划分和使用功能应与设计建筑一致；</w:t>
      </w:r>
    </w:p>
    <w:p>
      <w:pPr>
        <w:widowControl/>
        <w:adjustRightInd/>
        <w:snapToGrid/>
        <w:spacing w:line="360" w:lineRule="auto"/>
        <w:ind w:firstLine="420" w:firstLineChars="200"/>
        <w:rPr>
          <w:rFonts w:ascii="Times New Roman" w:hAnsi="Times New Roman" w:eastAsia="宋体" w:cs="Times New Roman"/>
          <w:b w:val="0"/>
          <w:bCs/>
          <w:kern w:val="0"/>
          <w:szCs w:val="21"/>
        </w:rPr>
      </w:pPr>
      <w:r>
        <w:rPr>
          <w:rFonts w:ascii="Times New Roman" w:hAnsi="Times New Roman" w:eastAsia="宋体" w:cs="Times New Roman"/>
          <w:b w:val="0"/>
          <w:bCs/>
          <w:kern w:val="0"/>
          <w:szCs w:val="21"/>
        </w:rPr>
        <w:t xml:space="preserve">2 </w:t>
      </w:r>
      <w:r>
        <w:rPr>
          <w:rFonts w:hint="eastAsia" w:ascii="Times New Roman" w:hAnsi="Times New Roman" w:eastAsia="宋体" w:cs="Times New Roman"/>
          <w:b w:val="0"/>
          <w:bCs/>
          <w:kern w:val="0"/>
          <w:szCs w:val="21"/>
        </w:rPr>
        <w:t>围护结构热工性能、用能设备能效等主要参数应符合《建筑节能与可再生能源利用通用规范》</w:t>
      </w:r>
      <w:r>
        <w:rPr>
          <w:rFonts w:ascii="Times New Roman" w:hAnsi="Times New Roman" w:eastAsia="宋体" w:cs="Times New Roman"/>
          <w:b w:val="0"/>
          <w:bCs/>
          <w:kern w:val="0"/>
          <w:szCs w:val="21"/>
        </w:rPr>
        <w:t>GB55015-2021</w:t>
      </w:r>
      <w:r>
        <w:rPr>
          <w:rFonts w:hint="eastAsia" w:ascii="Times New Roman" w:hAnsi="Times New Roman" w:eastAsia="宋体" w:cs="Times New Roman"/>
          <w:b w:val="0"/>
          <w:bCs/>
          <w:kern w:val="0"/>
          <w:szCs w:val="21"/>
        </w:rPr>
        <w:t>指标要求；</w:t>
      </w:r>
    </w:p>
    <w:p>
      <w:pPr>
        <w:widowControl/>
        <w:adjustRightInd/>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kern w:val="0"/>
          <w:szCs w:val="21"/>
        </w:rPr>
        <w:t xml:space="preserve">3 </w:t>
      </w:r>
      <w:r>
        <w:rPr>
          <w:rFonts w:hint="eastAsia" w:ascii="Times New Roman" w:hAnsi="Times New Roman" w:eastAsia="宋体" w:cs="Times New Roman"/>
          <w:b w:val="0"/>
          <w:bCs/>
          <w:kern w:val="0"/>
          <w:szCs w:val="21"/>
        </w:rPr>
        <w:t>《建筑节能与可再生能源利用通用规范》</w:t>
      </w:r>
      <w:r>
        <w:rPr>
          <w:rFonts w:ascii="Times New Roman" w:hAnsi="Times New Roman" w:eastAsia="宋体" w:cs="Times New Roman"/>
          <w:b w:val="0"/>
          <w:bCs/>
          <w:kern w:val="0"/>
          <w:szCs w:val="21"/>
        </w:rPr>
        <w:t>GB55015-2021</w:t>
      </w:r>
      <w:r>
        <w:rPr>
          <w:rFonts w:hint="eastAsia" w:ascii="Times New Roman" w:hAnsi="Times New Roman" w:eastAsia="宋体" w:cs="Times New Roman"/>
          <w:b w:val="0"/>
          <w:bCs/>
          <w:kern w:val="0"/>
          <w:szCs w:val="21"/>
        </w:rPr>
        <w:t>中未列出的参数，</w:t>
      </w:r>
      <w:r>
        <w:rPr>
          <w:rFonts w:hint="eastAsia" w:ascii="Times New Roman" w:hAnsi="Times New Roman" w:eastAsia="宋体" w:cs="Times New Roman"/>
          <w:b w:val="0"/>
          <w:bCs/>
          <w:szCs w:val="21"/>
        </w:rPr>
        <w:t>应满足现行国家标准《近零能耗建筑技术标准》</w:t>
      </w:r>
      <w:r>
        <w:rPr>
          <w:rFonts w:ascii="Times New Roman" w:hAnsi="Times New Roman" w:eastAsia="宋体" w:cs="Times New Roman"/>
          <w:b w:val="0"/>
          <w:bCs/>
          <w:szCs w:val="21"/>
        </w:rPr>
        <w:t>GB/T51350</w:t>
      </w:r>
      <w:r>
        <w:rPr>
          <w:rFonts w:hint="eastAsia" w:ascii="Times New Roman" w:hAnsi="Times New Roman" w:eastAsia="宋体" w:cs="Times New Roman"/>
          <w:b w:val="0"/>
          <w:bCs/>
          <w:szCs w:val="21"/>
        </w:rPr>
        <w:t>附录</w:t>
      </w:r>
      <w:r>
        <w:rPr>
          <w:rFonts w:ascii="Times New Roman" w:hAnsi="Times New Roman" w:eastAsia="宋体" w:cs="Times New Roman"/>
          <w:b w:val="0"/>
          <w:bCs/>
          <w:szCs w:val="21"/>
        </w:rPr>
        <w:t>A</w:t>
      </w:r>
      <w:r>
        <w:rPr>
          <w:rFonts w:hint="eastAsia" w:ascii="Times New Roman" w:hAnsi="Times New Roman" w:eastAsia="宋体" w:cs="Times New Roman"/>
          <w:b w:val="0"/>
          <w:bCs/>
          <w:szCs w:val="21"/>
        </w:rPr>
        <w:t>中对基准建筑的规定进行缺省值设定；</w:t>
      </w:r>
    </w:p>
    <w:p>
      <w:pPr>
        <w:widowControl/>
        <w:adjustRightInd/>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 xml:space="preserve">4 </w:t>
      </w:r>
      <w:r>
        <w:rPr>
          <w:rFonts w:hint="eastAsia" w:ascii="Times New Roman" w:hAnsi="Times New Roman" w:eastAsia="宋体" w:cs="Times New Roman"/>
          <w:b w:val="0"/>
          <w:bCs/>
          <w:szCs w:val="21"/>
        </w:rPr>
        <w:t>插座、动力的相关能耗量应按现行国家标准《近零能耗建筑技术标准》</w:t>
      </w:r>
      <w:r>
        <w:rPr>
          <w:rFonts w:ascii="Times New Roman" w:hAnsi="Times New Roman" w:eastAsia="宋体" w:cs="Times New Roman"/>
          <w:b w:val="0"/>
          <w:bCs/>
          <w:szCs w:val="21"/>
        </w:rPr>
        <w:t>GB/T51350</w:t>
      </w:r>
      <w:r>
        <w:rPr>
          <w:rFonts w:hint="eastAsia" w:ascii="Times New Roman" w:hAnsi="Times New Roman" w:eastAsia="宋体" w:cs="Times New Roman"/>
          <w:b w:val="0"/>
          <w:bCs/>
          <w:szCs w:val="21"/>
        </w:rPr>
        <w:t>附录</w:t>
      </w:r>
      <w:r>
        <w:rPr>
          <w:rFonts w:ascii="Times New Roman" w:hAnsi="Times New Roman" w:eastAsia="宋体" w:cs="Times New Roman"/>
          <w:b w:val="0"/>
          <w:bCs/>
          <w:szCs w:val="21"/>
        </w:rPr>
        <w:t>A</w:t>
      </w:r>
      <w:r>
        <w:rPr>
          <w:rFonts w:hint="eastAsia" w:ascii="Times New Roman" w:hAnsi="Times New Roman" w:eastAsia="宋体" w:cs="Times New Roman"/>
          <w:b w:val="0"/>
          <w:bCs/>
          <w:szCs w:val="21"/>
        </w:rPr>
        <w:t>中对基准建筑的规定进行缺省值设定；</w:t>
      </w:r>
    </w:p>
    <w:p>
      <w:pPr>
        <w:widowControl/>
        <w:adjustRightInd/>
        <w:snapToGrid/>
        <w:spacing w:line="360" w:lineRule="auto"/>
        <w:ind w:firstLine="420" w:firstLineChars="200"/>
        <w:rPr>
          <w:rFonts w:ascii="Times New Roman" w:hAnsi="Times New Roman" w:eastAsia="宋体" w:cs="Times New Roman"/>
          <w:b w:val="0"/>
          <w:bCs/>
          <w:szCs w:val="21"/>
        </w:rPr>
      </w:pPr>
      <w:r>
        <w:rPr>
          <w:rFonts w:ascii="Times New Roman" w:hAnsi="Times New Roman" w:eastAsia="宋体" w:cs="Times New Roman"/>
          <w:b w:val="0"/>
          <w:bCs/>
          <w:szCs w:val="21"/>
        </w:rPr>
        <w:t xml:space="preserve">5 </w:t>
      </w:r>
      <w:r>
        <w:rPr>
          <w:rFonts w:hint="eastAsia" w:ascii="Times New Roman" w:hAnsi="Times New Roman" w:eastAsia="宋体" w:cs="Times New Roman"/>
          <w:b w:val="0"/>
          <w:bCs/>
          <w:szCs w:val="21"/>
        </w:rPr>
        <w:t>炊事能耗量应按照建筑设计方案进行计算。</w:t>
      </w:r>
    </w:p>
    <w:p>
      <w:pPr>
        <w:adjustRightInd/>
        <w:spacing w:line="276" w:lineRule="auto"/>
        <w:ind w:firstLine="1050" w:firstLineChars="500"/>
        <w:rPr>
          <w:rFonts w:ascii="Times New Roman" w:hAnsi="Times New Roman" w:eastAsia="宋体" w:cs="Times New Roman"/>
          <w:b w:val="0"/>
          <w:bCs/>
          <w:szCs w:val="21"/>
        </w:rPr>
      </w:pPr>
    </w:p>
    <w:p>
      <w:pPr>
        <w:spacing w:after="78" w:line="276" w:lineRule="auto"/>
        <w:ind w:left="369" w:hanging="367" w:hangingChars="175"/>
        <w:rPr>
          <w:rFonts w:ascii="Times New Roman" w:hAnsi="Times New Roman" w:eastAsia="宋体" w:cs="Times New Roman"/>
          <w:b w:val="0"/>
          <w:bCs/>
          <w:szCs w:val="21"/>
        </w:rPr>
      </w:pPr>
      <w:r>
        <w:rPr>
          <w:rFonts w:ascii="Times New Roman" w:hAnsi="Times New Roman" w:eastAsia="宋体" w:cs="Times New Roman"/>
          <w:b w:val="0"/>
          <w:bCs/>
          <w:szCs w:val="21"/>
        </w:rPr>
        <w:t>A.0.4</w:t>
      </w:r>
      <w:r>
        <w:rPr>
          <w:rFonts w:hint="eastAsia" w:ascii="Times New Roman" w:hAnsi="Times New Roman" w:eastAsia="宋体" w:cs="Times New Roman"/>
          <w:b w:val="0"/>
          <w:bCs/>
          <w:szCs w:val="21"/>
        </w:rPr>
        <w:t>建筑碳排放强度应按下式计算：</w:t>
      </w:r>
    </w:p>
    <w:p>
      <w:pPr>
        <w:adjustRightInd/>
        <w:snapToGrid/>
        <w:spacing w:line="312" w:lineRule="auto"/>
        <w:ind w:firstLine="420" w:firstLineChars="200"/>
        <w:jc w:val="center"/>
        <w:rPr>
          <w:rFonts w:ascii="Times New Roman" w:hAnsi="Times New Roman" w:eastAsia="宋体" w:cs="Times New Roman"/>
          <w:b w:val="0"/>
          <w:bCs/>
          <w:i/>
          <w:szCs w:val="21"/>
        </w:rPr>
      </w:pPr>
      <m:oMath>
        <m:r>
          <m:rPr/>
          <w:rPr>
            <w:rFonts w:hint="default" w:ascii="Cambria Math" w:hAnsi="Cambria Math" w:eastAsia="宋体" w:cs="Times New Roman"/>
            <w:szCs w:val="21"/>
          </w:rPr>
          <m:t>C</m:t>
        </m:r>
        <m:r>
          <m:rPr/>
          <w:rPr>
            <w:rFonts w:ascii="Cambria Math" w:hAnsi="Cambria Math" w:eastAsia="宋体" w:cs="Times New Roman"/>
            <w:szCs w:val="21"/>
            <w:vertAlign w:val="subscript"/>
          </w:rPr>
          <m:t xml:space="preserve">  </m:t>
        </m:r>
        <m:r>
          <m:rPr/>
          <w:rPr>
            <w:rFonts w:ascii="Cambria Math" w:hAnsi="Cambria Math" w:eastAsia="宋体" w:cs="Times New Roman"/>
            <w:szCs w:val="21"/>
          </w:rPr>
          <m:t>=</m:t>
        </m:r>
        <w:bookmarkStart w:id="139" w:name="_Hlk132811291"/>
        <m:f>
          <m:fPr>
            <m:ctrlPr>
              <w:rPr>
                <w:rFonts w:ascii="Cambria Math" w:hAnsi="Cambria Math" w:eastAsia="宋体" w:cs="Times New Roman"/>
                <w:b w:val="0"/>
                <w:bCs/>
                <w:i/>
                <w:szCs w:val="21"/>
              </w:rPr>
            </m:ctrlPr>
          </m:fPr>
          <m:num>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ℎ</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c</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l</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w</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e</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p</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f</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r>
              <m:rPr/>
              <w:rPr>
                <w:rFonts w:ascii="Cambria Math" w:hAnsi="Cambria Math" w:eastAsia="微软雅黑"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r</m:t>
                </m:r>
                <m:ctrlPr>
                  <w:rPr>
                    <w:rFonts w:ascii="Cambria Math" w:hAnsi="Cambria Math" w:eastAsia="宋体" w:cs="Times New Roman"/>
                    <w:b w:val="0"/>
                    <w:bCs/>
                    <w:i/>
                    <w:szCs w:val="21"/>
                  </w:rPr>
                </m:ctrlPr>
              </m:sub>
            </m:sSub>
            <m:r>
              <m:rPr/>
              <w:rPr>
                <w:rFonts w:ascii="Cambria Math" w:hAnsi="Cambria Math" w:eastAsia="宋体" w:cs="Times New Roman"/>
                <w:szCs w:val="21"/>
              </w:rPr>
              <m:t>×</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w:bookmarkEnd w:id="139"/>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ctrlPr>
              <w:rPr>
                <w:rFonts w:ascii="Cambria Math" w:hAnsi="Cambria Math" w:eastAsia="宋体" w:cs="Times New Roman"/>
                <w:b w:val="0"/>
                <w:bCs/>
                <w:i/>
                <w:szCs w:val="21"/>
              </w:rPr>
            </m:ctrlPr>
          </m:num>
          <m:den>
            <m:r>
              <m:rPr/>
              <w:rPr>
                <w:rFonts w:hint="default" w:ascii="Cambria Math" w:hAnsi="Cambria Math" w:eastAsia="宋体" w:cs="Times New Roman"/>
                <w:szCs w:val="21"/>
              </w:rPr>
              <m:t>A</m:t>
            </m:r>
            <m:ctrlPr>
              <w:rPr>
                <w:rFonts w:ascii="Cambria Math" w:hAnsi="Cambria Math" w:eastAsia="宋体" w:cs="Times New Roman"/>
                <w:b w:val="0"/>
                <w:bCs/>
                <w:i/>
                <w:szCs w:val="21"/>
              </w:rPr>
            </m:ctrlPr>
          </m:den>
        </m:f>
      </m:oMath>
      <w:r>
        <w:rPr>
          <w:rFonts w:ascii="Times New Roman" w:hAnsi="Times New Roman" w:eastAsia="宋体" w:cs="Times New Roman"/>
          <w:b w:val="0"/>
          <w:bCs/>
          <w:szCs w:val="21"/>
        </w:rPr>
        <w:t xml:space="preserve">   </w:t>
      </w:r>
      <w:r>
        <w:rPr>
          <w:rFonts w:hint="eastAsia" w:ascii="Times New Roman" w:hAnsi="Times New Roman" w:eastAsia="宋体" w:cs="Times New Roman"/>
          <w:b w:val="0"/>
          <w:bCs/>
          <w:szCs w:val="21"/>
        </w:rPr>
        <w:t>（</w:t>
      </w:r>
      <w:r>
        <w:rPr>
          <w:rFonts w:ascii="Times New Roman" w:hAnsi="Times New Roman" w:eastAsia="宋体" w:cs="Times New Roman"/>
          <w:b w:val="0"/>
          <w:bCs/>
          <w:szCs w:val="21"/>
        </w:rPr>
        <w:t>A.0.4</w:t>
      </w:r>
      <w:r>
        <w:rPr>
          <w:rFonts w:hint="eastAsia" w:ascii="Times New Roman" w:hAnsi="Times New Roman" w:eastAsia="宋体" w:cs="Times New Roman"/>
          <w:b w:val="0"/>
          <w:bCs/>
          <w:szCs w:val="21"/>
        </w:rPr>
        <w:t>）</w:t>
      </w:r>
    </w:p>
    <w:p>
      <w:pPr>
        <w:adjustRightInd/>
        <w:snapToGrid/>
        <w:spacing w:line="312" w:lineRule="auto"/>
        <w:ind w:firstLine="420" w:firstLineChars="200"/>
        <w:jc w:val="center"/>
        <w:rPr>
          <w:rFonts w:ascii="Times New Roman" w:hAnsi="Times New Roman" w:eastAsia="宋体" w:cs="Times New Roman"/>
          <w:b w:val="0"/>
          <w:bCs/>
          <w:szCs w:val="21"/>
        </w:rPr>
      </w:pPr>
      <w:r>
        <w:rPr>
          <w:rFonts w:ascii="Times New Roman" w:hAnsi="Times New Roman" w:eastAsia="宋体" w:cs="Times New Roman"/>
          <w:b w:val="0"/>
          <w:bCs/>
          <w:szCs w:val="21"/>
        </w:rPr>
        <w:t xml:space="preserve">   </w:t>
      </w:r>
    </w:p>
    <w:p>
      <w:pPr>
        <w:adjustRightInd/>
        <w:spacing w:line="276" w:lineRule="auto"/>
        <w:ind w:firstLine="420" w:firstLineChars="200"/>
        <w:rPr>
          <w:rFonts w:ascii="Times New Roman" w:hAnsi="Times New Roman" w:eastAsia="宋体" w:cs="Times New Roman"/>
          <w:b w:val="0"/>
          <w:bCs/>
          <w:szCs w:val="21"/>
        </w:rPr>
      </w:pPr>
      <w:r>
        <w:rPr>
          <w:rFonts w:hint="eastAsia" w:ascii="Times New Roman" w:hAnsi="Times New Roman" w:eastAsia="宋体" w:cs="Times New Roman"/>
          <w:b w:val="0"/>
          <w:bCs/>
          <w:szCs w:val="21"/>
        </w:rPr>
        <w:t>式中：</w:t>
      </w:r>
      <m:oMath>
        <m:r>
          <m:rPr/>
          <w:rPr>
            <w:rFonts w:hint="default" w:ascii="Cambria Math" w:hAnsi="Cambria Math" w:eastAsia="宋体" w:cs="Times New Roman"/>
            <w:szCs w:val="21"/>
          </w:rPr>
          <m:t>C</m:t>
        </m:r>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建筑碳排放强度，</w:t>
      </w:r>
      <w:r>
        <w:rPr>
          <w:rFonts w:ascii="Times New Roman" w:hAnsi="Times New Roman" w:eastAsia="宋体" w:cs="Times New Roman"/>
          <w:b w:val="0"/>
          <w:bCs/>
          <w:szCs w:val="21"/>
        </w:rPr>
        <w:t>kgCO</w:t>
      </w:r>
      <w:r>
        <w:rPr>
          <w:rFonts w:ascii="Times New Roman" w:hAnsi="Times New Roman" w:eastAsia="宋体" w:cs="Times New Roman"/>
          <w:b w:val="0"/>
          <w:bCs/>
          <w:szCs w:val="21"/>
          <w:vertAlign w:val="subscript"/>
        </w:rPr>
        <w:t>2</w:t>
      </w:r>
      <w:r>
        <w:rPr>
          <w:rFonts w:ascii="Times New Roman" w:hAnsi="Times New Roman" w:eastAsia="宋体" w:cs="Times New Roman"/>
          <w:b w:val="0"/>
          <w:bCs/>
          <w:szCs w:val="21"/>
        </w:rPr>
        <w:t>/m</w:t>
      </w:r>
      <w:r>
        <w:rPr>
          <w:rFonts w:ascii="Times New Roman" w:hAnsi="Times New Roman" w:eastAsia="宋体" w:cs="Times New Roman"/>
          <w:b w:val="0"/>
          <w:bCs/>
          <w:szCs w:val="21"/>
          <w:vertAlign w:val="superscript"/>
        </w:rPr>
        <w:t>2</w:t>
      </w:r>
      <w:r>
        <w:rPr>
          <w:rFonts w:hint="eastAsia" w:ascii="Times New Roman" w:hAnsi="Times New Roman" w:eastAsia="宋体" w:cs="Times New Roman"/>
          <w:b w:val="0"/>
          <w:bCs/>
          <w:szCs w:val="21"/>
        </w:rPr>
        <w:t>；</w:t>
      </w:r>
    </w:p>
    <w:p>
      <w:pPr>
        <w:adjustRightInd/>
        <w:spacing w:line="276" w:lineRule="auto"/>
        <w:ind w:firstLine="1050" w:firstLineChars="500"/>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ℎ</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年供暖系统能源消耗，</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c</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年供冷系统能源消耗，</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l</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年照明系统能源消耗，</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w</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年生活热水系统能源消耗，</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e</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年电梯系统能源消耗，</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p</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年插座能源消耗，</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f</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年炊事系统能源消耗，</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r</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年可再生能源发电量，</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——i</w:t>
      </w:r>
      <w:r>
        <w:rPr>
          <w:rFonts w:hint="eastAsia" w:ascii="Times New Roman" w:hAnsi="Times New Roman" w:eastAsia="宋体" w:cs="Times New Roman"/>
          <w:b w:val="0"/>
          <w:bCs/>
          <w:szCs w:val="21"/>
        </w:rPr>
        <w:t>类能源碳排放因子，主要能源排放因子按现行国家标准《建筑碳排放计算标准确定》</w:t>
      </w:r>
      <w:r>
        <w:rPr>
          <w:rFonts w:ascii="Times New Roman" w:hAnsi="Times New Roman" w:eastAsia="宋体" w:cs="Times New Roman"/>
          <w:b w:val="0"/>
          <w:bCs/>
          <w:szCs w:val="21"/>
        </w:rPr>
        <w:t>GB/T51366</w:t>
      </w:r>
      <w:r>
        <w:rPr>
          <w:rFonts w:hint="eastAsia" w:ascii="Times New Roman" w:hAnsi="Times New Roman" w:eastAsia="宋体" w:cs="Times New Roman"/>
          <w:b w:val="0"/>
          <w:bCs/>
          <w:szCs w:val="21"/>
        </w:rPr>
        <w:t>，电力排放因子按</w:t>
      </w:r>
      <w:r>
        <w:rPr>
          <w:rFonts w:ascii="Times New Roman" w:hAnsi="Times New Roman" w:eastAsia="宋体" w:cs="Times New Roman"/>
          <w:b w:val="0"/>
          <w:bCs/>
          <w:szCs w:val="21"/>
        </w:rPr>
        <w:t>0.5kgCO</w:t>
      </w:r>
      <w:r>
        <w:rPr>
          <w:rFonts w:ascii="Times New Roman" w:hAnsi="Times New Roman" w:eastAsia="宋体" w:cs="Times New Roman"/>
          <w:b w:val="0"/>
          <w:bCs/>
          <w:szCs w:val="21"/>
          <w:vertAlign w:val="subscript"/>
        </w:rPr>
        <w:t>2</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50" w:firstLineChars="500"/>
        <w:rPr>
          <w:rFonts w:ascii="Times New Roman" w:hAnsi="Times New Roman" w:eastAsia="宋体" w:cs="Times New Roman"/>
          <w:b w:val="0"/>
          <w:bCs/>
          <w:szCs w:val="21"/>
        </w:rPr>
      </w:pPr>
      <m:oMath>
        <m:r>
          <m:rPr/>
          <w:rPr>
            <w:rFonts w:hint="default" w:ascii="Cambria Math" w:hAnsi="Cambria Math" w:eastAsia="宋体" w:cs="Times New Roman"/>
            <w:szCs w:val="21"/>
          </w:rPr>
          <m:t>A</m:t>
        </m:r>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建筑面积，</w:t>
      </w:r>
      <w:r>
        <w:rPr>
          <w:rFonts w:ascii="Times New Roman" w:hAnsi="Times New Roman" w:eastAsia="宋体" w:cs="Times New Roman"/>
          <w:b w:val="0"/>
          <w:bCs/>
          <w:szCs w:val="21"/>
        </w:rPr>
        <w:t xml:space="preserve"> m</w:t>
      </w:r>
      <w:r>
        <w:rPr>
          <w:rFonts w:ascii="Times New Roman" w:hAnsi="Times New Roman" w:eastAsia="宋体" w:cs="Times New Roman"/>
          <w:b w:val="0"/>
          <w:bCs/>
          <w:szCs w:val="21"/>
          <w:vertAlign w:val="superscript"/>
        </w:rPr>
        <w:t>2</w:t>
      </w:r>
      <w:r>
        <w:rPr>
          <w:rFonts w:hint="eastAsia" w:ascii="Times New Roman" w:hAnsi="Times New Roman" w:eastAsia="宋体" w:cs="Times New Roman"/>
          <w:b w:val="0"/>
          <w:bCs/>
          <w:szCs w:val="21"/>
        </w:rPr>
        <w:t>。</w:t>
      </w:r>
    </w:p>
    <w:p>
      <w:pPr>
        <w:widowControl/>
        <w:adjustRightInd/>
        <w:snapToGrid/>
        <w:spacing w:before="240" w:line="360" w:lineRule="auto"/>
        <w:jc w:val="left"/>
        <w:rPr>
          <w:rFonts w:ascii="Times New Roman" w:hAnsi="Times New Roman" w:eastAsia="宋体" w:cs="Times New Roman"/>
          <w:b w:val="0"/>
          <w:bCs/>
          <w:szCs w:val="21"/>
        </w:rPr>
      </w:pPr>
      <w:r>
        <w:rPr>
          <w:rFonts w:ascii="Times New Roman" w:hAnsi="Times New Roman" w:eastAsia="宋体" w:cs="Times New Roman"/>
          <w:b w:val="0"/>
          <w:bCs/>
          <w:szCs w:val="21"/>
        </w:rPr>
        <w:t>A.0.5</w:t>
      </w:r>
      <w:r>
        <w:rPr>
          <w:rFonts w:hint="eastAsia" w:ascii="Times New Roman" w:hAnsi="Times New Roman" w:eastAsia="宋体" w:cs="Times New Roman"/>
          <w:b w:val="0"/>
          <w:bCs/>
          <w:szCs w:val="21"/>
        </w:rPr>
        <w:t>建筑降碳率计算应按下式计算：</w:t>
      </w:r>
    </w:p>
    <w:p>
      <w:pPr>
        <w:widowControl/>
        <w:adjustRightInd/>
        <w:snapToGrid/>
        <w:spacing w:line="276" w:lineRule="auto"/>
        <w:ind w:firstLine="420" w:firstLineChars="200"/>
        <w:jc w:val="center"/>
        <w:rPr>
          <w:rFonts w:ascii="Times New Roman" w:hAnsi="Times New Roman" w:eastAsia="宋体" w:cs="Times New Roman"/>
          <w:b w:val="0"/>
          <w:bCs/>
          <w:szCs w:val="21"/>
        </w:rPr>
      </w:pPr>
      <w:r>
        <w:rPr>
          <w:rFonts w:ascii="Times New Roman" w:hAnsi="Times New Roman" w:eastAsia="宋体" w:cs="Times New Roman"/>
          <w:b w:val="0"/>
          <w:bCs/>
          <w:szCs w:val="21"/>
        </w:rPr>
        <w:t xml:space="preserve">                      </w:t>
      </w: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η</m:t>
            </m:r>
            <m:ctrlPr>
              <w:rPr>
                <w:rFonts w:ascii="Cambria Math" w:hAnsi="Cambria Math" w:eastAsia="宋体" w:cs="Times New Roman"/>
                <w:b w:val="0"/>
                <w:bCs/>
                <w:i/>
                <w:szCs w:val="21"/>
              </w:rPr>
            </m:ctrlPr>
          </m:e>
          <m:sub>
            <m:r>
              <m:rPr/>
              <w:rPr>
                <w:rFonts w:hint="default" w:ascii="Cambria Math" w:hAnsi="Cambria Math" w:eastAsia="宋体" w:cs="Times New Roman"/>
                <w:szCs w:val="21"/>
              </w:rPr>
              <m:t>p</m:t>
            </m:r>
            <m:ctrlPr>
              <w:rPr>
                <w:rFonts w:ascii="Cambria Math" w:hAnsi="Cambria Math" w:eastAsia="宋体" w:cs="Times New Roman"/>
                <w:b w:val="0"/>
                <w:bCs/>
                <w:i/>
                <w:szCs w:val="21"/>
              </w:rPr>
            </m:ctrlPr>
          </m:sub>
        </m:sSub>
        <m:r>
          <m:rPr/>
          <w:rPr>
            <w:rFonts w:ascii="Cambria Math" w:hAnsi="Cambria Math" w:eastAsia="宋体" w:cs="Times New Roman"/>
            <w:szCs w:val="21"/>
          </w:rPr>
          <m:t>=</m:t>
        </m:r>
        <m:f>
          <m:fPr>
            <m:ctrlPr>
              <w:rPr>
                <w:rFonts w:ascii="Cambria Math" w:hAnsi="Cambria Math" w:eastAsia="宋体" w:cs="Times New Roman"/>
                <w:b w:val="0"/>
                <w:bCs/>
                <w:i/>
                <w:szCs w:val="21"/>
              </w:rPr>
            </m:ctrlPr>
          </m:fPr>
          <m:num>
            <m:d>
              <m:dPr>
                <m:begChr m:val="|"/>
                <m:endChr m:val="|"/>
                <m:ctrlPr>
                  <w:rPr>
                    <w:rFonts w:ascii="Cambria Math" w:hAnsi="Cambria Math" w:eastAsia="宋体" w:cs="Times New Roman"/>
                    <w:b w:val="0"/>
                    <w:bCs/>
                    <w:i/>
                    <w:szCs w:val="21"/>
                  </w:rPr>
                </m:ctrlPr>
              </m:dPr>
              <m:e>
                <m:sSub>
                  <m:sSubPr>
                    <m:ctrlPr>
                      <w:rPr>
                        <w:rFonts w:ascii="Cambria Math" w:hAnsi="Cambria Math" w:eastAsia="宋体" w:cs="Times New Roman"/>
                        <w:b w:val="0"/>
                        <w:bCs/>
                        <w:i/>
                        <w:szCs w:val="21"/>
                      </w:rPr>
                    </m:ctrlPr>
                  </m:sSubPr>
                  <m:e>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R</m:t>
                        </m:r>
                        <m:ctrlPr>
                          <w:rPr>
                            <w:rFonts w:ascii="Cambria Math" w:hAnsi="Cambria Math" w:eastAsia="宋体" w:cs="Times New Roman"/>
                            <w:b w:val="0"/>
                            <w:bCs/>
                            <w:i/>
                            <w:szCs w:val="21"/>
                          </w:rPr>
                        </m:ctrlPr>
                      </m:sub>
                    </m:sSub>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D</m:t>
                    </m:r>
                    <m:ctrlPr>
                      <w:rPr>
                        <w:rFonts w:ascii="Cambria Math" w:hAnsi="Cambria Math" w:eastAsia="宋体" w:cs="Times New Roman"/>
                        <w:b w:val="0"/>
                        <w:bCs/>
                        <w:i/>
                        <w:szCs w:val="21"/>
                      </w:rPr>
                    </m:ctrlPr>
                  </m:sub>
                </m:sSub>
                <m:ctrlPr>
                  <w:rPr>
                    <w:rFonts w:ascii="Cambria Math" w:hAnsi="Cambria Math" w:eastAsia="宋体" w:cs="Times New Roman"/>
                    <w:b w:val="0"/>
                    <w:bCs/>
                    <w:i/>
                    <w:szCs w:val="21"/>
                  </w:rPr>
                </m:ctrlPr>
              </m:e>
            </m:d>
            <m:ctrlPr>
              <w:rPr>
                <w:rFonts w:ascii="Cambria Math" w:hAnsi="Cambria Math" w:eastAsia="宋体" w:cs="Times New Roman"/>
                <w:b w:val="0"/>
                <w:bCs/>
                <w:i/>
                <w:szCs w:val="21"/>
              </w:rPr>
            </m:ctrlPr>
          </m:num>
          <m:den>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R</m:t>
                </m:r>
                <m:ctrlPr>
                  <w:rPr>
                    <w:rFonts w:ascii="Cambria Math" w:hAnsi="Cambria Math" w:eastAsia="宋体" w:cs="Times New Roman"/>
                    <w:b w:val="0"/>
                    <w:bCs/>
                    <w:i/>
                    <w:szCs w:val="21"/>
                  </w:rPr>
                </m:ctrlPr>
              </m:sub>
            </m:sSub>
            <m:ctrlPr>
              <w:rPr>
                <w:rFonts w:ascii="Cambria Math" w:hAnsi="Cambria Math" w:eastAsia="宋体" w:cs="Times New Roman"/>
                <w:b w:val="0"/>
                <w:bCs/>
                <w:i/>
                <w:szCs w:val="21"/>
              </w:rPr>
            </m:ctrlPr>
          </m:den>
        </m:f>
        <m:r>
          <m:rPr/>
          <w:rPr>
            <w:rFonts w:hint="default" w:ascii="Cambria Math" w:hAnsi="Cambria Math" w:eastAsia="宋体" w:cs="Times New Roman"/>
            <w:szCs w:val="21"/>
          </w:rPr>
          <m:t>×100%</m:t>
        </m:r>
      </m:oMath>
      <w:r>
        <w:rPr>
          <w:rFonts w:ascii="Times New Roman" w:hAnsi="Times New Roman" w:eastAsia="宋体" w:cs="Times New Roman"/>
          <w:b w:val="0"/>
          <w:bCs/>
          <w:szCs w:val="21"/>
        </w:rPr>
        <w:t xml:space="preserve">                 </w:t>
      </w:r>
      <w:r>
        <w:rPr>
          <w:rFonts w:hint="eastAsia" w:ascii="Times New Roman" w:hAnsi="Times New Roman" w:eastAsia="宋体" w:cs="Times New Roman"/>
          <w:b w:val="0"/>
          <w:bCs/>
          <w:szCs w:val="21"/>
        </w:rPr>
        <w:t>（</w:t>
      </w:r>
      <w:r>
        <w:rPr>
          <w:rFonts w:ascii="Times New Roman" w:hAnsi="Times New Roman" w:eastAsia="宋体" w:cs="Times New Roman"/>
          <w:b w:val="0"/>
          <w:bCs/>
          <w:szCs w:val="21"/>
        </w:rPr>
        <w:t>A.0.5</w:t>
      </w:r>
      <w:r>
        <w:rPr>
          <w:rFonts w:hint="eastAsia" w:ascii="Times New Roman" w:hAnsi="Times New Roman" w:eastAsia="宋体" w:cs="Times New Roman"/>
          <w:b w:val="0"/>
          <w:bCs/>
          <w:szCs w:val="21"/>
        </w:rPr>
        <w:t>）</w:t>
      </w:r>
    </w:p>
    <w:p>
      <w:pPr>
        <w:widowControl/>
        <w:adjustRightInd/>
        <w:snapToGrid/>
        <w:spacing w:line="276" w:lineRule="auto"/>
        <w:ind w:firstLine="420" w:firstLineChars="200"/>
        <w:rPr>
          <w:rFonts w:ascii="Times New Roman" w:hAnsi="Times New Roman" w:eastAsia="宋体" w:cs="Times New Roman"/>
          <w:b w:val="0"/>
          <w:bCs/>
          <w:szCs w:val="21"/>
        </w:rPr>
      </w:pPr>
      <w:r>
        <w:rPr>
          <w:rFonts w:hint="eastAsia" w:ascii="Times New Roman" w:hAnsi="Times New Roman" w:eastAsia="宋体" w:cs="Times New Roman"/>
          <w:b w:val="0"/>
          <w:bCs/>
          <w:i/>
          <w:szCs w:val="21"/>
        </w:rPr>
        <w:t>式中：</w:t>
      </w: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η</m:t>
            </m:r>
            <m:ctrlPr>
              <w:rPr>
                <w:rFonts w:ascii="Cambria Math" w:hAnsi="Cambria Math" w:eastAsia="宋体" w:cs="Times New Roman"/>
                <w:b w:val="0"/>
                <w:bCs/>
                <w:i/>
                <w:szCs w:val="21"/>
              </w:rPr>
            </m:ctrlPr>
          </m:e>
          <m:sub>
            <m:r>
              <m:rPr/>
              <w:rPr>
                <w:rFonts w:hint="default" w:ascii="Cambria Math" w:hAnsi="Cambria Math" w:eastAsia="宋体" w:cs="Times New Roman"/>
                <w:szCs w:val="21"/>
              </w:rPr>
              <m:t>p</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建筑降碳率，</w:t>
      </w:r>
      <w:r>
        <w:rPr>
          <w:rFonts w:ascii="Times New Roman" w:hAnsi="Times New Roman" w:eastAsia="宋体" w:cs="Times New Roman"/>
          <w:b w:val="0"/>
          <w:bCs/>
          <w:szCs w:val="21"/>
        </w:rPr>
        <w:t>%</w:t>
      </w:r>
      <w:r>
        <w:rPr>
          <w:rFonts w:hint="eastAsia" w:ascii="Times New Roman" w:hAnsi="Times New Roman" w:eastAsia="宋体" w:cs="Times New Roman"/>
          <w:b w:val="0"/>
          <w:bCs/>
          <w:szCs w:val="21"/>
        </w:rPr>
        <w:t>；</w:t>
      </w:r>
    </w:p>
    <w:p>
      <w:pPr>
        <w:spacing w:before="156" w:beforeLines="50" w:after="156" w:afterLines="50" w:line="276" w:lineRule="auto"/>
        <w:ind w:firstLine="1050" w:firstLineChars="500"/>
        <w:jc w:val="left"/>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R</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基准建筑碳排放强度（</w:t>
      </w:r>
      <w:r>
        <w:rPr>
          <w:rFonts w:ascii="Times New Roman" w:hAnsi="Times New Roman" w:eastAsia="宋体" w:cs="Times New Roman"/>
          <w:b w:val="0"/>
          <w:bCs/>
          <w:szCs w:val="21"/>
        </w:rPr>
        <w:t>kgceCO</w:t>
      </w:r>
      <w:r>
        <w:rPr>
          <w:rFonts w:ascii="Times New Roman" w:hAnsi="Times New Roman" w:eastAsia="宋体" w:cs="Times New Roman"/>
          <w:b w:val="0"/>
          <w:bCs/>
          <w:szCs w:val="21"/>
          <w:vertAlign w:val="subscript"/>
        </w:rPr>
        <w:t>2</w:t>
      </w:r>
      <w:r>
        <w:rPr>
          <w:rFonts w:ascii="Times New Roman" w:hAnsi="Times New Roman" w:eastAsia="宋体" w:cs="Times New Roman"/>
          <w:b w:val="0"/>
          <w:bCs/>
          <w:szCs w:val="21"/>
        </w:rPr>
        <w:t>/m</w:t>
      </w:r>
      <w:r>
        <w:rPr>
          <w:rFonts w:ascii="Times New Roman" w:hAnsi="Times New Roman" w:eastAsia="宋体" w:cs="Times New Roman"/>
          <w:b w:val="0"/>
          <w:bCs/>
          <w:szCs w:val="21"/>
          <w:vertAlign w:val="superscript"/>
        </w:rPr>
        <w:t>2</w:t>
      </w:r>
      <w:r>
        <w:rPr>
          <w:rFonts w:hint="eastAsia" w:ascii="Times New Roman" w:hAnsi="Times New Roman" w:eastAsia="宋体" w:cs="Times New Roman"/>
          <w:b w:val="0"/>
          <w:bCs/>
          <w:szCs w:val="21"/>
        </w:rPr>
        <w:t>）；</w:t>
      </w:r>
    </w:p>
    <w:p>
      <w:pPr>
        <w:spacing w:before="156" w:beforeLines="50" w:after="156" w:afterLines="50" w:line="276" w:lineRule="auto"/>
        <w:ind w:firstLine="1050" w:firstLineChars="500"/>
        <w:jc w:val="left"/>
        <w:rPr>
          <w:rFonts w:ascii="Times New Roman" w:hAnsi="Times New Roman" w:eastAsia="宋体" w:cs="Times New Roman"/>
          <w:b w:val="0"/>
          <w:bCs/>
          <w:szCs w:val="21"/>
        </w:rPr>
      </w:pPr>
      <m:oMath>
        <m:r>
          <m:rPr/>
          <w:rPr>
            <w:rFonts w:ascii="Cambria Math" w:hAnsi="Cambria Math" w:eastAsia="宋体" w:cs="Times New Roman"/>
            <w:szCs w:val="21"/>
          </w:rPr>
          <m:t xml:space="preserve"> </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D</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设计建筑碳排放强度（</w:t>
      </w:r>
      <w:r>
        <w:rPr>
          <w:rFonts w:ascii="Times New Roman" w:hAnsi="Times New Roman" w:eastAsia="宋体" w:cs="Times New Roman"/>
          <w:b w:val="0"/>
          <w:bCs/>
          <w:szCs w:val="21"/>
        </w:rPr>
        <w:t>kgceCO</w:t>
      </w:r>
      <w:r>
        <w:rPr>
          <w:rFonts w:ascii="Times New Roman" w:hAnsi="Times New Roman" w:eastAsia="宋体" w:cs="Times New Roman"/>
          <w:b w:val="0"/>
          <w:bCs/>
          <w:szCs w:val="21"/>
          <w:vertAlign w:val="subscript"/>
        </w:rPr>
        <w:t>2</w:t>
      </w:r>
      <w:r>
        <w:rPr>
          <w:rFonts w:ascii="Times New Roman" w:hAnsi="Times New Roman" w:eastAsia="宋体" w:cs="Times New Roman"/>
          <w:b w:val="0"/>
          <w:bCs/>
          <w:szCs w:val="21"/>
        </w:rPr>
        <w:t>/m</w:t>
      </w:r>
      <w:r>
        <w:rPr>
          <w:rFonts w:ascii="Times New Roman" w:hAnsi="Times New Roman" w:eastAsia="宋体" w:cs="Times New Roman"/>
          <w:b w:val="0"/>
          <w:bCs/>
          <w:szCs w:val="21"/>
          <w:vertAlign w:val="superscript"/>
        </w:rPr>
        <w:t>2</w:t>
      </w:r>
      <w:r>
        <w:rPr>
          <w:rFonts w:hint="eastAsia" w:ascii="Times New Roman" w:hAnsi="Times New Roman" w:eastAsia="宋体" w:cs="Times New Roman"/>
          <w:b w:val="0"/>
          <w:bCs/>
          <w:szCs w:val="21"/>
        </w:rPr>
        <w:t>）。</w:t>
      </w:r>
    </w:p>
    <w:p>
      <w:pPr>
        <w:spacing w:before="156" w:beforeLines="50" w:after="156" w:afterLines="50" w:line="276" w:lineRule="auto"/>
        <w:ind w:firstLine="1050" w:firstLineChars="500"/>
        <w:jc w:val="left"/>
        <w:rPr>
          <w:rFonts w:ascii="Times New Roman" w:hAnsi="Times New Roman" w:eastAsia="宋体" w:cs="Times New Roman"/>
          <w:b w:val="0"/>
          <w:bCs/>
          <w:szCs w:val="21"/>
        </w:rPr>
      </w:pPr>
    </w:p>
    <w:p>
      <w:pPr>
        <w:widowControl/>
        <w:adjustRightInd/>
        <w:snapToGrid/>
        <w:spacing w:line="276" w:lineRule="auto"/>
        <w:jc w:val="left"/>
        <w:rPr>
          <w:rFonts w:ascii="Times New Roman" w:hAnsi="Times New Roman" w:eastAsia="宋体" w:cs="Times New Roman"/>
          <w:b w:val="0"/>
          <w:bCs/>
          <w:szCs w:val="21"/>
        </w:rPr>
      </w:pPr>
      <w:r>
        <w:rPr>
          <w:rFonts w:ascii="Times New Roman" w:hAnsi="Times New Roman" w:eastAsia="宋体" w:cs="Times New Roman"/>
          <w:b w:val="0"/>
          <w:bCs/>
          <w:szCs w:val="21"/>
        </w:rPr>
        <w:t>A.0.6</w:t>
      </w:r>
      <w:r>
        <w:rPr>
          <w:rFonts w:hint="eastAsia" w:ascii="Times New Roman" w:hAnsi="Times New Roman" w:eastAsia="宋体" w:cs="Times New Roman"/>
          <w:b w:val="0"/>
          <w:bCs/>
          <w:szCs w:val="21"/>
        </w:rPr>
        <w:t>建筑碳抵消比例应按下式计算：</w:t>
      </w:r>
      <w:r>
        <w:rPr>
          <w:rFonts w:ascii="Times New Roman" w:hAnsi="Times New Roman" w:eastAsia="宋体" w:cs="Times New Roman"/>
          <w:b w:val="0"/>
          <w:bCs/>
          <w:szCs w:val="21"/>
        </w:rPr>
        <w:t xml:space="preserve">                               </w:t>
      </w:r>
    </w:p>
    <w:p>
      <w:pPr>
        <w:widowControl/>
        <w:adjustRightInd/>
        <w:snapToGrid/>
        <w:spacing w:line="276" w:lineRule="auto"/>
        <w:jc w:val="right"/>
        <w:rPr>
          <w:rFonts w:ascii="Times New Roman" w:hAnsi="Times New Roman" w:eastAsia="宋体" w:cs="Times New Roman"/>
          <w:b w:val="0"/>
          <w:bCs/>
          <w:szCs w:val="21"/>
        </w:rPr>
      </w:pPr>
      <m:oMath>
        <m:sSub>
          <m:sSubPr>
            <m:ctrlPr>
              <w:rPr>
                <w:rFonts w:ascii="Cambria Math" w:hAnsi="Cambria Math" w:eastAsia="楷体" w:cs="Times New Roman"/>
                <w:b w:val="0"/>
                <w:bCs/>
              </w:rPr>
            </m:ctrlPr>
          </m:sSubPr>
          <m:e>
            <m:r>
              <m:rPr/>
              <w:rPr>
                <w:rFonts w:hint="default" w:ascii="Cambria Math" w:hAnsi="Cambria Math" w:cs="Times New Roman"/>
              </w:rPr>
              <m:t>R</m:t>
            </m:r>
            <m:ctrlPr>
              <w:rPr>
                <w:rFonts w:ascii="Cambria Math" w:hAnsi="Cambria Math" w:eastAsia="楷体" w:cs="Times New Roman"/>
                <w:b w:val="0"/>
                <w:bCs/>
              </w:rPr>
            </m:ctrlPr>
          </m:e>
          <m:sub>
            <m:r>
              <m:rPr/>
              <w:rPr>
                <w:rFonts w:hint="default" w:ascii="Cambria Math" w:hAnsi="Cambria Math" w:cs="Times New Roman"/>
              </w:rPr>
              <m:t>offset</m:t>
            </m:r>
            <m:ctrlPr>
              <w:rPr>
                <w:rFonts w:ascii="Cambria Math" w:hAnsi="Cambria Math" w:eastAsia="楷体" w:cs="Times New Roman"/>
                <w:b w:val="0"/>
                <w:bCs/>
              </w:rPr>
            </m:ctrlPr>
          </m:sub>
        </m:sSub>
        <m:r>
          <m:rPr>
            <m:sty m:val="p"/>
          </m:rPr>
          <w:rPr>
            <w:rFonts w:ascii="Cambria Math" w:hAnsi="Cambria Math" w:cs="Times New Roman"/>
          </w:rPr>
          <m:t>=</m:t>
        </m:r>
        <m:f>
          <m:fPr>
            <m:ctrlPr>
              <w:rPr>
                <w:rFonts w:ascii="Cambria Math" w:hAnsi="Cambria Math" w:cs="Times New Roman"/>
                <w:b w:val="0"/>
                <w:bCs/>
              </w:rPr>
            </m:ctrlPr>
          </m:fPr>
          <m:num>
            <m:sSub>
              <m:sSubPr>
                <m:ctrlPr>
                  <w:rPr>
                    <w:rFonts w:ascii="Cambria Math" w:hAnsi="Cambria Math" w:eastAsia="楷体" w:cs="Times New Roman"/>
                    <w:b w:val="0"/>
                    <w:bCs/>
                    <w:i/>
                  </w:rPr>
                </m:ctrlPr>
              </m:sSubPr>
              <m:e>
                <m:r>
                  <m:rPr/>
                  <w:rPr>
                    <w:rFonts w:hint="default" w:ascii="Cambria Math" w:hAnsi="Cambria Math" w:cs="Times New Roman"/>
                  </w:rPr>
                  <m:t>E</m:t>
                </m:r>
                <m:ctrlPr>
                  <w:rPr>
                    <w:rFonts w:ascii="Cambria Math" w:hAnsi="Cambria Math" w:eastAsia="楷体" w:cs="Times New Roman"/>
                    <w:b w:val="0"/>
                    <w:bCs/>
                    <w:i/>
                  </w:rPr>
                </m:ctrlPr>
              </m:e>
              <m:sub>
                <m:r>
                  <m:rPr/>
                  <w:rPr>
                    <w:rFonts w:hint="default" w:ascii="Cambria Math" w:hAnsi="Cambria Math" w:cs="Times New Roman"/>
                  </w:rPr>
                  <m:t>g</m:t>
                </m:r>
                <m:ctrlPr>
                  <w:rPr>
                    <w:rFonts w:ascii="Cambria Math" w:hAnsi="Cambria Math" w:eastAsia="楷体" w:cs="Times New Roman"/>
                    <w:b w:val="0"/>
                    <w:bCs/>
                    <w:i/>
                  </w:rPr>
                </m:ctrlPr>
              </m:sub>
            </m:sSub>
            <m:r>
              <m:rPr>
                <m:sty m:val="p"/>
              </m:rPr>
              <w:rPr>
                <w:rFonts w:hint="default" w:ascii="Cambria Math" w:hAnsi="Cambria Math" w:cs="Times New Roman"/>
              </w:rPr>
              <m:t>×c_i+</m:t>
            </m:r>
            <m:sSub>
              <m:sSubPr>
                <m:ctrlPr>
                  <w:rPr>
                    <w:rFonts w:ascii="Cambria Math" w:hAnsi="Cambria Math" w:eastAsia="楷体" w:cs="Times New Roman"/>
                    <w:b w:val="0"/>
                    <w:bCs/>
                  </w:rPr>
                </m:ctrlPr>
              </m:sSubPr>
              <m:e>
                <m:r>
                  <m:rPr/>
                  <w:rPr>
                    <w:rFonts w:hint="default" w:ascii="Cambria Math" w:hAnsi="Cambria Math" w:cs="Times New Roman"/>
                  </w:rPr>
                  <m:t>C</m:t>
                </m:r>
                <m:ctrlPr>
                  <w:rPr>
                    <w:rFonts w:ascii="Cambria Math" w:hAnsi="Cambria Math" w:eastAsia="楷体" w:cs="Times New Roman"/>
                    <w:b w:val="0"/>
                    <w:bCs/>
                  </w:rPr>
                </m:ctrlPr>
              </m:e>
              <m:sub>
                <m:r>
                  <m:rPr/>
                  <w:rPr>
                    <w:rFonts w:hint="default" w:ascii="Cambria Math" w:hAnsi="Cambria Math" w:cs="Times New Roman"/>
                  </w:rPr>
                  <m:t>t</m:t>
                </m:r>
                <m:ctrlPr>
                  <w:rPr>
                    <w:rFonts w:ascii="Cambria Math" w:hAnsi="Cambria Math" w:eastAsia="楷体" w:cs="Times New Roman"/>
                    <w:b w:val="0"/>
                    <w:bCs/>
                  </w:rPr>
                </m:ctrlPr>
              </m:sub>
            </m:sSub>
            <m:ctrlPr>
              <w:rPr>
                <w:rFonts w:ascii="Cambria Math" w:hAnsi="Cambria Math" w:cs="Times New Roman"/>
                <w:b w:val="0"/>
                <w:bCs/>
              </w:rPr>
            </m:ctrlPr>
          </m:num>
          <m:den>
            <m:r>
              <m:rPr/>
              <w:rPr>
                <w:rFonts w:hint="default" w:ascii="Cambria Math" w:hAnsi="Cambria Math" w:eastAsia="楷体" w:cs="Times New Roman"/>
              </w:rPr>
              <m:t>E_ℎ×c_i+E_c×c_i+E_l×c_i+E_w×c_i+E_e×c_i+E_p×c_i+E_f×c_i−E_r×c_i</m:t>
            </m:r>
            <m:ctrlPr>
              <w:rPr>
                <w:rFonts w:ascii="Cambria Math" w:hAnsi="Cambria Math" w:cs="Times New Roman"/>
                <w:b w:val="0"/>
                <w:bCs/>
              </w:rPr>
            </m:ctrlPr>
          </m:den>
        </m:f>
      </m:oMath>
      <w:r>
        <w:rPr>
          <w:rFonts w:ascii="Times New Roman" w:hAnsi="Times New Roman" w:eastAsia="宋体" w:cs="Times New Roman"/>
          <w:b w:val="0"/>
          <w:bCs/>
          <w:szCs w:val="21"/>
        </w:rPr>
        <w:t xml:space="preserve">   </w:t>
      </w:r>
      <w:r>
        <w:rPr>
          <w:rFonts w:hint="eastAsia" w:ascii="Times New Roman" w:hAnsi="Times New Roman" w:eastAsia="宋体" w:cs="Times New Roman"/>
          <w:b w:val="0"/>
          <w:bCs/>
          <w:szCs w:val="21"/>
        </w:rPr>
        <w:t>（</w:t>
      </w:r>
      <w:r>
        <w:rPr>
          <w:rFonts w:ascii="Times New Roman" w:hAnsi="Times New Roman" w:eastAsia="宋体" w:cs="Times New Roman"/>
          <w:b w:val="0"/>
          <w:bCs/>
          <w:szCs w:val="21"/>
        </w:rPr>
        <w:t>A.0.6</w:t>
      </w:r>
      <w:r>
        <w:rPr>
          <w:rFonts w:hint="eastAsia" w:ascii="Times New Roman" w:hAnsi="Times New Roman" w:eastAsia="宋体" w:cs="Times New Roman"/>
          <w:b w:val="0"/>
          <w:bCs/>
          <w:szCs w:val="21"/>
        </w:rPr>
        <w:t>）</w:t>
      </w:r>
      <w:r>
        <w:rPr>
          <w:rFonts w:ascii="Times New Roman" w:hAnsi="Times New Roman" w:eastAsia="宋体" w:cs="Times New Roman"/>
          <w:b w:val="0"/>
          <w:bCs/>
          <w:szCs w:val="21"/>
        </w:rPr>
        <w:t xml:space="preserve">                  </w:t>
      </w:r>
    </w:p>
    <w:p>
      <w:pPr>
        <w:widowControl/>
        <w:adjustRightInd/>
        <w:snapToGrid/>
        <w:spacing w:line="276" w:lineRule="auto"/>
        <w:ind w:firstLine="420" w:firstLineChars="200"/>
        <w:rPr>
          <w:rFonts w:ascii="Times New Roman" w:hAnsi="Times New Roman" w:eastAsia="宋体" w:cs="Times New Roman"/>
          <w:b w:val="0"/>
          <w:bCs/>
          <w:szCs w:val="21"/>
        </w:rPr>
      </w:pPr>
      <w:r>
        <w:rPr>
          <w:rFonts w:hint="eastAsia" w:ascii="Times New Roman" w:hAnsi="Times New Roman" w:eastAsia="宋体" w:cs="Times New Roman"/>
          <w:b w:val="0"/>
          <w:bCs/>
          <w:i/>
          <w:szCs w:val="21"/>
        </w:rPr>
        <w:t>式中：</w:t>
      </w:r>
      <m:oMath>
        <m:sSub>
          <m:sSubPr>
            <m:ctrlPr>
              <w:rPr>
                <w:rFonts w:ascii="Cambria Math" w:hAnsi="Cambria Math" w:eastAsia="楷体" w:cs="Times New Roman"/>
                <w:b w:val="0"/>
                <w:bCs/>
              </w:rPr>
            </m:ctrlPr>
          </m:sSubPr>
          <m:e>
            <m:r>
              <m:rPr/>
              <w:rPr>
                <w:rFonts w:hint="default" w:ascii="Cambria Math" w:hAnsi="Cambria Math" w:cs="Times New Roman"/>
              </w:rPr>
              <m:t>R</m:t>
            </m:r>
            <m:ctrlPr>
              <w:rPr>
                <w:rFonts w:ascii="Cambria Math" w:hAnsi="Cambria Math" w:eastAsia="楷体" w:cs="Times New Roman"/>
                <w:b w:val="0"/>
                <w:bCs/>
              </w:rPr>
            </m:ctrlPr>
          </m:e>
          <m:sub>
            <m:r>
              <m:rPr/>
              <w:rPr>
                <w:rFonts w:hint="default" w:ascii="Cambria Math" w:hAnsi="Cambria Math" w:cs="Times New Roman"/>
              </w:rPr>
              <m:t>offset</m:t>
            </m:r>
            <m:ctrlPr>
              <w:rPr>
                <w:rFonts w:ascii="Cambria Math" w:hAnsi="Cambria Math" w:eastAsia="楷体" w:cs="Times New Roman"/>
                <w:b w:val="0"/>
                <w:bCs/>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碳抵消比例，</w:t>
      </w:r>
      <w:r>
        <w:rPr>
          <w:rFonts w:ascii="Times New Roman" w:hAnsi="Times New Roman" w:eastAsia="宋体" w:cs="Times New Roman"/>
          <w:b w:val="0"/>
          <w:bCs/>
          <w:szCs w:val="21"/>
        </w:rPr>
        <w:t>%</w:t>
      </w:r>
      <w:r>
        <w:rPr>
          <w:rFonts w:hint="eastAsia" w:ascii="Times New Roman" w:hAnsi="Times New Roman" w:eastAsia="宋体" w:cs="Times New Roman"/>
          <w:b w:val="0"/>
          <w:bCs/>
          <w:szCs w:val="21"/>
        </w:rPr>
        <w:t>；</w:t>
      </w:r>
    </w:p>
    <w:p>
      <w:pPr>
        <w:spacing w:before="156" w:beforeLines="50" w:after="156" w:afterLines="50" w:line="276" w:lineRule="auto"/>
        <w:ind w:firstLine="1050" w:firstLineChars="500"/>
        <w:jc w:val="left"/>
        <w:rPr>
          <w:rFonts w:ascii="Times New Roman" w:hAnsi="Times New Roman" w:eastAsia="宋体" w:cs="Times New Roman"/>
          <w:b w:val="0"/>
          <w:bCs/>
          <w:szCs w:val="21"/>
        </w:rPr>
      </w:pPr>
      <m:oMath>
        <m:r>
          <m:rPr/>
          <w:rPr>
            <w:rFonts w:ascii="Cambria Math" w:hAnsi="Cambria Math" w:eastAsia="宋体" w:cs="Times New Roman"/>
            <w:szCs w:val="21"/>
          </w:rPr>
          <m:t xml:space="preserve"> </m:t>
        </m:r>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E</m:t>
            </m:r>
            <m:ctrlPr>
              <w:rPr>
                <w:rFonts w:ascii="Cambria Math" w:hAnsi="Cambria Math" w:eastAsia="宋体" w:cs="Times New Roman"/>
                <w:b w:val="0"/>
                <w:bCs/>
                <w:i/>
                <w:szCs w:val="21"/>
              </w:rPr>
            </m:ctrlPr>
          </m:e>
          <m:sub>
            <m:r>
              <m:rPr/>
              <w:rPr>
                <w:rFonts w:hint="default" w:ascii="Cambria Math" w:hAnsi="Cambria Math" w:eastAsia="宋体" w:cs="Times New Roman"/>
                <w:szCs w:val="21"/>
              </w:rPr>
              <m:t>g</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绿色电力总量（</w:t>
      </w:r>
      <w:r>
        <w:rPr>
          <w:rFonts w:ascii="Times New Roman" w:hAnsi="Times New Roman" w:eastAsia="宋体" w:cs="Times New Roman"/>
          <w:b w:val="0"/>
          <w:bCs/>
          <w:szCs w:val="21"/>
        </w:rPr>
        <w:t>kWh</w:t>
      </w:r>
      <w:r>
        <w:rPr>
          <w:rFonts w:hint="eastAsia" w:ascii="Times New Roman" w:hAnsi="Times New Roman" w:eastAsia="宋体" w:cs="Times New Roman"/>
          <w:b w:val="0"/>
          <w:bCs/>
          <w:szCs w:val="21"/>
        </w:rPr>
        <w:t>）；</w:t>
      </w:r>
    </w:p>
    <w:p>
      <w:pPr>
        <w:adjustRightInd/>
        <w:spacing w:line="276" w:lineRule="auto"/>
        <w:ind w:firstLine="1010" w:firstLineChars="481"/>
        <w:rPr>
          <w:rFonts w:ascii="Times New Roman" w:hAnsi="Times New Roman" w:eastAsia="宋体" w:cs="Times New Roman"/>
          <w:b w:val="0"/>
          <w:bCs/>
          <w:szCs w:val="21"/>
        </w:r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i</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——i</w:t>
      </w:r>
      <w:r>
        <w:rPr>
          <w:rFonts w:hint="eastAsia" w:ascii="Times New Roman" w:hAnsi="Times New Roman" w:eastAsia="宋体" w:cs="Times New Roman"/>
          <w:b w:val="0"/>
          <w:bCs/>
          <w:szCs w:val="21"/>
        </w:rPr>
        <w:t>类能源碳排放因子，主要能源排放因子按现行国家标准《建筑碳排放计算标准确定》</w:t>
      </w:r>
      <w:r>
        <w:rPr>
          <w:rFonts w:ascii="Times New Roman" w:hAnsi="Times New Roman" w:eastAsia="宋体" w:cs="Times New Roman"/>
          <w:b w:val="0"/>
          <w:bCs/>
          <w:szCs w:val="21"/>
        </w:rPr>
        <w:t>GB/T51366</w:t>
      </w:r>
      <w:r>
        <w:rPr>
          <w:rFonts w:hint="eastAsia" w:ascii="Times New Roman" w:hAnsi="Times New Roman" w:eastAsia="宋体" w:cs="Times New Roman"/>
          <w:b w:val="0"/>
          <w:bCs/>
          <w:szCs w:val="21"/>
        </w:rPr>
        <w:t>，电力排放因子应优先采用上一年度市或省级行政主管部门发布的电力碳排放因子，当项目所在地无市或省级行政主管部门发布的电力碳排放因子时，可采用生态环境部发布的上一年度电力排放因子；</w:t>
      </w:r>
    </w:p>
    <w:p>
      <w:pPr>
        <w:spacing w:before="156" w:beforeLines="50" w:after="156" w:afterLines="50" w:line="276" w:lineRule="auto"/>
        <w:ind w:firstLine="1050" w:firstLineChars="500"/>
        <w:jc w:val="left"/>
        <w:rPr>
          <w:rFonts w:ascii="Times New Roman" w:hAnsi="Times New Roman" w:cs="Times New Roman"/>
          <w:b w:val="0"/>
          <w:bCs/>
        </w:rPr>
        <w:sectPr>
          <w:headerReference r:id="rId4" w:type="default"/>
          <w:footerReference r:id="rId5" w:type="default"/>
          <w:pgSz w:w="11906" w:h="16838"/>
          <w:pgMar w:top="1440" w:right="1797" w:bottom="1440" w:left="1797" w:header="851" w:footer="992" w:gutter="0"/>
          <w:cols w:space="425" w:num="1"/>
          <w:docGrid w:type="lines" w:linePitch="312" w:charSpace="0"/>
        </w:sectPr>
      </w:pPr>
      <m:oMath>
        <m:sSub>
          <m:sSubPr>
            <m:ctrlPr>
              <w:rPr>
                <w:rFonts w:ascii="Cambria Math" w:hAnsi="Cambria Math" w:eastAsia="宋体" w:cs="Times New Roman"/>
                <w:b w:val="0"/>
                <w:bCs/>
                <w:i/>
                <w:szCs w:val="21"/>
              </w:rPr>
            </m:ctrlPr>
          </m:sSubPr>
          <m:e>
            <m:r>
              <m:rPr/>
              <w:rPr>
                <w:rFonts w:hint="default" w:ascii="Cambria Math" w:hAnsi="Cambria Math" w:eastAsia="宋体" w:cs="Times New Roman"/>
                <w:szCs w:val="21"/>
              </w:rPr>
              <m:t>C</m:t>
            </m:r>
            <m:ctrlPr>
              <w:rPr>
                <w:rFonts w:ascii="Cambria Math" w:hAnsi="Cambria Math" w:eastAsia="宋体" w:cs="Times New Roman"/>
                <w:b w:val="0"/>
                <w:bCs/>
                <w:i/>
                <w:szCs w:val="21"/>
              </w:rPr>
            </m:ctrlPr>
          </m:e>
          <m:sub>
            <m:r>
              <m:rPr/>
              <w:rPr>
                <w:rFonts w:hint="default" w:ascii="Cambria Math" w:hAnsi="Cambria Math" w:eastAsia="宋体" w:cs="Times New Roman"/>
                <w:szCs w:val="21"/>
              </w:rPr>
              <m:t>t</m:t>
            </m:r>
            <m:ctrlPr>
              <w:rPr>
                <w:rFonts w:ascii="Cambria Math" w:hAnsi="Cambria Math" w:eastAsia="宋体" w:cs="Times New Roman"/>
                <w:b w:val="0"/>
                <w:bCs/>
                <w:i/>
                <w:szCs w:val="21"/>
              </w:rPr>
            </m:ctrlPr>
          </m:sub>
        </m:sSub>
      </m:oMath>
      <w:r>
        <w:rPr>
          <w:rFonts w:ascii="Times New Roman" w:hAnsi="Times New Roman" w:eastAsia="宋体" w:cs="Times New Roman"/>
          <w:b w:val="0"/>
          <w:bCs/>
          <w:szCs w:val="21"/>
        </w:rPr>
        <w:t>——</w:t>
      </w:r>
      <w:r>
        <w:rPr>
          <w:rFonts w:hint="eastAsia" w:ascii="Times New Roman" w:hAnsi="Times New Roman" w:eastAsia="宋体" w:cs="Times New Roman"/>
          <w:b w:val="0"/>
          <w:bCs/>
          <w:szCs w:val="21"/>
        </w:rPr>
        <w:t>碳信用产品总量（</w:t>
      </w:r>
      <w:r>
        <w:rPr>
          <w:rFonts w:ascii="Times New Roman" w:hAnsi="Times New Roman" w:eastAsia="宋体" w:cs="Times New Roman"/>
          <w:b w:val="0"/>
          <w:bCs/>
          <w:szCs w:val="21"/>
        </w:rPr>
        <w:t>kgceCO</w:t>
      </w:r>
      <w:r>
        <w:rPr>
          <w:rFonts w:ascii="Times New Roman" w:hAnsi="Times New Roman" w:eastAsia="宋体" w:cs="Times New Roman"/>
          <w:b w:val="0"/>
          <w:bCs/>
          <w:szCs w:val="21"/>
          <w:vertAlign w:val="subscript"/>
        </w:rPr>
        <w:t>2</w:t>
      </w:r>
      <w:r>
        <w:rPr>
          <w:rFonts w:hint="eastAsia" w:ascii="Times New Roman" w:hAnsi="Times New Roman" w:eastAsia="宋体" w:cs="Times New Roman"/>
          <w:b w:val="0"/>
          <w:bCs/>
          <w:szCs w:val="21"/>
        </w:rPr>
        <w:t>）。</w:t>
      </w:r>
    </w:p>
    <w:p>
      <w:pPr>
        <w:keepNext/>
        <w:tabs>
          <w:tab w:val="left" w:pos="720"/>
          <w:tab w:val="left" w:pos="910"/>
          <w:tab w:val="left" w:pos="1190"/>
          <w:tab w:val="left" w:pos="2520"/>
          <w:tab w:val="left" w:pos="7020"/>
        </w:tabs>
        <w:adjustRightInd/>
        <w:snapToGrid/>
        <w:spacing w:before="156" w:beforeLines="50" w:after="156" w:afterLines="50" w:line="276" w:lineRule="auto"/>
        <w:jc w:val="center"/>
        <w:outlineLvl w:val="0"/>
        <w:rPr>
          <w:rFonts w:ascii="Times New Roman" w:hAnsi="Times New Roman" w:eastAsia="黑体" w:cs="Times New Roman"/>
          <w:b w:val="0"/>
          <w:bCs/>
          <w:kern w:val="0"/>
          <w:sz w:val="28"/>
          <w:szCs w:val="28"/>
        </w:rPr>
      </w:pPr>
      <w:bookmarkStart w:id="140" w:name="t2"/>
      <w:bookmarkEnd w:id="140"/>
      <w:bookmarkStart w:id="141" w:name="t3"/>
      <w:bookmarkEnd w:id="141"/>
      <w:bookmarkStart w:id="142" w:name="_Toc126397937"/>
      <w:bookmarkStart w:id="143" w:name="_Toc128988436"/>
      <w:bookmarkStart w:id="144" w:name="_Hlk128218629"/>
      <w:r>
        <w:rPr>
          <w:rFonts w:ascii="Times New Roman" w:hAnsi="Times New Roman" w:eastAsia="黑体" w:cs="Times New Roman"/>
          <w:b w:val="0"/>
          <w:bCs/>
          <w:kern w:val="0"/>
          <w:sz w:val="28"/>
          <w:szCs w:val="28"/>
        </w:rPr>
        <w:t>附录B建筑碳排放指标计算报告书</w:t>
      </w:r>
      <w:bookmarkEnd w:id="142"/>
      <w:bookmarkEnd w:id="143"/>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1 项目基本信息</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53" w:type="dxa"/>
            <w:tcBorders>
              <w:top w:val="single" w:color="auto" w:sz="4" w:space="0"/>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项目名称</w:t>
            </w:r>
          </w:p>
        </w:tc>
        <w:tc>
          <w:tcPr>
            <w:tcW w:w="6007" w:type="dxa"/>
            <w:tcBorders>
              <w:top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i/>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建筑类型</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建筑位置</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建筑面积</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kern w:val="0"/>
                <w:szCs w:val="21"/>
              </w:rPr>
              <w:t>m</w:t>
            </w:r>
            <w:r>
              <w:rPr>
                <w:rFonts w:ascii="Times New Roman" w:hAnsi="Times New Roman" w:eastAsia="华文中宋" w:cs="Times New Roman"/>
                <w:b w:val="0"/>
                <w:bCs/>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建筑使用面积</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kern w:val="0"/>
                <w:szCs w:val="21"/>
              </w:rPr>
              <w:t>m</w:t>
            </w:r>
            <w:r>
              <w:rPr>
                <w:rFonts w:ascii="Times New Roman" w:hAnsi="Times New Roman" w:eastAsia="华文中宋" w:cs="Times New Roman"/>
                <w:b w:val="0"/>
                <w:bCs/>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建筑外表面积</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kern w:val="0"/>
                <w:szCs w:val="21"/>
              </w:rPr>
              <w:t>m</w:t>
            </w:r>
            <w:r>
              <w:rPr>
                <w:rFonts w:ascii="Times New Roman" w:hAnsi="Times New Roman" w:eastAsia="华文中宋" w:cs="Times New Roman"/>
                <w:b w:val="0"/>
                <w:bCs/>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建筑层数</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咨询单位</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453"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咨询工程师</w:t>
            </w:r>
          </w:p>
        </w:tc>
        <w:tc>
          <w:tcPr>
            <w:tcW w:w="6007"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53" w:type="dxa"/>
            <w:tcBorders>
              <w:left w:val="single" w:color="auto" w:sz="4" w:space="0"/>
              <w:bottom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联系方式</w:t>
            </w:r>
          </w:p>
        </w:tc>
        <w:tc>
          <w:tcPr>
            <w:tcW w:w="6007" w:type="dxa"/>
            <w:tcBorders>
              <w:bottom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bl>
    <w:p>
      <w:pPr>
        <w:rPr>
          <w:rFonts w:ascii="Times New Roman" w:hAnsi="Times New Roman" w:cs="Times New Roman"/>
          <w:b w:val="0"/>
          <w:bCs/>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 建筑信息</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2.1 建筑围护结构信息</w:t>
      </w:r>
    </w:p>
    <w:tbl>
      <w:tblPr>
        <w:tblStyle w:val="43"/>
        <w:tblpPr w:leftFromText="180" w:rightFromText="180" w:vertAnchor="text" w:horzAnchor="page" w:tblpX="847" w:tblpY="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82"/>
        <w:gridCol w:w="906"/>
        <w:gridCol w:w="892"/>
        <w:gridCol w:w="468"/>
        <w:gridCol w:w="1314"/>
        <w:gridCol w:w="1042"/>
        <w:gridCol w:w="1072"/>
        <w:gridCol w:w="937"/>
        <w:gridCol w:w="665"/>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68" w:type="dxa"/>
            <w:tcBorders>
              <w:top w:val="single" w:color="auto" w:sz="4" w:space="0"/>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p>
        </w:tc>
        <w:tc>
          <w:tcPr>
            <w:tcW w:w="4562" w:type="dxa"/>
            <w:gridSpan w:val="5"/>
            <w:tcBorders>
              <w:top w:val="single" w:color="auto" w:sz="4" w:space="0"/>
              <w:left w:val="single" w:color="auto" w:sz="4" w:space="0"/>
              <w:right w:val="single" w:color="auto" w:sz="4" w:space="0"/>
            </w:tcBorders>
            <w:shd w:val="clear" w:color="auto" w:fill="auto"/>
            <w:vAlign w:val="center"/>
          </w:tcPr>
          <w:p>
            <w:pPr>
              <w:spacing w:before="156" w:beforeLines="50" w:line="240" w:lineRule="atLeast"/>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 w:val="28"/>
              </w:rPr>
              <w:t>设计建筑</w:t>
            </w:r>
          </w:p>
        </w:tc>
        <w:tc>
          <w:tcPr>
            <w:tcW w:w="5030" w:type="dxa"/>
            <w:gridSpan w:val="5"/>
            <w:tcBorders>
              <w:top w:val="single" w:color="auto" w:sz="4" w:space="0"/>
              <w:left w:val="single" w:color="auto" w:sz="4" w:space="0"/>
              <w:right w:val="single" w:color="auto" w:sz="4" w:space="0"/>
            </w:tcBorders>
            <w:shd w:val="clear" w:color="auto" w:fill="auto"/>
            <w:vAlign w:val="center"/>
          </w:tcPr>
          <w:p>
            <w:pPr>
              <w:spacing w:before="156" w:beforeLines="50" w:line="240" w:lineRule="atLeast"/>
              <w:jc w:val="center"/>
              <w:rPr>
                <w:rFonts w:ascii="Times New Roman" w:hAnsi="Times New Roman" w:cs="Times New Roman"/>
                <w:b w:val="0"/>
                <w:bCs/>
              </w:rPr>
            </w:pPr>
            <w:r>
              <w:rPr>
                <w:rFonts w:ascii="Times New Roman" w:hAnsi="Times New Roman" w:eastAsia="华文中宋" w:cs="Times New Roman"/>
                <w:b w:val="0"/>
                <w:bCs/>
                <w:kern w:val="0"/>
                <w:sz w:val="28"/>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068"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围护结构</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面积</w:t>
            </w:r>
          </w:p>
          <w:p>
            <w:pPr>
              <w:jc w:val="center"/>
              <w:rPr>
                <w:rFonts w:ascii="Times New Roman" w:hAnsi="Times New Roman" w:eastAsia="华文中宋" w:cs="Times New Roman"/>
                <w:b w:val="0"/>
                <w:bCs/>
              </w:rPr>
            </w:pPr>
            <w:r>
              <w:rPr>
                <w:rFonts w:ascii="Times New Roman" w:hAnsi="Times New Roman" w:eastAsia="华文中宋" w:cs="Times New Roman"/>
                <w:b w:val="0"/>
                <w:bCs/>
              </w:rPr>
              <w:t>（㎡）</w:t>
            </w:r>
          </w:p>
        </w:tc>
        <w:tc>
          <w:tcPr>
            <w:tcW w:w="179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传热系数</w:t>
            </w:r>
          </w:p>
          <w:p>
            <w:pPr>
              <w:jc w:val="center"/>
              <w:rPr>
                <w:rFonts w:ascii="Times New Roman" w:hAnsi="Times New Roman" w:eastAsia="华文中宋" w:cs="Times New Roman"/>
                <w:b w:val="0"/>
                <w:bCs/>
              </w:rPr>
            </w:pPr>
            <w:r>
              <w:rPr>
                <w:rFonts w:ascii="Times New Roman" w:hAnsi="Times New Roman" w:eastAsia="华文中宋" w:cs="Times New Roman"/>
                <w:b w:val="0"/>
                <w:bCs/>
                <w:kern w:val="0"/>
              </w:rPr>
              <w:t>W/(㎡•K)</w:t>
            </w:r>
          </w:p>
        </w:tc>
        <w:tc>
          <w:tcPr>
            <w:tcW w:w="1782"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szCs w:val="18"/>
              </w:rPr>
              <w:t>传热系数</w:t>
            </w:r>
            <w:r>
              <w:rPr>
                <w:rFonts w:ascii="Times New Roman" w:hAnsi="Times New Roman" w:eastAsia="华文中宋" w:cs="Times New Roman"/>
                <w:b w:val="0"/>
                <w:bCs/>
                <w:kern w:val="0"/>
              </w:rPr>
              <w:t>附加值</w:t>
            </w:r>
          </w:p>
          <w:p>
            <w:pPr>
              <w:jc w:val="center"/>
              <w:rPr>
                <w:rFonts w:ascii="Times New Roman" w:hAnsi="Times New Roman" w:eastAsia="华文中宋" w:cs="Times New Roman"/>
                <w:b w:val="0"/>
                <w:bCs/>
              </w:rPr>
            </w:pPr>
            <w:r>
              <w:rPr>
                <w:rFonts w:ascii="Times New Roman" w:hAnsi="Times New Roman" w:eastAsia="华文中宋" w:cs="Times New Roman"/>
                <w:b w:val="0"/>
                <w:bCs/>
                <w:kern w:val="0"/>
                <w:szCs w:val="18"/>
              </w:rPr>
              <w:t>(W/(m</w:t>
            </w:r>
            <w:r>
              <w:rPr>
                <w:rFonts w:ascii="Times New Roman" w:hAnsi="Times New Roman" w:eastAsia="华文中宋" w:cs="Times New Roman"/>
                <w:b w:val="0"/>
                <w:bCs/>
                <w:kern w:val="0"/>
                <w:szCs w:val="18"/>
                <w:vertAlign w:val="superscript"/>
              </w:rPr>
              <w:t>2</w:t>
            </w:r>
            <w:r>
              <w:rPr>
                <w:rFonts w:ascii="Times New Roman" w:hAnsi="Times New Roman" w:eastAsia="华文中宋" w:cs="Times New Roman"/>
                <w:b w:val="0"/>
                <w:bCs/>
                <w:kern w:val="0"/>
                <w:szCs w:val="18"/>
              </w:rPr>
              <w:t>·K))</w:t>
            </w: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面积</w:t>
            </w:r>
          </w:p>
          <w:p>
            <w:pPr>
              <w:jc w:val="center"/>
              <w:rPr>
                <w:rFonts w:ascii="Times New Roman" w:hAnsi="Times New Roman" w:cs="Times New Roman"/>
                <w:b w:val="0"/>
                <w:bCs/>
              </w:rPr>
            </w:pPr>
            <w:r>
              <w:rPr>
                <w:rFonts w:ascii="Times New Roman" w:hAnsi="Times New Roman" w:eastAsia="华文中宋" w:cs="Times New Roman"/>
                <w:b w:val="0"/>
                <w:bCs/>
              </w:rPr>
              <w:t>（㎡）</w:t>
            </w:r>
          </w:p>
        </w:tc>
        <w:tc>
          <w:tcPr>
            <w:tcW w:w="2009"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传热系数</w:t>
            </w:r>
          </w:p>
          <w:p>
            <w:pPr>
              <w:jc w:val="center"/>
              <w:rPr>
                <w:rFonts w:ascii="Times New Roman" w:hAnsi="Times New Roman" w:cs="Times New Roman"/>
                <w:b w:val="0"/>
                <w:bCs/>
              </w:rPr>
            </w:pPr>
            <w:r>
              <w:rPr>
                <w:rFonts w:ascii="Times New Roman" w:hAnsi="Times New Roman" w:eastAsia="华文中宋" w:cs="Times New Roman"/>
                <w:b w:val="0"/>
                <w:bCs/>
                <w:kern w:val="0"/>
              </w:rPr>
              <w:t>(W/(㎡•K))</w:t>
            </w:r>
          </w:p>
        </w:tc>
        <w:tc>
          <w:tcPr>
            <w:tcW w:w="197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r>
              <w:rPr>
                <w:rFonts w:ascii="Times New Roman" w:hAnsi="Times New Roman" w:eastAsia="华文中宋" w:cs="Times New Roman"/>
                <w:b w:val="0"/>
                <w:bCs/>
                <w:kern w:val="0"/>
                <w:szCs w:val="18"/>
              </w:rPr>
              <w:t>传热系数</w:t>
            </w:r>
            <w:r>
              <w:rPr>
                <w:rFonts w:ascii="Times New Roman" w:hAnsi="Times New Roman" w:eastAsia="华文中宋" w:cs="Times New Roman"/>
                <w:b w:val="0"/>
                <w:bCs/>
                <w:kern w:val="0"/>
              </w:rPr>
              <w:t>附加值</w:t>
            </w:r>
            <w:r>
              <w:rPr>
                <w:rFonts w:ascii="Times New Roman" w:hAnsi="Times New Roman" w:eastAsia="华文中宋" w:cs="Times New Roman"/>
                <w:b w:val="0"/>
                <w:bCs/>
                <w:kern w:val="0"/>
                <w:szCs w:val="18"/>
              </w:rPr>
              <w:t xml:space="preserve"> (W/(m</w:t>
            </w:r>
            <w:r>
              <w:rPr>
                <w:rFonts w:ascii="Times New Roman" w:hAnsi="Times New Roman" w:eastAsia="华文中宋" w:cs="Times New Roman"/>
                <w:b w:val="0"/>
                <w:bCs/>
                <w:kern w:val="0"/>
                <w:szCs w:val="18"/>
                <w:vertAlign w:val="superscript"/>
              </w:rPr>
              <w:t>2</w:t>
            </w:r>
            <w:r>
              <w:rPr>
                <w:rFonts w:ascii="Times New Roman" w:hAnsi="Times New Roman" w:eastAsia="华文中宋" w:cs="Times New Roman"/>
                <w:b w:val="0"/>
                <w:bCs/>
                <w:kern w:val="0"/>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南外墙</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9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82"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200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97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北外墙</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9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82"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200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97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东外墙</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9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82"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200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97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西外墙</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9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82"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200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97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屋面</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9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82"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200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97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地面</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9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782"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200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979"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68"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外窗</w:t>
            </w:r>
          </w:p>
        </w:tc>
        <w:tc>
          <w:tcPr>
            <w:tcW w:w="982"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窗墙面积比</w:t>
            </w:r>
          </w:p>
        </w:tc>
        <w:tc>
          <w:tcPr>
            <w:tcW w:w="906"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总窗墙面积比</w:t>
            </w:r>
          </w:p>
        </w:tc>
        <w:tc>
          <w:tcPr>
            <w:tcW w:w="1360" w:type="dxa"/>
            <w:gridSpan w:val="2"/>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传热系数</w:t>
            </w:r>
          </w:p>
          <w:p>
            <w:pPr>
              <w:jc w:val="center"/>
              <w:rPr>
                <w:rFonts w:ascii="Times New Roman" w:hAnsi="Times New Roman" w:eastAsia="华文中宋" w:cs="Times New Roman"/>
                <w:b w:val="0"/>
                <w:bCs/>
              </w:rPr>
            </w:pPr>
            <w:r>
              <w:rPr>
                <w:rFonts w:ascii="Times New Roman" w:hAnsi="Times New Roman" w:eastAsia="华文中宋" w:cs="Times New Roman"/>
                <w:b w:val="0"/>
                <w:bCs/>
                <w:kern w:val="0"/>
              </w:rPr>
              <w:t>(W/(㎡•K))</w:t>
            </w:r>
          </w:p>
        </w:tc>
        <w:tc>
          <w:tcPr>
            <w:tcW w:w="1314"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遮阳系数</w:t>
            </w:r>
          </w:p>
          <w:p>
            <w:pPr>
              <w:jc w:val="center"/>
              <w:rPr>
                <w:rFonts w:ascii="Times New Roman" w:hAnsi="Times New Roman" w:eastAsia="华文中宋" w:cs="Times New Roman"/>
                <w:b w:val="0"/>
                <w:bCs/>
              </w:rPr>
            </w:pPr>
            <w:r>
              <w:rPr>
                <w:rFonts w:ascii="Times New Roman" w:hAnsi="Times New Roman" w:eastAsia="华文中宋" w:cs="Times New Roman"/>
                <w:b w:val="0"/>
                <w:bCs/>
              </w:rPr>
              <w:t>SHGC</w:t>
            </w:r>
          </w:p>
        </w:tc>
        <w:tc>
          <w:tcPr>
            <w:tcW w:w="1042"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cs="Times New Roman"/>
                <w:b w:val="0"/>
                <w:bCs/>
              </w:rPr>
            </w:pPr>
            <w:r>
              <w:rPr>
                <w:rFonts w:ascii="Times New Roman" w:hAnsi="Times New Roman" w:eastAsia="华文中宋" w:cs="Times New Roman"/>
                <w:b w:val="0"/>
                <w:bCs/>
              </w:rPr>
              <w:t>窗墙面积比</w:t>
            </w:r>
          </w:p>
        </w:tc>
        <w:tc>
          <w:tcPr>
            <w:tcW w:w="1072"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总窗墙</w:t>
            </w:r>
          </w:p>
          <w:p>
            <w:pPr>
              <w:jc w:val="center"/>
              <w:rPr>
                <w:rFonts w:ascii="Times New Roman" w:hAnsi="Times New Roman" w:cs="Times New Roman"/>
                <w:b w:val="0"/>
                <w:bCs/>
              </w:rPr>
            </w:pPr>
            <w:r>
              <w:rPr>
                <w:rFonts w:ascii="Times New Roman" w:hAnsi="Times New Roman" w:eastAsia="华文中宋" w:cs="Times New Roman"/>
                <w:b w:val="0"/>
                <w:bCs/>
              </w:rPr>
              <w:t>面积比</w:t>
            </w:r>
          </w:p>
        </w:tc>
        <w:tc>
          <w:tcPr>
            <w:tcW w:w="1602" w:type="dxa"/>
            <w:gridSpan w:val="2"/>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传热系数</w:t>
            </w:r>
          </w:p>
          <w:p>
            <w:pPr>
              <w:jc w:val="center"/>
              <w:rPr>
                <w:rFonts w:ascii="Times New Roman" w:hAnsi="Times New Roman" w:cs="Times New Roman"/>
                <w:b w:val="0"/>
                <w:bCs/>
              </w:rPr>
            </w:pPr>
            <w:r>
              <w:rPr>
                <w:rFonts w:ascii="Times New Roman" w:hAnsi="Times New Roman" w:eastAsia="华文中宋" w:cs="Times New Roman"/>
                <w:b w:val="0"/>
                <w:bCs/>
                <w:kern w:val="0"/>
              </w:rPr>
              <w:t>(W/(㎡•K))</w:t>
            </w:r>
          </w:p>
        </w:tc>
        <w:tc>
          <w:tcPr>
            <w:tcW w:w="1314" w:type="dxa"/>
            <w:tcBorders>
              <w:left w:val="single" w:color="auto" w:sz="4" w:space="0"/>
              <w:right w:val="single" w:color="auto" w:sz="4" w:space="0"/>
            </w:tcBorders>
            <w:shd w:val="clear" w:color="auto" w:fill="auto"/>
            <w:vAlign w:val="center"/>
          </w:tcPr>
          <w:p>
            <w:pPr>
              <w:spacing w:before="156" w:beforeLines="50"/>
              <w:jc w:val="center"/>
              <w:rPr>
                <w:rFonts w:ascii="Times New Roman" w:hAnsi="Times New Roman" w:eastAsia="华文中宋" w:cs="Times New Roman"/>
                <w:b w:val="0"/>
                <w:bCs/>
              </w:rPr>
            </w:pPr>
            <w:r>
              <w:rPr>
                <w:rFonts w:ascii="Times New Roman" w:hAnsi="Times New Roman" w:eastAsia="华文中宋" w:cs="Times New Roman"/>
                <w:b w:val="0"/>
                <w:bCs/>
              </w:rPr>
              <w:t>遮阳系数</w:t>
            </w:r>
          </w:p>
          <w:p>
            <w:pPr>
              <w:jc w:val="center"/>
              <w:rPr>
                <w:rFonts w:ascii="Times New Roman" w:hAnsi="Times New Roman" w:cs="Times New Roman"/>
                <w:b w:val="0"/>
                <w:bCs/>
              </w:rPr>
            </w:pPr>
            <w:r>
              <w:rPr>
                <w:rFonts w:ascii="Times New Roman" w:hAnsi="Times New Roman" w:eastAsia="华文中宋" w:cs="Times New Roman"/>
                <w:b w:val="0"/>
                <w:bCs/>
              </w:rPr>
              <w:t>SHGC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南外窗1</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restart"/>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restart"/>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南外窗2</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北外窗1</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restart"/>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restart"/>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北外窗2</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东外窗1</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restart"/>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restart"/>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东外窗2</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西外窗1</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restart"/>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restart"/>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6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西外窗2</w:t>
            </w:r>
          </w:p>
        </w:tc>
        <w:tc>
          <w:tcPr>
            <w:tcW w:w="982"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vMerge w:val="continue"/>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68"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r>
              <w:rPr>
                <w:rFonts w:ascii="Times New Roman" w:hAnsi="Times New Roman" w:eastAsia="华文中宋" w:cs="Times New Roman"/>
                <w:b w:val="0"/>
                <w:bCs/>
              </w:rPr>
              <w:t>天窗</w:t>
            </w:r>
          </w:p>
        </w:tc>
        <w:tc>
          <w:tcPr>
            <w:tcW w:w="982"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906"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60" w:type="dxa"/>
            <w:gridSpan w:val="2"/>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314"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rPr>
            </w:pPr>
          </w:p>
        </w:tc>
        <w:tc>
          <w:tcPr>
            <w:tcW w:w="1042"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072"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602" w:type="dxa"/>
            <w:gridSpan w:val="2"/>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c>
          <w:tcPr>
            <w:tcW w:w="1314"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val="0"/>
                <w:bCs/>
              </w:rPr>
            </w:pPr>
          </w:p>
        </w:tc>
      </w:tr>
    </w:tbl>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2.2 气密性及通风系统</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2706"/>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1"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项目</w:t>
            </w:r>
          </w:p>
        </w:tc>
        <w:tc>
          <w:tcPr>
            <w:tcW w:w="270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设计建筑</w:t>
            </w:r>
          </w:p>
        </w:tc>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021"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50Pa下外围护结构渗透风量（</w:t>
            </w:r>
            <w:r>
              <w:rPr>
                <w:rFonts w:ascii="Times New Roman" w:hAnsi="Times New Roman" w:eastAsia="华文中宋" w:cs="Times New Roman"/>
                <w:b w:val="0"/>
                <w:bCs/>
                <w:kern w:val="0"/>
                <w:szCs w:val="21"/>
              </w:rPr>
              <w:t>m</w:t>
            </w:r>
            <w:r>
              <w:rPr>
                <w:rFonts w:ascii="Times New Roman" w:hAnsi="Times New Roman" w:eastAsia="华文中宋" w:cs="Times New Roman"/>
                <w:b w:val="0"/>
                <w:bCs/>
                <w:kern w:val="0"/>
                <w:szCs w:val="21"/>
                <w:vertAlign w:val="superscript"/>
              </w:rPr>
              <w:t>3</w:t>
            </w:r>
            <w:r>
              <w:rPr>
                <w:rFonts w:ascii="Times New Roman" w:hAnsi="Times New Roman" w:eastAsia="华文中宋" w:cs="Times New Roman"/>
                <w:b w:val="0"/>
                <w:bCs/>
                <w:kern w:val="0"/>
                <w:szCs w:val="21"/>
              </w:rPr>
              <w:t>/h•m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rPr>
              <w:t>）</w:t>
            </w:r>
          </w:p>
        </w:tc>
        <w:tc>
          <w:tcPr>
            <w:tcW w:w="270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021"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自然通风</w:t>
            </w:r>
          </w:p>
        </w:tc>
        <w:tc>
          <w:tcPr>
            <w:tcW w:w="270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r>
    </w:tbl>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2.3 热回收系统</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3"/>
        <w:gridCol w:w="2853"/>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853" w:type="dxa"/>
            <w:vMerge w:val="restart"/>
            <w:tcBorders>
              <w:tl2br w:val="nil"/>
              <w:tr2bl w:val="nil"/>
            </w:tcBorders>
            <w:shd w:val="clear" w:color="auto" w:fill="auto"/>
            <w:vAlign w:val="center"/>
          </w:tcPr>
          <w:p>
            <w:pPr>
              <w:spacing w:before="156" w:beforeLines="50"/>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热回收系统</w:t>
            </w:r>
          </w:p>
        </w:tc>
        <w:tc>
          <w:tcPr>
            <w:tcW w:w="5707" w:type="dxa"/>
            <w:gridSpan w:val="2"/>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热回收效率（%）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853" w:type="dxa"/>
            <w:vMerge w:val="continue"/>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设计建筑</w:t>
            </w:r>
          </w:p>
        </w:tc>
        <w:tc>
          <w:tcPr>
            <w:tcW w:w="2854"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未使用</w:t>
            </w:r>
          </w:p>
        </w:tc>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0</w:t>
            </w:r>
          </w:p>
        </w:tc>
        <w:tc>
          <w:tcPr>
            <w:tcW w:w="2854"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53"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54"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r>
    </w:tbl>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2.4 供暖空调系统形式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2846"/>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846" w:type="dxa"/>
            <w:vMerge w:val="restart"/>
            <w:tcBorders>
              <w:tl2br w:val="nil"/>
              <w:tr2bl w:val="nil"/>
            </w:tcBorders>
            <w:shd w:val="clear" w:color="auto" w:fill="auto"/>
            <w:vAlign w:val="center"/>
          </w:tcPr>
          <w:p>
            <w:pPr>
              <w:spacing w:before="156" w:beforeLines="50"/>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空调系统名称</w:t>
            </w:r>
          </w:p>
        </w:tc>
        <w:tc>
          <w:tcPr>
            <w:tcW w:w="5694" w:type="dxa"/>
            <w:gridSpan w:val="2"/>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空调系统类型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846" w:type="dxa"/>
            <w:vMerge w:val="continue"/>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4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设计建筑</w:t>
            </w:r>
          </w:p>
        </w:tc>
        <w:tc>
          <w:tcPr>
            <w:tcW w:w="2848"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84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冷源</w:t>
            </w:r>
          </w:p>
        </w:tc>
        <w:tc>
          <w:tcPr>
            <w:tcW w:w="284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48"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4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热源</w:t>
            </w:r>
          </w:p>
        </w:tc>
        <w:tc>
          <w:tcPr>
            <w:tcW w:w="2846"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c>
          <w:tcPr>
            <w:tcW w:w="2848" w:type="dxa"/>
            <w:tcBorders>
              <w:tl2br w:val="nil"/>
              <w:tr2bl w:val="nil"/>
            </w:tcBorders>
            <w:shd w:val="clear" w:color="auto" w:fill="auto"/>
            <w:vAlign w:val="center"/>
          </w:tcPr>
          <w:p>
            <w:pPr>
              <w:jc w:val="center"/>
              <w:rPr>
                <w:rFonts w:ascii="Times New Roman" w:hAnsi="Times New Roman" w:eastAsia="华文中宋" w:cs="Times New Roman"/>
                <w:b w:val="0"/>
                <w:bCs/>
                <w:kern w:val="0"/>
              </w:rPr>
            </w:pPr>
          </w:p>
        </w:tc>
      </w:tr>
    </w:tbl>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2.5 运行方式</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215"/>
        <w:gridCol w:w="3068"/>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7" w:hRule="atLeast"/>
          <w:jc w:val="center"/>
        </w:trPr>
        <w:tc>
          <w:tcPr>
            <w:tcW w:w="2215" w:type="dxa"/>
            <w:tcBorders>
              <w:tl2br w:val="nil"/>
              <w:tr2bl w:val="nil"/>
            </w:tcBorders>
            <w:vAlign w:val="center"/>
          </w:tcPr>
          <w:p>
            <w:pPr>
              <w:jc w:val="center"/>
              <w:rPr>
                <w:rFonts w:ascii="Times New Roman" w:hAnsi="Times New Roman" w:eastAsia="华文中宋" w:cs="Times New Roman"/>
                <w:b w:val="0"/>
                <w:bCs/>
                <w:kern w:val="0"/>
              </w:rPr>
            </w:pPr>
          </w:p>
        </w:tc>
        <w:tc>
          <w:tcPr>
            <w:tcW w:w="3068" w:type="dxa"/>
            <w:tcBorders>
              <w:tl2br w:val="nil"/>
              <w:tr2bl w:val="nil"/>
            </w:tcBorders>
            <w:vAlign w:val="center"/>
          </w:tcPr>
          <w:p>
            <w:pPr>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rPr>
              <w:t>设计建筑</w:t>
            </w:r>
          </w:p>
        </w:tc>
        <w:tc>
          <w:tcPr>
            <w:tcW w:w="3217" w:type="dxa"/>
            <w:tcBorders>
              <w:tl2br w:val="nil"/>
              <w:tr2bl w:val="nil"/>
            </w:tcBorders>
            <w:vAlign w:val="center"/>
          </w:tcPr>
          <w:p>
            <w:pPr>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7" w:hRule="atLeast"/>
          <w:jc w:val="center"/>
        </w:trPr>
        <w:tc>
          <w:tcPr>
            <w:tcW w:w="2215"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每日开始使用时间</w:t>
            </w:r>
          </w:p>
        </w:tc>
        <w:tc>
          <w:tcPr>
            <w:tcW w:w="306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时</w:t>
            </w:r>
          </w:p>
        </w:tc>
        <w:tc>
          <w:tcPr>
            <w:tcW w:w="3217"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7" w:hRule="atLeast"/>
          <w:jc w:val="center"/>
        </w:trPr>
        <w:tc>
          <w:tcPr>
            <w:tcW w:w="2215"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每日结束使用时间</w:t>
            </w:r>
          </w:p>
        </w:tc>
        <w:tc>
          <w:tcPr>
            <w:tcW w:w="306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时</w:t>
            </w:r>
          </w:p>
        </w:tc>
        <w:tc>
          <w:tcPr>
            <w:tcW w:w="3217"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7" w:hRule="atLeast"/>
          <w:jc w:val="center"/>
        </w:trPr>
        <w:tc>
          <w:tcPr>
            <w:tcW w:w="2215"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供冷季每周使用天数</w:t>
            </w:r>
          </w:p>
        </w:tc>
        <w:tc>
          <w:tcPr>
            <w:tcW w:w="306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天</w:t>
            </w:r>
          </w:p>
        </w:tc>
        <w:tc>
          <w:tcPr>
            <w:tcW w:w="3217"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20" w:hRule="atLeast"/>
          <w:jc w:val="center"/>
        </w:trPr>
        <w:tc>
          <w:tcPr>
            <w:tcW w:w="2215"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供暖季每周使用天数</w:t>
            </w:r>
          </w:p>
        </w:tc>
        <w:tc>
          <w:tcPr>
            <w:tcW w:w="306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天</w:t>
            </w:r>
          </w:p>
        </w:tc>
        <w:tc>
          <w:tcPr>
            <w:tcW w:w="3217"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天</w:t>
            </w:r>
          </w:p>
        </w:tc>
      </w:tr>
    </w:tbl>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2.6 可再生能源系统</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746"/>
        <w:gridCol w:w="2848"/>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4" w:hRule="atLeast"/>
          <w:jc w:val="center"/>
        </w:trPr>
        <w:tc>
          <w:tcPr>
            <w:tcW w:w="2746" w:type="dxa"/>
            <w:tcBorders>
              <w:tl2br w:val="nil"/>
              <w:tr2bl w:val="nil"/>
            </w:tcBorders>
            <w:vAlign w:val="center"/>
          </w:tcPr>
          <w:p>
            <w:pPr>
              <w:jc w:val="center"/>
              <w:rPr>
                <w:rFonts w:ascii="Times New Roman" w:hAnsi="Times New Roman" w:eastAsia="华文中宋" w:cs="Times New Roman"/>
                <w:b w:val="0"/>
                <w:bCs/>
                <w:kern w:val="0"/>
              </w:rPr>
            </w:pPr>
          </w:p>
        </w:tc>
        <w:tc>
          <w:tcPr>
            <w:tcW w:w="2848" w:type="dxa"/>
            <w:tcBorders>
              <w:tl2br w:val="nil"/>
              <w:tr2bl w:val="nil"/>
            </w:tcBorders>
            <w:vAlign w:val="center"/>
          </w:tcPr>
          <w:p>
            <w:pPr>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rPr>
              <w:t>设计建筑</w:t>
            </w:r>
          </w:p>
        </w:tc>
        <w:tc>
          <w:tcPr>
            <w:tcW w:w="2846" w:type="dxa"/>
            <w:tcBorders>
              <w:tl2br w:val="nil"/>
              <w:tr2bl w:val="nil"/>
            </w:tcBorders>
            <w:vAlign w:val="center"/>
          </w:tcPr>
          <w:p>
            <w:pPr>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4" w:hRule="atLeast"/>
          <w:jc w:val="center"/>
        </w:trPr>
        <w:tc>
          <w:tcPr>
            <w:tcW w:w="2746" w:type="dxa"/>
            <w:vMerge w:val="restart"/>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系统形式</w:t>
            </w:r>
          </w:p>
        </w:tc>
        <w:tc>
          <w:tcPr>
            <w:tcW w:w="2848" w:type="dxa"/>
            <w:tcBorders>
              <w:tl2br w:val="nil"/>
              <w:tr2bl w:val="nil"/>
            </w:tcBorders>
            <w:vAlign w:val="center"/>
          </w:tcPr>
          <w:p>
            <w:pPr>
              <w:jc w:val="center"/>
              <w:rPr>
                <w:rFonts w:ascii="Times New Roman" w:hAnsi="Times New Roman" w:eastAsia="华文中宋" w:cs="Times New Roman"/>
                <w:b w:val="0"/>
                <w:bCs/>
                <w:kern w:val="0"/>
                <w:szCs w:val="18"/>
              </w:rPr>
            </w:pPr>
          </w:p>
        </w:tc>
        <w:tc>
          <w:tcPr>
            <w:tcW w:w="2846" w:type="dxa"/>
            <w:tcBorders>
              <w:tl2br w:val="nil"/>
              <w:tr2bl w:val="nil"/>
            </w:tcBorders>
            <w:vAlign w:val="center"/>
          </w:tcPr>
          <w:p>
            <w:pPr>
              <w:jc w:val="center"/>
              <w:rPr>
                <w:rFonts w:ascii="Times New Roman" w:hAnsi="Times New Roman" w:eastAsia="华文中宋" w:cs="Times New Roman"/>
                <w:b w:val="0"/>
                <w:bCs/>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4" w:hRule="atLeast"/>
          <w:jc w:val="center"/>
        </w:trPr>
        <w:tc>
          <w:tcPr>
            <w:tcW w:w="2746" w:type="dxa"/>
            <w:vMerge w:val="continue"/>
            <w:tcBorders>
              <w:tl2br w:val="nil"/>
              <w:tr2bl w:val="nil"/>
            </w:tcBorders>
            <w:vAlign w:val="center"/>
          </w:tcPr>
          <w:p>
            <w:pPr>
              <w:jc w:val="center"/>
              <w:rPr>
                <w:rFonts w:ascii="Times New Roman" w:hAnsi="Times New Roman" w:eastAsia="华文中宋" w:cs="Times New Roman"/>
                <w:b w:val="0"/>
                <w:bCs/>
                <w:kern w:val="0"/>
              </w:rPr>
            </w:pPr>
          </w:p>
        </w:tc>
        <w:tc>
          <w:tcPr>
            <w:tcW w:w="2848" w:type="dxa"/>
            <w:tcBorders>
              <w:tl2br w:val="nil"/>
              <w:tr2bl w:val="nil"/>
            </w:tcBorders>
            <w:vAlign w:val="center"/>
          </w:tcPr>
          <w:p>
            <w:pPr>
              <w:jc w:val="center"/>
              <w:rPr>
                <w:rFonts w:ascii="Times New Roman" w:hAnsi="Times New Roman" w:eastAsia="华文中宋" w:cs="Times New Roman"/>
                <w:b w:val="0"/>
                <w:bCs/>
                <w:kern w:val="0"/>
                <w:szCs w:val="18"/>
              </w:rPr>
            </w:pPr>
          </w:p>
        </w:tc>
        <w:tc>
          <w:tcPr>
            <w:tcW w:w="2846" w:type="dxa"/>
            <w:tcBorders>
              <w:tl2br w:val="nil"/>
              <w:tr2bl w:val="nil"/>
            </w:tcBorders>
            <w:vAlign w:val="center"/>
          </w:tcPr>
          <w:p>
            <w:pPr>
              <w:jc w:val="center"/>
              <w:rPr>
                <w:rFonts w:ascii="Times New Roman" w:hAnsi="Times New Roman" w:eastAsia="华文中宋" w:cs="Times New Roman"/>
                <w:b w:val="0"/>
                <w:bCs/>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4" w:hRule="atLeast"/>
          <w:jc w:val="center"/>
        </w:trPr>
        <w:tc>
          <w:tcPr>
            <w:tcW w:w="2746" w:type="dxa"/>
            <w:vMerge w:val="continue"/>
            <w:tcBorders>
              <w:tl2br w:val="nil"/>
              <w:tr2bl w:val="nil"/>
            </w:tcBorders>
            <w:vAlign w:val="center"/>
          </w:tcPr>
          <w:p>
            <w:pPr>
              <w:jc w:val="center"/>
              <w:rPr>
                <w:rFonts w:ascii="Times New Roman" w:hAnsi="Times New Roman" w:eastAsia="华文中宋" w:cs="Times New Roman"/>
                <w:b w:val="0"/>
                <w:bCs/>
                <w:kern w:val="0"/>
              </w:rPr>
            </w:pPr>
          </w:p>
        </w:tc>
        <w:tc>
          <w:tcPr>
            <w:tcW w:w="284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p>
        </w:tc>
        <w:tc>
          <w:tcPr>
            <w:tcW w:w="2846"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4" w:hRule="atLeast"/>
          <w:jc w:val="center"/>
        </w:trPr>
        <w:tc>
          <w:tcPr>
            <w:tcW w:w="2746"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太阳能集热器面积</w:t>
            </w:r>
          </w:p>
        </w:tc>
        <w:tc>
          <w:tcPr>
            <w:tcW w:w="284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m</w:t>
            </w:r>
            <w:r>
              <w:rPr>
                <w:rFonts w:ascii="Times New Roman" w:hAnsi="Times New Roman" w:eastAsia="华文中宋" w:cs="Times New Roman"/>
                <w:b w:val="0"/>
                <w:bCs/>
                <w:kern w:val="0"/>
                <w:szCs w:val="18"/>
                <w:vertAlign w:val="superscript"/>
              </w:rPr>
              <w:t>2</w:t>
            </w:r>
          </w:p>
        </w:tc>
        <w:tc>
          <w:tcPr>
            <w:tcW w:w="2846"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m</w:t>
            </w:r>
            <w:r>
              <w:rPr>
                <w:rFonts w:ascii="Times New Roman" w:hAnsi="Times New Roman" w:eastAsia="华文中宋" w:cs="Times New Roman"/>
                <w:b w:val="0"/>
                <w:bCs/>
                <w:kern w:val="0"/>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84" w:hRule="atLeast"/>
          <w:jc w:val="center"/>
        </w:trPr>
        <w:tc>
          <w:tcPr>
            <w:tcW w:w="2746"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太阳能光电板面积</w:t>
            </w:r>
          </w:p>
        </w:tc>
        <w:tc>
          <w:tcPr>
            <w:tcW w:w="284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m</w:t>
            </w:r>
            <w:r>
              <w:rPr>
                <w:rFonts w:ascii="Times New Roman" w:hAnsi="Times New Roman" w:eastAsia="华文中宋" w:cs="Times New Roman"/>
                <w:b w:val="0"/>
                <w:bCs/>
                <w:kern w:val="0"/>
                <w:szCs w:val="18"/>
                <w:vertAlign w:val="superscript"/>
              </w:rPr>
              <w:t>2</w:t>
            </w:r>
          </w:p>
        </w:tc>
        <w:tc>
          <w:tcPr>
            <w:tcW w:w="2846"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m</w:t>
            </w:r>
            <w:r>
              <w:rPr>
                <w:rFonts w:ascii="Times New Roman" w:hAnsi="Times New Roman" w:eastAsia="华文中宋" w:cs="Times New Roman"/>
                <w:b w:val="0"/>
                <w:bCs/>
                <w:kern w:val="0"/>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5" w:hRule="atLeast"/>
          <w:jc w:val="center"/>
        </w:trPr>
        <w:tc>
          <w:tcPr>
            <w:tcW w:w="2746"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风力发电机组</w:t>
            </w:r>
          </w:p>
        </w:tc>
        <w:tc>
          <w:tcPr>
            <w:tcW w:w="284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台</w:t>
            </w:r>
          </w:p>
        </w:tc>
        <w:tc>
          <w:tcPr>
            <w:tcW w:w="2846"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5" w:hRule="atLeast"/>
          <w:jc w:val="center"/>
        </w:trPr>
        <w:tc>
          <w:tcPr>
            <w:tcW w:w="2746"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太阳能供暖</w:t>
            </w:r>
          </w:p>
        </w:tc>
        <w:tc>
          <w:tcPr>
            <w:tcW w:w="284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台</w:t>
            </w:r>
          </w:p>
        </w:tc>
        <w:tc>
          <w:tcPr>
            <w:tcW w:w="2846"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05" w:hRule="atLeast"/>
          <w:jc w:val="center"/>
        </w:trPr>
        <w:tc>
          <w:tcPr>
            <w:tcW w:w="2746" w:type="dxa"/>
            <w:tcBorders>
              <w:tl2br w:val="nil"/>
              <w:tr2bl w:val="nil"/>
            </w:tcBorders>
            <w:vAlign w:val="center"/>
          </w:tcPr>
          <w:p>
            <w:pPr>
              <w:jc w:val="center"/>
              <w:rPr>
                <w:rFonts w:ascii="Times New Roman" w:hAnsi="Times New Roman" w:eastAsia="华文中宋" w:cs="Times New Roman"/>
                <w:b w:val="0"/>
                <w:bCs/>
                <w:kern w:val="0"/>
              </w:rPr>
            </w:pPr>
            <w:r>
              <w:rPr>
                <w:rFonts w:ascii="Times New Roman" w:hAnsi="Times New Roman" w:eastAsia="华文中宋" w:cs="Times New Roman"/>
                <w:b w:val="0"/>
                <w:bCs/>
                <w:kern w:val="0"/>
              </w:rPr>
              <w:t>太阳能空调</w:t>
            </w:r>
          </w:p>
        </w:tc>
        <w:tc>
          <w:tcPr>
            <w:tcW w:w="2848"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台</w:t>
            </w:r>
          </w:p>
        </w:tc>
        <w:tc>
          <w:tcPr>
            <w:tcW w:w="2846" w:type="dxa"/>
            <w:tcBorders>
              <w:tl2br w:val="nil"/>
              <w:tr2bl w:val="nil"/>
            </w:tcBorders>
            <w:vAlign w:val="center"/>
          </w:tcPr>
          <w:p>
            <w:pPr>
              <w:ind w:firstLine="105" w:firstLineChars="50"/>
              <w:jc w:val="center"/>
              <w:rPr>
                <w:rFonts w:ascii="Times New Roman" w:hAnsi="Times New Roman" w:eastAsia="华文中宋" w:cs="Times New Roman"/>
                <w:b w:val="0"/>
                <w:bCs/>
                <w:kern w:val="0"/>
                <w:szCs w:val="18"/>
              </w:rPr>
            </w:pPr>
            <w:r>
              <w:rPr>
                <w:rFonts w:ascii="Times New Roman" w:hAnsi="Times New Roman" w:eastAsia="华文中宋" w:cs="Times New Roman"/>
                <w:b w:val="0"/>
                <w:bCs/>
                <w:kern w:val="0"/>
                <w:szCs w:val="18"/>
              </w:rPr>
              <w:t>台</w:t>
            </w:r>
          </w:p>
        </w:tc>
      </w:tr>
    </w:tbl>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3 建筑负荷计算结果</w:t>
      </w:r>
    </w:p>
    <w:tbl>
      <w:tblPr>
        <w:tblStyle w:val="43"/>
        <w:tblW w:w="0" w:type="auto"/>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298"/>
        <w:gridCol w:w="2269"/>
        <w:gridCol w:w="229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01" w:type="dxa"/>
            <w:vMerge w:val="restart"/>
            <w:tcBorders>
              <w:tl2br w:val="nil"/>
              <w:tr2bl w:val="nil"/>
            </w:tcBorders>
            <w:shd w:val="clear" w:color="auto" w:fill="auto"/>
            <w:vAlign w:val="center"/>
          </w:tcPr>
          <w:p>
            <w:pPr>
              <w:widowControl/>
              <w:jc w:val="center"/>
              <w:rPr>
                <w:rFonts w:ascii="Times New Roman" w:hAnsi="Times New Roman" w:eastAsia="华文中宋" w:cs="Times New Roman"/>
                <w:b w:val="0"/>
                <w:bCs/>
                <w:kern w:val="0"/>
                <w:sz w:val="22"/>
              </w:rPr>
            </w:pPr>
          </w:p>
        </w:tc>
        <w:tc>
          <w:tcPr>
            <w:tcW w:w="4567" w:type="dxa"/>
            <w:gridSpan w:val="2"/>
            <w:tcBorders>
              <w:tl2br w:val="nil"/>
              <w:tr2bl w:val="nil"/>
            </w:tcBorders>
            <w:shd w:val="clear" w:color="auto" w:fill="auto"/>
            <w:vAlign w:val="center"/>
          </w:tcPr>
          <w:p>
            <w:pPr>
              <w:widowControl/>
              <w:jc w:val="center"/>
              <w:rPr>
                <w:rFonts w:ascii="Times New Roman" w:hAnsi="Times New Roman" w:eastAsia="华文中宋" w:cs="Times New Roman"/>
                <w:b w:val="0"/>
                <w:bCs/>
                <w:kern w:val="0"/>
                <w:sz w:val="28"/>
                <w:szCs w:val="28"/>
              </w:rPr>
            </w:pPr>
            <w:r>
              <w:rPr>
                <w:rFonts w:ascii="Times New Roman" w:hAnsi="Times New Roman" w:eastAsia="华文中宋" w:cs="Times New Roman"/>
                <w:b w:val="0"/>
                <w:bCs/>
                <w:kern w:val="0"/>
                <w:sz w:val="28"/>
                <w:szCs w:val="28"/>
              </w:rPr>
              <w:t>设计建筑</w:t>
            </w:r>
          </w:p>
        </w:tc>
        <w:tc>
          <w:tcPr>
            <w:tcW w:w="4612" w:type="dxa"/>
            <w:gridSpan w:val="2"/>
            <w:tcBorders>
              <w:tl2br w:val="nil"/>
              <w:tr2bl w:val="nil"/>
            </w:tcBorders>
            <w:shd w:val="clear" w:color="auto" w:fill="auto"/>
            <w:vAlign w:val="center"/>
          </w:tcPr>
          <w:p>
            <w:pPr>
              <w:widowControl/>
              <w:jc w:val="center"/>
              <w:rPr>
                <w:rFonts w:ascii="Times New Roman" w:hAnsi="Times New Roman" w:eastAsia="华文中宋" w:cs="Times New Roman"/>
                <w:b w:val="0"/>
                <w:bCs/>
                <w:kern w:val="0"/>
                <w:sz w:val="28"/>
                <w:szCs w:val="28"/>
              </w:rPr>
            </w:pPr>
            <w:r>
              <w:rPr>
                <w:rFonts w:ascii="Times New Roman" w:hAnsi="Times New Roman" w:eastAsia="华文中宋" w:cs="Times New Roman"/>
                <w:b w:val="0"/>
                <w:bCs/>
                <w:kern w:val="0"/>
                <w:sz w:val="28"/>
                <w:szCs w:val="28"/>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01" w:type="dxa"/>
            <w:vMerge w:val="continue"/>
            <w:tcBorders>
              <w:tl2br w:val="nil"/>
              <w:tr2bl w:val="nil"/>
            </w:tcBorders>
            <w:shd w:val="clear" w:color="auto" w:fill="auto"/>
            <w:vAlign w:val="center"/>
          </w:tcPr>
          <w:p>
            <w:pPr>
              <w:widowControl/>
              <w:jc w:val="center"/>
              <w:rPr>
                <w:rFonts w:ascii="Times New Roman" w:hAnsi="Times New Roman" w:eastAsia="华文中宋" w:cs="Times New Roman"/>
                <w:b w:val="0"/>
                <w:bCs/>
                <w:kern w:val="0"/>
                <w:sz w:val="22"/>
              </w:rPr>
            </w:pPr>
          </w:p>
        </w:tc>
        <w:tc>
          <w:tcPr>
            <w:tcW w:w="229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单位建筑面积热负荷(kWh/m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226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单位建筑面积冷负荷(kWh/m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229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单位建筑面积热负荷(kWh/m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2313"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单位建筑面积冷负荷(kWh/m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1月</w:t>
            </w:r>
          </w:p>
        </w:tc>
        <w:tc>
          <w:tcPr>
            <w:tcW w:w="2298" w:type="dxa"/>
            <w:tcBorders>
              <w:tl2br w:val="nil"/>
              <w:tr2bl w:val="nil"/>
            </w:tcBorders>
            <w:shd w:val="clear" w:color="auto" w:fill="auto"/>
            <w:vAlign w:val="center"/>
          </w:tcPr>
          <w:p>
            <w:pPr>
              <w:widowControl/>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widowControl/>
              <w:jc w:val="center"/>
              <w:rPr>
                <w:rFonts w:ascii="Times New Roman" w:hAnsi="Times New Roman" w:eastAsia="华文中宋" w:cs="Times New Roman"/>
                <w:b w:val="0"/>
                <w:bCs/>
                <w:szCs w:val="21"/>
              </w:rPr>
            </w:pPr>
          </w:p>
        </w:tc>
        <w:tc>
          <w:tcPr>
            <w:tcW w:w="2299" w:type="dxa"/>
            <w:tcBorders>
              <w:tl2br w:val="nil"/>
              <w:tr2bl w:val="nil"/>
            </w:tcBorders>
            <w:shd w:val="clear" w:color="auto" w:fill="auto"/>
            <w:vAlign w:val="center"/>
          </w:tcPr>
          <w:p>
            <w:pPr>
              <w:widowControl/>
              <w:jc w:val="center"/>
              <w:rPr>
                <w:rFonts w:ascii="Times New Roman" w:hAnsi="Times New Roman" w:eastAsia="华文中宋" w:cs="Times New Roman"/>
                <w:b w:val="0"/>
                <w:bCs/>
                <w:szCs w:val="21"/>
              </w:rPr>
            </w:pPr>
          </w:p>
        </w:tc>
        <w:tc>
          <w:tcPr>
            <w:tcW w:w="2313" w:type="dxa"/>
            <w:tcBorders>
              <w:tl2br w:val="nil"/>
              <w:tr2bl w:val="nil"/>
            </w:tcBorders>
            <w:shd w:val="clear" w:color="auto" w:fill="auto"/>
            <w:vAlign w:val="center"/>
          </w:tcPr>
          <w:p>
            <w:pPr>
              <w:widowControl/>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2月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3月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4月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5月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6月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7月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8月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9月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10月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11月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12月</w:t>
            </w:r>
          </w:p>
        </w:tc>
        <w:tc>
          <w:tcPr>
            <w:tcW w:w="2298"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全年</w:t>
            </w:r>
          </w:p>
        </w:tc>
        <w:tc>
          <w:tcPr>
            <w:tcW w:w="2298" w:type="dxa"/>
            <w:tcBorders>
              <w:tl2br w:val="nil"/>
              <w:tr2bl w:val="nil"/>
            </w:tcBorders>
            <w:shd w:val="clear" w:color="auto" w:fill="auto"/>
            <w:vAlign w:val="center"/>
          </w:tcPr>
          <w:p>
            <w:pPr>
              <w:widowControl/>
              <w:jc w:val="center"/>
              <w:rPr>
                <w:rFonts w:ascii="Times New Roman" w:hAnsi="Times New Roman" w:eastAsia="华文中宋" w:cs="Times New Roman"/>
                <w:b w:val="0"/>
                <w:bCs/>
                <w:szCs w:val="21"/>
              </w:rPr>
            </w:pPr>
          </w:p>
        </w:tc>
        <w:tc>
          <w:tcPr>
            <w:tcW w:w="226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299"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c>
          <w:tcPr>
            <w:tcW w:w="2313" w:type="dxa"/>
            <w:tcBorders>
              <w:tl2br w:val="nil"/>
              <w:tr2bl w:val="nil"/>
            </w:tcBorders>
            <w:shd w:val="clear" w:color="auto" w:fill="auto"/>
            <w:vAlign w:val="center"/>
          </w:tcPr>
          <w:p>
            <w:pPr>
              <w:jc w:val="center"/>
              <w:rPr>
                <w:rFonts w:ascii="Times New Roman" w:hAnsi="Times New Roman" w:eastAsia="华文中宋" w:cs="Times New Roman"/>
                <w:b w:val="0"/>
                <w:bCs/>
                <w:sz w:val="20"/>
                <w:szCs w:val="20"/>
              </w:rPr>
            </w:pPr>
          </w:p>
        </w:tc>
      </w:tr>
    </w:tbl>
    <w:p>
      <w:pPr>
        <w:rPr>
          <w:rFonts w:ascii="Times New Roman" w:hAnsi="Times New Roman" w:cs="Times New Roman"/>
          <w:b w:val="0"/>
          <w:bCs/>
          <w:sz w:val="28"/>
          <w:szCs w:val="32"/>
        </w:rPr>
      </w:pPr>
      <w:r>
        <w:rPr>
          <w:rFonts w:ascii="Times New Roman" w:hAnsi="Times New Roman" w:cs="Times New Roman"/>
          <w:b w:val="0"/>
          <w:bCs/>
          <w:sz w:val="18"/>
          <w:szCs w:val="18"/>
        </w:rPr>
        <w:t>注：以上计算结果均基于建筑面积</w:t>
      </w:r>
    </w:p>
    <w:p>
      <w:pPr>
        <w:jc w:val="center"/>
        <w:rPr>
          <w:rFonts w:ascii="Times New Roman" w:hAnsi="Times New Roman" w:cs="Times New Roman"/>
          <w:b w:val="0"/>
          <w:bCs/>
        </w:rPr>
      </w:pPr>
    </w:p>
    <w:p>
      <w:pPr>
        <w:jc w:val="center"/>
        <w:rPr>
          <w:rFonts w:ascii="Times New Roman" w:hAnsi="Times New Roman" w:cs="Times New Roman"/>
          <w:b w:val="0"/>
          <w:bCs/>
        </w:rPr>
      </w:pPr>
    </w:p>
    <w:p>
      <w:pPr>
        <w:rPr>
          <w:rFonts w:ascii="Times New Roman" w:hAnsi="Times New Roman" w:cs="Times New Roman"/>
          <w:b w:val="0"/>
          <w:bCs/>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4 建筑能耗计算结果</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4.1分项能耗（不含可再生能源部分）</w:t>
      </w:r>
    </w:p>
    <w:p>
      <w:pPr>
        <w:rPr>
          <w:rFonts w:ascii="Times New Roman" w:hAnsi="Times New Roman" w:eastAsia="华文楷体" w:cs="Times New Roman"/>
          <w:b w:val="0"/>
          <w:bCs/>
        </w:rPr>
      </w:pPr>
      <w:r>
        <w:rPr>
          <w:rFonts w:ascii="Times New Roman" w:hAnsi="Times New Roman" w:eastAsia="华文楷体" w:cs="Times New Roman"/>
          <w:b w:val="0"/>
          <w:bCs/>
          <w:sz w:val="28"/>
          <w:szCs w:val="32"/>
        </w:rPr>
        <w:t xml:space="preserve">设计建筑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50"/>
        <w:gridCol w:w="1228"/>
        <w:gridCol w:w="1261"/>
        <w:gridCol w:w="1621"/>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供暖能耗(kWh/m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空调能耗(kWh/m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输配能耗(kWh/m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生活热水能耗(kWh/m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照明能耗(kWh/m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总能耗(kWh/m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2月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3月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4月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5月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6月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7月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8月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9月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10月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11月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12月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全年</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bl>
    <w:p>
      <w:pPr>
        <w:rPr>
          <w:rFonts w:ascii="Times New Roman" w:hAnsi="Times New Roman" w:cs="Times New Roman"/>
          <w:b w:val="0"/>
          <w:bCs/>
          <w:sz w:val="28"/>
          <w:szCs w:val="32"/>
        </w:rPr>
      </w:pPr>
      <w:r>
        <w:rPr>
          <w:rFonts w:ascii="Times New Roman" w:hAnsi="Times New Roman" w:cs="Times New Roman"/>
          <w:b w:val="0"/>
          <w:bCs/>
          <w:sz w:val="18"/>
          <w:szCs w:val="18"/>
        </w:rPr>
        <w:t>注：以上计算结果均基于建筑面积。</w:t>
      </w:r>
    </w:p>
    <w:p>
      <w:pPr>
        <w:rPr>
          <w:rFonts w:ascii="Times New Roman" w:hAnsi="Times New Roman" w:eastAsia="华文楷体" w:cs="Times New Roman"/>
          <w:b w:val="0"/>
          <w:bCs/>
          <w:sz w:val="28"/>
          <w:szCs w:val="32"/>
        </w:rPr>
      </w:pPr>
      <w:r>
        <w:rPr>
          <w:rFonts w:ascii="Times New Roman" w:hAnsi="Times New Roman" w:eastAsia="华文楷体" w:cs="Times New Roman"/>
          <w:b w:val="0"/>
          <w:bCs/>
          <w:sz w:val="28"/>
          <w:szCs w:val="32"/>
        </w:rPr>
        <w:t>基准建筑</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50"/>
        <w:gridCol w:w="1228"/>
        <w:gridCol w:w="1261"/>
        <w:gridCol w:w="1621"/>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供暖能耗(kWh/m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空调能耗(kWh/m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输配能耗(kWh/m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生活热水能耗(kWh/m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照明能耗(kWh/m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总能耗(kWh/m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2月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3月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4月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5月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6月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7月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8月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9月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10月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11月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12月</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9"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全年</w:t>
            </w:r>
          </w:p>
        </w:tc>
        <w:tc>
          <w:tcPr>
            <w:tcW w:w="115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28"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62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0"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261"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bl>
    <w:p>
      <w:pPr>
        <w:rPr>
          <w:rFonts w:ascii="Times New Roman" w:hAnsi="Times New Roman" w:cs="Times New Roman"/>
          <w:b w:val="0"/>
          <w:bCs/>
          <w:sz w:val="18"/>
          <w:szCs w:val="18"/>
        </w:rPr>
      </w:pPr>
      <w:r>
        <w:rPr>
          <w:rFonts w:ascii="Times New Roman" w:hAnsi="Times New Roman" w:cs="Times New Roman"/>
          <w:b w:val="0"/>
          <w:bCs/>
          <w:sz w:val="18"/>
          <w:szCs w:val="18"/>
        </w:rPr>
        <w:t>注：以上计算结果均基于建筑面积。</w:t>
      </w:r>
    </w:p>
    <w:p>
      <w:pPr>
        <w:rPr>
          <w:rFonts w:ascii="Times New Roman" w:hAnsi="Times New Roman" w:cs="Times New Roman"/>
          <w:b w:val="0"/>
          <w:bCs/>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4.2可再生能源产能量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tcPr>
          <w:p>
            <w:pP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光伏发电</w:t>
            </w:r>
          </w:p>
          <w:p>
            <w:pPr>
              <w:jc w:val="center"/>
              <w:rPr>
                <w:rFonts w:ascii="Times New Roman" w:hAnsi="Times New Roman" w:cs="Times New Roman"/>
                <w:b w:val="0"/>
                <w:bCs/>
                <w:sz w:val="18"/>
                <w:szCs w:val="18"/>
              </w:rPr>
            </w:pPr>
            <w:r>
              <w:rPr>
                <w:rFonts w:ascii="Times New Roman" w:hAnsi="Times New Roman" w:eastAsia="华文中宋" w:cs="Times New Roman"/>
                <w:b w:val="0"/>
                <w:bCs/>
                <w:kern w:val="0"/>
                <w:szCs w:val="21"/>
              </w:rPr>
              <w:t>(kWh/m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704" w:type="dxa"/>
            <w:shd w:val="clear" w:color="auto" w:fill="auto"/>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太阳能生活热水</w:t>
            </w:r>
          </w:p>
          <w:p>
            <w:pPr>
              <w:jc w:val="center"/>
              <w:rPr>
                <w:rFonts w:ascii="Times New Roman" w:hAnsi="Times New Roman" w:cs="Times New Roman"/>
                <w:b w:val="0"/>
                <w:bCs/>
                <w:sz w:val="18"/>
                <w:szCs w:val="18"/>
              </w:rPr>
            </w:pPr>
            <w:r>
              <w:rPr>
                <w:rFonts w:ascii="Times New Roman" w:hAnsi="Times New Roman" w:eastAsia="华文中宋" w:cs="Times New Roman"/>
                <w:b w:val="0"/>
                <w:bCs/>
                <w:kern w:val="0"/>
                <w:szCs w:val="21"/>
              </w:rPr>
              <w:t>(kWh/m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705" w:type="dxa"/>
            <w:shd w:val="clear" w:color="auto" w:fill="auto"/>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太阳能供暖</w:t>
            </w:r>
          </w:p>
          <w:p>
            <w:pPr>
              <w:jc w:val="center"/>
              <w:rPr>
                <w:rFonts w:ascii="Times New Roman" w:hAnsi="Times New Roman" w:cs="Times New Roman"/>
                <w:b w:val="0"/>
                <w:bCs/>
                <w:sz w:val="18"/>
                <w:szCs w:val="18"/>
              </w:rPr>
            </w:pPr>
            <w:r>
              <w:rPr>
                <w:rFonts w:ascii="Times New Roman" w:hAnsi="Times New Roman" w:eastAsia="华文中宋" w:cs="Times New Roman"/>
                <w:b w:val="0"/>
                <w:bCs/>
                <w:kern w:val="0"/>
                <w:szCs w:val="21"/>
              </w:rPr>
              <w:t>(kWh/m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c>
          <w:tcPr>
            <w:tcW w:w="1705" w:type="dxa"/>
            <w:shd w:val="clear" w:color="auto" w:fill="auto"/>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太阳能空调</w:t>
            </w:r>
          </w:p>
          <w:p>
            <w:pPr>
              <w:jc w:val="center"/>
              <w:rPr>
                <w:rFonts w:ascii="Times New Roman" w:hAnsi="Times New Roman" w:cs="Times New Roman"/>
                <w:b w:val="0"/>
                <w:bCs/>
                <w:sz w:val="18"/>
                <w:szCs w:val="18"/>
              </w:rPr>
            </w:pPr>
            <w:r>
              <w:rPr>
                <w:rFonts w:ascii="Times New Roman" w:hAnsi="Times New Roman" w:eastAsia="华文中宋" w:cs="Times New Roman"/>
                <w:b w:val="0"/>
                <w:bCs/>
                <w:kern w:val="0"/>
                <w:szCs w:val="21"/>
              </w:rPr>
              <w:t>(kWh/m</w:t>
            </w:r>
            <w:r>
              <w:rPr>
                <w:rFonts w:ascii="Times New Roman" w:hAnsi="Times New Roman" w:eastAsia="华文中宋" w:cs="Times New Roman"/>
                <w:b w:val="0"/>
                <w:bCs/>
                <w:kern w:val="0"/>
                <w:szCs w:val="21"/>
                <w:vertAlign w:val="superscript"/>
              </w:rPr>
              <w:t>2</w:t>
            </w:r>
            <w:r>
              <w:rPr>
                <w:rFonts w:ascii="Times New Roman" w:hAnsi="Times New Roman" w:eastAsia="华文中宋" w:cs="Times New Roman"/>
                <w:b w:val="0"/>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2月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3月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4月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5月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6月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7月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8月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9月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10月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11月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12月</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全年</w:t>
            </w:r>
          </w:p>
        </w:tc>
        <w:tc>
          <w:tcPr>
            <w:tcW w:w="1704" w:type="dxa"/>
            <w:shd w:val="clear" w:color="auto" w:fill="auto"/>
          </w:tcPr>
          <w:p>
            <w:pPr>
              <w:jc w:val="center"/>
              <w:rPr>
                <w:rFonts w:ascii="Times New Roman" w:hAnsi="Times New Roman" w:cs="Times New Roman"/>
                <w:b w:val="0"/>
                <w:bCs/>
                <w:sz w:val="18"/>
                <w:szCs w:val="18"/>
              </w:rPr>
            </w:pPr>
          </w:p>
        </w:tc>
        <w:tc>
          <w:tcPr>
            <w:tcW w:w="1704"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c>
          <w:tcPr>
            <w:tcW w:w="1705" w:type="dxa"/>
            <w:shd w:val="clear" w:color="auto" w:fill="auto"/>
          </w:tcPr>
          <w:p>
            <w:pPr>
              <w:jc w:val="center"/>
              <w:rPr>
                <w:rFonts w:ascii="Times New Roman" w:hAnsi="Times New Roman" w:cs="Times New Roman"/>
                <w:b w:val="0"/>
                <w:bCs/>
                <w:sz w:val="18"/>
                <w:szCs w:val="18"/>
              </w:rPr>
            </w:pPr>
          </w:p>
        </w:tc>
      </w:tr>
    </w:tbl>
    <w:p>
      <w:pPr>
        <w:rPr>
          <w:rFonts w:ascii="Times New Roman" w:hAnsi="Times New Roman" w:cs="Times New Roman"/>
          <w:b w:val="0"/>
          <w:bCs/>
          <w:sz w:val="18"/>
          <w:szCs w:val="18"/>
        </w:rPr>
      </w:pPr>
      <w:r>
        <w:rPr>
          <w:rFonts w:ascii="Times New Roman" w:hAnsi="Times New Roman" w:cs="Times New Roman"/>
          <w:b w:val="0"/>
          <w:bCs/>
          <w:sz w:val="18"/>
          <w:szCs w:val="18"/>
        </w:rPr>
        <w:t>注：以上计算结果均基于建筑面积</w:t>
      </w:r>
    </w:p>
    <w:p>
      <w:pPr>
        <w:rPr>
          <w:rFonts w:ascii="Times New Roman" w:hAnsi="Times New Roman" w:cs="Times New Roman"/>
          <w:b w:val="0"/>
          <w:bCs/>
          <w:sz w:val="24"/>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4.3能耗计算结果</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2264"/>
        <w:gridCol w:w="1509"/>
        <w:gridCol w:w="1509"/>
        <w:gridCol w:w="1508"/>
        <w:gridCol w:w="151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73" w:hRule="atLeast"/>
          <w:jc w:val="center"/>
        </w:trPr>
        <w:tc>
          <w:tcPr>
            <w:tcW w:w="2264" w:type="dxa"/>
            <w:vMerge w:val="restart"/>
            <w:tcBorders>
              <w:right w:val="single" w:color="auto" w:sz="4" w:space="0"/>
            </w:tcBorders>
            <w:shd w:val="clear" w:color="auto" w:fill="auto"/>
            <w:vAlign w:val="center"/>
          </w:tcPr>
          <w:p>
            <w:pPr>
              <w:jc w:val="center"/>
              <w:rPr>
                <w:rFonts w:ascii="Times New Roman" w:hAnsi="Times New Roman" w:eastAsia="华文中宋" w:cs="Times New Roman"/>
                <w:b w:val="0"/>
                <w:bCs/>
                <w:sz w:val="22"/>
              </w:rPr>
            </w:pPr>
            <w:r>
              <w:rPr>
                <w:rFonts w:ascii="Times New Roman" w:hAnsi="Times New Roman" w:eastAsia="华文中宋" w:cs="Times New Roman"/>
                <w:b w:val="0"/>
                <w:bCs/>
                <w:sz w:val="22"/>
              </w:rPr>
              <w:t>项目</w:t>
            </w:r>
          </w:p>
        </w:tc>
        <w:tc>
          <w:tcPr>
            <w:tcW w:w="3018" w:type="dxa"/>
            <w:gridSpan w:val="2"/>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 w:val="22"/>
              </w:rPr>
            </w:pPr>
            <w:r>
              <w:rPr>
                <w:rFonts w:ascii="Times New Roman" w:hAnsi="Times New Roman" w:eastAsia="华文中宋" w:cs="Times New Roman"/>
                <w:b w:val="0"/>
                <w:bCs/>
                <w:sz w:val="22"/>
              </w:rPr>
              <w:t>设计建筑</w:t>
            </w:r>
          </w:p>
        </w:tc>
        <w:tc>
          <w:tcPr>
            <w:tcW w:w="3018" w:type="dxa"/>
            <w:gridSpan w:val="2"/>
            <w:tcBorders>
              <w:left w:val="single" w:color="auto" w:sz="4" w:space="0"/>
            </w:tcBorders>
            <w:shd w:val="clear" w:color="auto" w:fill="auto"/>
            <w:vAlign w:val="center"/>
          </w:tcPr>
          <w:p>
            <w:pPr>
              <w:jc w:val="center"/>
              <w:rPr>
                <w:rFonts w:ascii="Times New Roman" w:hAnsi="Times New Roman" w:eastAsia="华文中宋" w:cs="Times New Roman"/>
                <w:b w:val="0"/>
                <w:bCs/>
                <w:sz w:val="22"/>
              </w:rPr>
            </w:pPr>
            <w:r>
              <w:rPr>
                <w:rFonts w:ascii="Times New Roman" w:hAnsi="Times New Roman" w:eastAsia="华文中宋" w:cs="Times New Roman"/>
                <w:b w:val="0"/>
                <w:bCs/>
                <w:sz w:val="22"/>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73" w:hRule="atLeast"/>
          <w:jc w:val="center"/>
        </w:trPr>
        <w:tc>
          <w:tcPr>
            <w:tcW w:w="2264" w:type="dxa"/>
            <w:vMerge w:val="continue"/>
            <w:tcBorders>
              <w:right w:val="single" w:color="auto" w:sz="4" w:space="0"/>
            </w:tcBorders>
            <w:shd w:val="clear" w:color="auto" w:fill="auto"/>
            <w:vAlign w:val="center"/>
          </w:tcPr>
          <w:p>
            <w:pPr>
              <w:jc w:val="center"/>
              <w:rPr>
                <w:rFonts w:ascii="Times New Roman" w:hAnsi="Times New Roman" w:eastAsia="华文中宋" w:cs="Times New Roman"/>
                <w:b w:val="0"/>
                <w:bCs/>
                <w:sz w:val="20"/>
                <w:szCs w:val="20"/>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总碳排放</w:t>
            </w:r>
          </w:p>
          <w:p>
            <w:pPr>
              <w:jc w:val="center"/>
              <w:rPr>
                <w:rFonts w:ascii="Times New Roman" w:hAnsi="Times New Roman" w:eastAsia="华文中宋" w:cs="Times New Roman"/>
                <w:b w:val="0"/>
                <w:bCs/>
                <w:sz w:val="18"/>
                <w:szCs w:val="18"/>
              </w:rPr>
            </w:pPr>
            <w:r>
              <w:rPr>
                <w:rFonts w:ascii="Times New Roman" w:hAnsi="Times New Roman" w:eastAsia="华文中宋" w:cs="Times New Roman"/>
                <w:b w:val="0"/>
                <w:bCs/>
                <w:szCs w:val="21"/>
              </w:rPr>
              <w:t>（kgCO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 w:val="18"/>
                <w:szCs w:val="18"/>
              </w:rPr>
            </w:pPr>
            <w:r>
              <w:rPr>
                <w:rFonts w:ascii="Times New Roman" w:hAnsi="Times New Roman" w:eastAsia="华文中宋" w:cs="Times New Roman"/>
                <w:b w:val="0"/>
                <w:bCs/>
                <w:szCs w:val="21"/>
              </w:rPr>
              <w:t>单位面积碳排放（kgCO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/m</w:t>
            </w:r>
            <w:r>
              <w:rPr>
                <w:rFonts w:ascii="Times New Roman" w:hAnsi="Times New Roman" w:eastAsia="华文中宋" w:cs="Times New Roman"/>
                <w:b w:val="0"/>
                <w:bCs/>
                <w:szCs w:val="21"/>
                <w:vertAlign w:val="superscript"/>
              </w:rPr>
              <w:t>2</w:t>
            </w:r>
            <w:r>
              <w:rPr>
                <w:rFonts w:ascii="Times New Roman" w:hAnsi="Times New Roman" w:eastAsia="华文中宋" w:cs="Times New Roman"/>
                <w:b w:val="0"/>
                <w:bCs/>
                <w:szCs w:val="21"/>
              </w:rPr>
              <w:t xml:space="preserve"> a）</w:t>
            </w: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总碳排放</w:t>
            </w:r>
          </w:p>
          <w:p>
            <w:pPr>
              <w:jc w:val="center"/>
              <w:rPr>
                <w:rFonts w:ascii="Times New Roman" w:hAnsi="Times New Roman" w:eastAsia="华文中宋" w:cs="Times New Roman"/>
                <w:b w:val="0"/>
                <w:bCs/>
                <w:sz w:val="18"/>
                <w:szCs w:val="18"/>
              </w:rPr>
            </w:pPr>
            <w:r>
              <w:rPr>
                <w:rFonts w:ascii="Times New Roman" w:hAnsi="Times New Roman" w:eastAsia="华文中宋" w:cs="Times New Roman"/>
                <w:b w:val="0"/>
                <w:bCs/>
                <w:szCs w:val="21"/>
              </w:rPr>
              <w:t>（kgCO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w:t>
            </w: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 w:val="18"/>
                <w:szCs w:val="18"/>
              </w:rPr>
            </w:pPr>
            <w:r>
              <w:rPr>
                <w:rFonts w:ascii="Times New Roman" w:hAnsi="Times New Roman" w:eastAsia="华文中宋" w:cs="Times New Roman"/>
                <w:b w:val="0"/>
                <w:bCs/>
                <w:szCs w:val="21"/>
              </w:rPr>
              <w:t>单位面积碳排放(kgCO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/m</w:t>
            </w:r>
            <w:r>
              <w:rPr>
                <w:rFonts w:ascii="Times New Roman" w:hAnsi="Times New Roman" w:eastAsia="华文中宋" w:cs="Times New Roman"/>
                <w:b w:val="0"/>
                <w:bCs/>
                <w:szCs w:val="21"/>
                <w:vertAlign w:val="superscript"/>
              </w:rPr>
              <w:t>2</w:t>
            </w:r>
            <w:r>
              <w:rPr>
                <w:rFonts w:ascii="Times New Roman" w:hAnsi="Times New Roman" w:eastAsia="华文中宋" w:cs="Times New Roman"/>
                <w:b w:val="0"/>
                <w:bCs/>
                <w:szCs w:val="21"/>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供暖系统</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kern w:val="0"/>
                <w:szCs w:val="21"/>
              </w:rPr>
              <w:t>供冷系统</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kern w:val="0"/>
                <w:szCs w:val="21"/>
              </w:rPr>
              <w:t>输配系统</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kern w:val="0"/>
                <w:szCs w:val="21"/>
              </w:rPr>
              <w:t>生活热水</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照明系统能耗</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可再生能源系统</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插座</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炊事</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20" w:hRule="atLeast"/>
          <w:jc w:val="center"/>
        </w:trPr>
        <w:tc>
          <w:tcPr>
            <w:tcW w:w="2264" w:type="dxa"/>
            <w:tcBorders>
              <w:right w:val="single" w:color="auto" w:sz="4" w:space="0"/>
            </w:tcBorders>
            <w:shd w:val="clear" w:color="auto" w:fill="auto"/>
            <w:vAlign w:val="center"/>
          </w:tcPr>
          <w:p>
            <w:pPr>
              <w:jc w:val="center"/>
              <w:rPr>
                <w:rFonts w:ascii="Times New Roman" w:hAnsi="Times New Roman" w:eastAsia="华文中宋" w:cs="Times New Roman"/>
                <w:b w:val="0"/>
                <w:bCs/>
                <w:kern w:val="0"/>
                <w:szCs w:val="21"/>
              </w:rPr>
            </w:pPr>
            <w:r>
              <w:rPr>
                <w:rFonts w:ascii="Times New Roman" w:hAnsi="Times New Roman" w:eastAsia="华文中宋" w:cs="Times New Roman"/>
                <w:b w:val="0"/>
                <w:bCs/>
                <w:kern w:val="0"/>
                <w:szCs w:val="21"/>
              </w:rPr>
              <w:t>建筑碳排放</w:t>
            </w: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9"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08" w:type="dxa"/>
            <w:tcBorders>
              <w:left w:val="single" w:color="auto" w:sz="4" w:space="0"/>
              <w:right w:val="single" w:color="auto" w:sz="4" w:space="0"/>
            </w:tcBorders>
            <w:shd w:val="clear" w:color="auto" w:fill="auto"/>
            <w:vAlign w:val="center"/>
          </w:tcPr>
          <w:p>
            <w:pPr>
              <w:jc w:val="center"/>
              <w:rPr>
                <w:rFonts w:ascii="Times New Roman" w:hAnsi="Times New Roman" w:eastAsia="华文中宋" w:cs="Times New Roman"/>
                <w:b w:val="0"/>
                <w:bCs/>
                <w:szCs w:val="21"/>
              </w:rPr>
            </w:pPr>
          </w:p>
        </w:tc>
        <w:tc>
          <w:tcPr>
            <w:tcW w:w="1510" w:type="dxa"/>
            <w:tcBorders>
              <w:left w:val="single" w:color="auto" w:sz="4" w:space="0"/>
            </w:tcBorders>
            <w:shd w:val="clear" w:color="auto" w:fill="auto"/>
            <w:vAlign w:val="center"/>
          </w:tcPr>
          <w:p>
            <w:pPr>
              <w:jc w:val="center"/>
              <w:rPr>
                <w:rFonts w:ascii="Times New Roman" w:hAnsi="Times New Roman" w:eastAsia="华文中宋" w:cs="Times New Roman"/>
                <w:b w:val="0"/>
                <w:bCs/>
                <w:szCs w:val="21"/>
              </w:rPr>
            </w:pPr>
          </w:p>
        </w:tc>
      </w:tr>
    </w:tbl>
    <w:p>
      <w:pPr>
        <w:rPr>
          <w:rFonts w:ascii="Times New Roman" w:hAnsi="Times New Roman" w:cs="Times New Roman"/>
          <w:b w:val="0"/>
          <w:bCs/>
          <w:sz w:val="28"/>
          <w:szCs w:val="32"/>
        </w:rPr>
      </w:pPr>
      <w:r>
        <w:rPr>
          <w:rFonts w:ascii="Times New Roman" w:hAnsi="Times New Roman" w:cs="Times New Roman"/>
          <w:b w:val="0"/>
          <w:bCs/>
          <w:sz w:val="18"/>
          <w:szCs w:val="18"/>
        </w:rPr>
        <w:t>注：以上计算结果均基于建筑面积</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5、建筑碳排放量计算结果</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2309"/>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912" w:type="dxa"/>
            <w:tcBorders>
              <w:tl2br w:val="nil"/>
              <w:tr2bl w:val="nil"/>
            </w:tcBorders>
            <w:shd w:val="clear" w:color="auto" w:fill="auto"/>
            <w:vAlign w:val="center"/>
          </w:tcPr>
          <w:p>
            <w:pPr>
              <w:jc w:val="center"/>
              <w:rPr>
                <w:rFonts w:ascii="Times New Roman" w:hAnsi="Times New Roman" w:eastAsia="华文中宋" w:cs="Times New Roman"/>
                <w:b w:val="0"/>
                <w:bCs/>
                <w:sz w:val="24"/>
                <w:szCs w:val="24"/>
              </w:rPr>
            </w:pPr>
            <w:r>
              <w:rPr>
                <w:rFonts w:ascii="Times New Roman" w:hAnsi="Times New Roman" w:eastAsia="华文中宋" w:cs="Times New Roman"/>
                <w:b w:val="0"/>
                <w:bCs/>
                <w:sz w:val="24"/>
                <w:szCs w:val="24"/>
              </w:rPr>
              <w:t>项目</w:t>
            </w:r>
          </w:p>
        </w:tc>
        <w:tc>
          <w:tcPr>
            <w:tcW w:w="2309" w:type="dxa"/>
            <w:tcBorders>
              <w:tl2br w:val="nil"/>
              <w:tr2bl w:val="nil"/>
            </w:tcBorders>
            <w:shd w:val="clear" w:color="auto" w:fill="auto"/>
            <w:vAlign w:val="center"/>
          </w:tcPr>
          <w:p>
            <w:pPr>
              <w:jc w:val="center"/>
              <w:rPr>
                <w:rFonts w:ascii="Times New Roman" w:hAnsi="Times New Roman" w:eastAsia="华文中宋" w:cs="Times New Roman"/>
                <w:b w:val="0"/>
                <w:bCs/>
                <w:sz w:val="24"/>
                <w:szCs w:val="24"/>
              </w:rPr>
            </w:pPr>
            <w:r>
              <w:rPr>
                <w:rFonts w:ascii="Times New Roman" w:hAnsi="Times New Roman" w:eastAsia="华文中宋" w:cs="Times New Roman"/>
                <w:b w:val="0"/>
                <w:bCs/>
                <w:sz w:val="24"/>
                <w:szCs w:val="24"/>
              </w:rPr>
              <w:t>设计建筑</w:t>
            </w:r>
          </w:p>
        </w:tc>
        <w:tc>
          <w:tcPr>
            <w:tcW w:w="2179" w:type="dxa"/>
            <w:tcBorders>
              <w:tl2br w:val="nil"/>
              <w:tr2bl w:val="nil"/>
            </w:tcBorders>
            <w:shd w:val="clear" w:color="auto" w:fill="auto"/>
            <w:vAlign w:val="center"/>
          </w:tcPr>
          <w:p>
            <w:pPr>
              <w:jc w:val="center"/>
              <w:rPr>
                <w:rFonts w:ascii="Times New Roman" w:hAnsi="Times New Roman" w:eastAsia="华文中宋" w:cs="Times New Roman"/>
                <w:b w:val="0"/>
                <w:bCs/>
                <w:sz w:val="24"/>
                <w:szCs w:val="24"/>
              </w:rPr>
            </w:pPr>
            <w:r>
              <w:rPr>
                <w:rFonts w:ascii="Times New Roman" w:hAnsi="Times New Roman" w:eastAsia="华文中宋" w:cs="Times New Roman"/>
                <w:b w:val="0"/>
                <w:bCs/>
                <w:sz w:val="24"/>
                <w:szCs w:val="24"/>
              </w:rPr>
              <w:t>基准建筑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912"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一次能源消耗量(tce)</w:t>
            </w:r>
          </w:p>
        </w:tc>
        <w:tc>
          <w:tcPr>
            <w:tcW w:w="230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17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912"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建筑碳排放量（tCO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w:t>
            </w:r>
          </w:p>
        </w:tc>
        <w:tc>
          <w:tcPr>
            <w:tcW w:w="230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17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912"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单位建筑面积碳排放量kgCO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/m</w:t>
            </w:r>
            <w:r>
              <w:rPr>
                <w:rFonts w:ascii="Times New Roman" w:hAnsi="Times New Roman" w:eastAsia="华文中宋" w:cs="Times New Roman"/>
                <w:b w:val="0"/>
                <w:bCs/>
                <w:szCs w:val="21"/>
                <w:vertAlign w:val="superscript"/>
              </w:rPr>
              <w:t>2</w:t>
            </w:r>
          </w:p>
        </w:tc>
        <w:tc>
          <w:tcPr>
            <w:tcW w:w="230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17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12"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r>
              <w:rPr>
                <w:rFonts w:ascii="Times New Roman" w:hAnsi="Times New Roman" w:eastAsia="华文中宋" w:cs="Times New Roman"/>
                <w:b w:val="0"/>
                <w:bCs/>
                <w:szCs w:val="21"/>
              </w:rPr>
              <w:t>可再生能源系统降碳量（kgCO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/m</w:t>
            </w:r>
            <w:r>
              <w:rPr>
                <w:rFonts w:ascii="Times New Roman" w:hAnsi="Times New Roman" w:eastAsia="华文中宋" w:cs="Times New Roman"/>
                <w:b w:val="0"/>
                <w:bCs/>
                <w:szCs w:val="21"/>
                <w:vertAlign w:val="superscript"/>
              </w:rPr>
              <w:t>2</w:t>
            </w:r>
            <w:r>
              <w:rPr>
                <w:rFonts w:ascii="Times New Roman" w:hAnsi="Times New Roman" w:eastAsia="华文中宋" w:cs="Times New Roman"/>
                <w:b w:val="0"/>
                <w:bCs/>
                <w:szCs w:val="21"/>
              </w:rPr>
              <w:t>）</w:t>
            </w:r>
          </w:p>
        </w:tc>
        <w:tc>
          <w:tcPr>
            <w:tcW w:w="230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c>
          <w:tcPr>
            <w:tcW w:w="2179" w:type="dxa"/>
            <w:tcBorders>
              <w:tl2br w:val="nil"/>
              <w:tr2bl w:val="nil"/>
            </w:tcBorders>
            <w:shd w:val="clear" w:color="auto" w:fill="auto"/>
            <w:vAlign w:val="center"/>
          </w:tcPr>
          <w:p>
            <w:pPr>
              <w:jc w:val="center"/>
              <w:rPr>
                <w:rFonts w:ascii="Times New Roman" w:hAnsi="Times New Roman" w:eastAsia="华文中宋" w:cs="Times New Roman"/>
                <w:b w:val="0"/>
                <w:bCs/>
                <w:szCs w:val="21"/>
              </w:rPr>
            </w:pPr>
          </w:p>
        </w:tc>
      </w:tr>
    </w:tbl>
    <w:p>
      <w:pPr>
        <w:rPr>
          <w:rFonts w:ascii="Times New Roman" w:hAnsi="Times New Roman" w:cs="Times New Roman"/>
          <w:b w:val="0"/>
          <w:bCs/>
          <w:sz w:val="28"/>
          <w:szCs w:val="32"/>
        </w:rPr>
      </w:pPr>
      <w:r>
        <w:rPr>
          <w:rFonts w:ascii="Times New Roman" w:hAnsi="Times New Roman" w:cs="Times New Roman"/>
          <w:b w:val="0"/>
          <w:bCs/>
          <w:sz w:val="18"/>
          <w:szCs w:val="18"/>
        </w:rPr>
        <w:t>注：以上计算结果均基于建筑面积</w:t>
      </w:r>
    </w:p>
    <w:p>
      <w:pPr>
        <w:rPr>
          <w:rFonts w:ascii="Times New Roman" w:hAnsi="Times New Roman" w:cs="Times New Roman"/>
          <w:b w:val="0"/>
          <w:bCs/>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6、技术指标审查</w:t>
      </w:r>
      <w:bookmarkEnd w:id="144"/>
    </w:p>
    <w:tbl>
      <w:tblPr>
        <w:tblStyle w:val="43"/>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2356"/>
        <w:gridCol w:w="1351"/>
        <w:gridCol w:w="1393"/>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8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kern w:val="0"/>
                <w:sz w:val="24"/>
                <w:szCs w:val="24"/>
              </w:rPr>
            </w:pPr>
            <w:r>
              <w:rPr>
                <w:rFonts w:hint="eastAsia" w:ascii="Times New Roman" w:hAnsi="Times New Roman" w:eastAsia="华文中宋" w:cs="Times New Roman"/>
                <w:b w:val="0"/>
                <w:bCs/>
                <w:kern w:val="0"/>
                <w:sz w:val="24"/>
                <w:szCs w:val="24"/>
              </w:rPr>
              <w:t>项目</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kern w:val="0"/>
                <w:sz w:val="24"/>
                <w:szCs w:val="24"/>
              </w:rPr>
            </w:pPr>
            <w:r>
              <w:rPr>
                <w:rFonts w:hint="eastAsia" w:ascii="Times New Roman" w:hAnsi="Times New Roman" w:eastAsia="华文中宋" w:cs="Times New Roman"/>
                <w:b w:val="0"/>
                <w:bCs/>
                <w:kern w:val="0"/>
                <w:sz w:val="24"/>
                <w:szCs w:val="24"/>
              </w:rPr>
              <w:t>数值</w:t>
            </w:r>
          </w:p>
        </w:tc>
        <w:tc>
          <w:tcPr>
            <w:tcW w:w="13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 w:val="24"/>
                <w:szCs w:val="24"/>
              </w:rPr>
            </w:pPr>
            <w:r>
              <w:rPr>
                <w:rFonts w:hint="eastAsia" w:ascii="Times New Roman" w:hAnsi="Times New Roman" w:eastAsia="华文中宋" w:cs="Times New Roman"/>
                <w:b w:val="0"/>
                <w:bCs/>
                <w:sz w:val="24"/>
                <w:szCs w:val="24"/>
              </w:rPr>
              <w:t>标准要求</w:t>
            </w:r>
          </w:p>
        </w:tc>
        <w:tc>
          <w:tcPr>
            <w:tcW w:w="20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 w:val="24"/>
                <w:szCs w:val="24"/>
              </w:rPr>
            </w:pPr>
            <w:r>
              <w:rPr>
                <w:rFonts w:hint="eastAsia" w:ascii="Times New Roman" w:hAnsi="Times New Roman" w:eastAsia="华文中宋" w:cs="Times New Roman"/>
                <w:b w:val="0"/>
                <w:bCs/>
                <w:sz w:val="24"/>
                <w:szCs w:val="24"/>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8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r>
              <w:rPr>
                <w:rFonts w:hint="eastAsia" w:ascii="Times New Roman" w:hAnsi="Times New Roman" w:eastAsia="华文中宋" w:cs="Times New Roman"/>
                <w:b w:val="0"/>
                <w:bCs/>
                <w:szCs w:val="21"/>
              </w:rPr>
              <w:t>建筑碳排放强度（</w:t>
            </w:r>
            <w:r>
              <w:rPr>
                <w:rFonts w:ascii="Times New Roman" w:hAnsi="Times New Roman" w:eastAsia="华文中宋" w:cs="Times New Roman"/>
                <w:b w:val="0"/>
                <w:bCs/>
                <w:szCs w:val="21"/>
              </w:rPr>
              <w:t>kgCO</w:t>
            </w:r>
            <w:r>
              <w:rPr>
                <w:rFonts w:ascii="Times New Roman" w:hAnsi="Times New Roman" w:eastAsia="华文中宋" w:cs="Times New Roman"/>
                <w:b w:val="0"/>
                <w:bCs/>
                <w:szCs w:val="21"/>
                <w:vertAlign w:val="subscript"/>
              </w:rPr>
              <w:t>2</w:t>
            </w:r>
            <w:r>
              <w:rPr>
                <w:rFonts w:ascii="Times New Roman" w:hAnsi="Times New Roman" w:eastAsia="华文中宋" w:cs="Times New Roman"/>
                <w:b w:val="0"/>
                <w:bCs/>
                <w:szCs w:val="21"/>
              </w:rPr>
              <w:t>/m</w:t>
            </w:r>
            <w:r>
              <w:rPr>
                <w:rFonts w:ascii="Times New Roman" w:hAnsi="Times New Roman" w:eastAsia="华文中宋" w:cs="Times New Roman"/>
                <w:b w:val="0"/>
                <w:bCs/>
                <w:szCs w:val="21"/>
                <w:vertAlign w:val="superscript"/>
              </w:rPr>
              <w:t>2</w:t>
            </w:r>
            <w:r>
              <w:rPr>
                <w:rFonts w:hint="eastAsia" w:ascii="Times New Roman" w:hAnsi="Times New Roman" w:eastAsia="华文中宋" w:cs="Times New Roman"/>
                <w:b w:val="0"/>
                <w:bCs/>
                <w:szCs w:val="21"/>
              </w:rPr>
              <w:t>）</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p>
        </w:tc>
        <w:tc>
          <w:tcPr>
            <w:tcW w:w="20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r>
              <w:rPr>
                <w:rFonts w:hint="eastAsia" w:ascii="Times New Roman" w:hAnsi="Times New Roman" w:eastAsia="华文中宋" w:cs="Times New Roman"/>
                <w:b w:val="0"/>
                <w:bCs/>
                <w:szCs w:val="21"/>
              </w:rPr>
              <w:t>满足</w:t>
            </w:r>
            <w:r>
              <w:rPr>
                <w:rFonts w:ascii="Times New Roman" w:hAnsi="Times New Roman" w:eastAsia="华文中宋" w:cs="Times New Roman"/>
                <w:b w:val="0"/>
                <w:bCs/>
                <w:szCs w:val="21"/>
              </w:rPr>
              <w:t>/</w:t>
            </w:r>
            <w:r>
              <w:rPr>
                <w:rFonts w:hint="eastAsia" w:ascii="Times New Roman" w:hAnsi="Times New Roman" w:eastAsia="华文中宋" w:cs="Times New Roman"/>
                <w:b w:val="0"/>
                <w:bCs/>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8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r>
              <w:rPr>
                <w:rFonts w:hint="eastAsia" w:ascii="Times New Roman" w:hAnsi="Times New Roman" w:eastAsia="华文中宋" w:cs="Times New Roman"/>
                <w:b w:val="0"/>
                <w:bCs/>
                <w:szCs w:val="21"/>
              </w:rPr>
              <w:t>建筑降碳率（</w:t>
            </w:r>
            <w:r>
              <w:rPr>
                <w:rFonts w:ascii="Times New Roman" w:hAnsi="Times New Roman" w:eastAsia="华文中宋" w:cs="Times New Roman"/>
                <w:b w:val="0"/>
                <w:bCs/>
                <w:szCs w:val="21"/>
              </w:rPr>
              <w:t>%</w:t>
            </w:r>
            <w:r>
              <w:rPr>
                <w:rFonts w:hint="eastAsia" w:ascii="Times New Roman" w:hAnsi="Times New Roman" w:eastAsia="华文中宋" w:cs="Times New Roman"/>
                <w:b w:val="0"/>
                <w:bCs/>
                <w:szCs w:val="21"/>
              </w:rPr>
              <w:t>）</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p>
        </w:tc>
        <w:tc>
          <w:tcPr>
            <w:tcW w:w="20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r>
              <w:rPr>
                <w:rFonts w:hint="eastAsia" w:ascii="Times New Roman" w:hAnsi="Times New Roman" w:eastAsia="华文中宋" w:cs="Times New Roman"/>
                <w:b w:val="0"/>
                <w:bCs/>
                <w:szCs w:val="21"/>
              </w:rPr>
              <w:t>满足</w:t>
            </w:r>
            <w:r>
              <w:rPr>
                <w:rFonts w:ascii="Times New Roman" w:hAnsi="Times New Roman" w:eastAsia="华文中宋" w:cs="Times New Roman"/>
                <w:b w:val="0"/>
                <w:bCs/>
                <w:szCs w:val="21"/>
              </w:rPr>
              <w:t>/</w:t>
            </w:r>
            <w:r>
              <w:rPr>
                <w:rFonts w:hint="eastAsia" w:ascii="Times New Roman" w:hAnsi="Times New Roman" w:eastAsia="华文中宋" w:cs="Times New Roman"/>
                <w:b w:val="0"/>
                <w:bCs/>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81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r>
              <w:rPr>
                <w:rFonts w:hint="eastAsia" w:ascii="Times New Roman" w:hAnsi="Times New Roman" w:eastAsia="华文中宋" w:cs="Times New Roman"/>
                <w:b w:val="0"/>
                <w:bCs/>
                <w:szCs w:val="21"/>
              </w:rPr>
              <w:t>碳抵消后建筑碳排放总量（</w:t>
            </w:r>
            <w:r>
              <w:rPr>
                <w:rFonts w:ascii="Times New Roman" w:hAnsi="Times New Roman" w:eastAsia="华文中宋" w:cs="Times New Roman"/>
                <w:b w:val="0"/>
                <w:bCs/>
                <w:szCs w:val="21"/>
              </w:rPr>
              <w:t>kgCO</w:t>
            </w:r>
            <w:r>
              <w:rPr>
                <w:rFonts w:ascii="Times New Roman" w:hAnsi="Times New Roman" w:eastAsia="华文中宋" w:cs="Times New Roman"/>
                <w:b w:val="0"/>
                <w:bCs/>
                <w:szCs w:val="21"/>
                <w:vertAlign w:val="subscript"/>
              </w:rPr>
              <w:t>2</w:t>
            </w:r>
            <w:r>
              <w:rPr>
                <w:rFonts w:hint="eastAsia" w:ascii="Times New Roman" w:hAnsi="Times New Roman" w:eastAsia="华文中宋" w:cs="Times New Roman"/>
                <w:b w:val="0"/>
                <w:bCs/>
                <w:szCs w:val="21"/>
              </w:rPr>
              <w:t>）</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p>
        </w:tc>
        <w:tc>
          <w:tcPr>
            <w:tcW w:w="20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r>
              <w:rPr>
                <w:rFonts w:hint="eastAsia" w:ascii="Times New Roman" w:hAnsi="Times New Roman" w:eastAsia="华文中宋" w:cs="Times New Roman"/>
                <w:b w:val="0"/>
                <w:bCs/>
                <w:szCs w:val="21"/>
              </w:rPr>
              <w:t>满足</w:t>
            </w:r>
            <w:r>
              <w:rPr>
                <w:rFonts w:ascii="Times New Roman" w:hAnsi="Times New Roman" w:eastAsia="华文中宋" w:cs="Times New Roman"/>
                <w:b w:val="0"/>
                <w:bCs/>
                <w:szCs w:val="21"/>
              </w:rPr>
              <w:t>/</w:t>
            </w:r>
            <w:r>
              <w:rPr>
                <w:rFonts w:hint="eastAsia" w:ascii="Times New Roman" w:hAnsi="Times New Roman" w:eastAsia="华文中宋" w:cs="Times New Roman"/>
                <w:b w:val="0"/>
                <w:bCs/>
                <w:szCs w:val="21"/>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4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r>
              <w:rPr>
                <w:rFonts w:hint="eastAsia" w:ascii="Times New Roman" w:hAnsi="Times New Roman" w:eastAsia="华文中宋" w:cs="Times New Roman"/>
                <w:b w:val="0"/>
                <w:bCs/>
                <w:szCs w:val="21"/>
              </w:rPr>
              <w:t>结论</w:t>
            </w:r>
          </w:p>
        </w:tc>
        <w:tc>
          <w:tcPr>
            <w:tcW w:w="710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华文中宋" w:cs="Times New Roman"/>
                <w:b w:val="0"/>
                <w:bCs/>
                <w:szCs w:val="21"/>
              </w:rPr>
            </w:pPr>
          </w:p>
        </w:tc>
      </w:tr>
    </w:tbl>
    <w:p>
      <w:pPr>
        <w:rPr>
          <w:rFonts w:ascii="Times New Roman" w:hAnsi="Times New Roman" w:cs="Times New Roman"/>
          <w:b w:val="0"/>
          <w:bCs/>
        </w:rPr>
      </w:pPr>
    </w:p>
    <w:p>
      <w:pPr>
        <w:rPr>
          <w:rFonts w:ascii="Times New Roman" w:hAnsi="Times New Roman" w:cs="Times New Roman"/>
          <w:b w:val="0"/>
          <w:bCs/>
        </w:rPr>
      </w:pPr>
    </w:p>
    <w:p>
      <w:pPr>
        <w:autoSpaceDE w:val="0"/>
        <w:autoSpaceDN w:val="0"/>
        <w:spacing w:line="360" w:lineRule="auto"/>
        <w:rPr>
          <w:rFonts w:ascii="Times New Roman" w:hAnsi="Times New Roman" w:cs="Times New Roman"/>
          <w:b w:val="0"/>
          <w:bCs/>
          <w:sz w:val="30"/>
          <w:szCs w:val="30"/>
        </w:rPr>
        <w:sectPr>
          <w:pgSz w:w="11906" w:h="16838"/>
          <w:pgMar w:top="1440" w:right="1797" w:bottom="1440" w:left="1797" w:header="851" w:footer="992" w:gutter="0"/>
          <w:cols w:space="425" w:num="1"/>
          <w:docGrid w:type="lines" w:linePitch="312" w:charSpace="0"/>
        </w:sectPr>
      </w:pPr>
    </w:p>
    <w:p>
      <w:pPr>
        <w:keepNext/>
        <w:tabs>
          <w:tab w:val="left" w:pos="720"/>
          <w:tab w:val="left" w:pos="910"/>
          <w:tab w:val="left" w:pos="1190"/>
          <w:tab w:val="left" w:pos="2520"/>
          <w:tab w:val="left" w:pos="7020"/>
        </w:tabs>
        <w:adjustRightInd/>
        <w:snapToGrid/>
        <w:spacing w:before="156" w:beforeLines="50" w:after="156" w:afterLines="50" w:line="276" w:lineRule="auto"/>
        <w:jc w:val="center"/>
        <w:outlineLvl w:val="0"/>
        <w:rPr>
          <w:rFonts w:ascii="Times New Roman" w:hAnsi="Times New Roman" w:eastAsia="黑体" w:cs="Times New Roman"/>
          <w:b w:val="0"/>
          <w:bCs/>
          <w:kern w:val="0"/>
          <w:sz w:val="28"/>
          <w:szCs w:val="28"/>
        </w:rPr>
      </w:pPr>
      <w:bookmarkStart w:id="145" w:name="_Toc128988437"/>
      <w:r>
        <w:rPr>
          <w:rFonts w:ascii="Times New Roman" w:hAnsi="Times New Roman" w:eastAsia="黑体" w:cs="Times New Roman"/>
          <w:b w:val="0"/>
          <w:bCs/>
          <w:kern w:val="0"/>
          <w:sz w:val="28"/>
          <w:szCs w:val="28"/>
        </w:rPr>
        <w:t>附录</w:t>
      </w:r>
      <w:r>
        <w:rPr>
          <w:rFonts w:ascii="Times New Roman" w:hAnsi="Times New Roman" w:eastAsia="黑体" w:cs="Times New Roman"/>
          <w:b w:val="0"/>
          <w:bCs/>
          <w:color w:val="000000" w:themeColor="text1"/>
          <w:kern w:val="0"/>
          <w:sz w:val="28"/>
          <w:szCs w:val="28"/>
          <w14:textFill>
            <w14:solidFill>
              <w14:schemeClr w14:val="tx1"/>
            </w14:solidFill>
          </w14:textFill>
        </w:rPr>
        <w:t>C</w:t>
      </w:r>
      <w:r>
        <w:rPr>
          <w:rFonts w:ascii="Times New Roman" w:hAnsi="Times New Roman" w:eastAsia="黑体" w:cs="Times New Roman"/>
          <w:b w:val="0"/>
          <w:bCs/>
          <w:kern w:val="0"/>
          <w:sz w:val="28"/>
          <w:szCs w:val="28"/>
        </w:rPr>
        <w:t>区域碳排放指标计算</w:t>
      </w:r>
      <w:bookmarkEnd w:id="145"/>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C.0.1 区域碳排放量应按下式计算：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4"/>
        <w:gridCol w:w="566"/>
        <w:gridCol w:w="6307"/>
        <w:gridCol w:w="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717" w:type="dxa"/>
            <w:gridSpan w:val="3"/>
            <w:vAlign w:val="center"/>
          </w:tcPr>
          <w:p>
            <w:pPr>
              <w:autoSpaceDE w:val="0"/>
              <w:autoSpaceDN w:val="0"/>
              <w:spacing w:line="360" w:lineRule="auto"/>
              <w:rPr>
                <w:rFonts w:ascii="Times New Roman" w:hAnsi="Times New Roman" w:cs="Times New Roman"/>
                <w:b w:val="0"/>
                <w:bCs/>
                <w:i/>
                <w:szCs w:val="32"/>
              </w:rPr>
            </w:pPr>
            <m:oMathPara>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t>
                    </m:r>
                    <m:ctrlPr>
                      <w:rPr>
                        <w:rFonts w:ascii="Cambria Math" w:hAnsi="Cambria Math" w:cs="Times New Roman"/>
                        <w:b w:val="0"/>
                        <w:bCs/>
                        <w:szCs w:val="32"/>
                      </w:rPr>
                    </m:ctrlPr>
                  </m:sub>
                </m:sSub>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C</m:t>
                    </m:r>
                    <m:ctrlPr>
                      <w:rPr>
                        <w:rFonts w:ascii="Cambria Math" w:hAnsi="Cambria Math" w:cs="Times New Roman"/>
                        <w:b w:val="0"/>
                        <w:bCs/>
                        <w:i/>
                        <w:szCs w:val="32"/>
                      </w:rPr>
                    </m:ctrlPr>
                  </m:e>
                  <m:sub>
                    <m:r>
                      <m:rPr/>
                      <w:rPr>
                        <w:rFonts w:hint="default" w:ascii="Cambria Math" w:hAnsi="Cambria Math" w:cs="Times New Roman"/>
                        <w:szCs w:val="32"/>
                      </w:rPr>
                      <m:t>d,b</m:t>
                    </m:r>
                    <m:ctrlPr>
                      <w:rPr>
                        <w:rFonts w:ascii="Cambria Math" w:hAnsi="Cambria Math" w:cs="Times New Roman"/>
                        <w:b w:val="0"/>
                        <w:bCs/>
                        <w:i/>
                        <w:szCs w:val="32"/>
                      </w:rPr>
                    </m:ctrlPr>
                  </m:sub>
                </m:sSub>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C</m:t>
                    </m:r>
                    <m:ctrlPr>
                      <w:rPr>
                        <w:rFonts w:ascii="Cambria Math" w:hAnsi="Cambria Math" w:cs="Times New Roman"/>
                        <w:b w:val="0"/>
                        <w:bCs/>
                        <w:i/>
                        <w:szCs w:val="32"/>
                      </w:rPr>
                    </m:ctrlPr>
                  </m:e>
                  <m:sub>
                    <m:r>
                      <m:rPr/>
                      <w:rPr>
                        <w:rFonts w:hint="default" w:ascii="Cambria Math" w:hAnsi="Cambria Math" w:cs="Times New Roman"/>
                        <w:szCs w:val="32"/>
                      </w:rPr>
                      <m:t>d,t</m:t>
                    </m:r>
                    <m:ctrlPr>
                      <w:rPr>
                        <w:rFonts w:ascii="Cambria Math" w:hAnsi="Cambria Math" w:cs="Times New Roman"/>
                        <w:b w:val="0"/>
                        <w:bCs/>
                        <w:i/>
                        <w:szCs w:val="32"/>
                      </w:rPr>
                    </m:ctrlPr>
                  </m:sub>
                </m:sSub>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C</m:t>
                    </m:r>
                    <m:ctrlPr>
                      <w:rPr>
                        <w:rFonts w:ascii="Cambria Math" w:hAnsi="Cambria Math" w:cs="Times New Roman"/>
                        <w:b w:val="0"/>
                        <w:bCs/>
                        <w:i/>
                        <w:szCs w:val="32"/>
                      </w:rPr>
                    </m:ctrlPr>
                  </m:e>
                  <m:sub>
                    <m:r>
                      <m:rPr/>
                      <w:rPr>
                        <w:rFonts w:hint="default" w:ascii="Cambria Math" w:hAnsi="Cambria Math" w:cs="Times New Roman"/>
                        <w:szCs w:val="32"/>
                      </w:rPr>
                      <m:t>d,m</m:t>
                    </m:r>
                    <m:ctrlPr>
                      <w:rPr>
                        <w:rFonts w:ascii="Cambria Math" w:hAnsi="Cambria Math" w:cs="Times New Roman"/>
                        <w:b w:val="0"/>
                        <w:bCs/>
                        <w:i/>
                        <w:szCs w:val="32"/>
                      </w:rPr>
                    </m:ctrlPr>
                  </m:sub>
                </m:sSub>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C</m:t>
                    </m:r>
                    <m:ctrlPr>
                      <w:rPr>
                        <w:rFonts w:ascii="Cambria Math" w:hAnsi="Cambria Math" w:cs="Times New Roman"/>
                        <w:b w:val="0"/>
                        <w:bCs/>
                        <w:i/>
                        <w:szCs w:val="32"/>
                      </w:rPr>
                    </m:ctrlPr>
                  </m:e>
                  <m:sub>
                    <m:r>
                      <m:rPr/>
                      <w:rPr>
                        <w:rFonts w:hint="default" w:ascii="Cambria Math" w:hAnsi="Cambria Math" w:cs="Times New Roman"/>
                        <w:szCs w:val="32"/>
                      </w:rPr>
                      <m:t>d,o</m:t>
                    </m:r>
                    <m:ctrlPr>
                      <w:rPr>
                        <w:rFonts w:ascii="Cambria Math" w:hAnsi="Cambria Math" w:cs="Times New Roman"/>
                        <w:b w:val="0"/>
                        <w:bCs/>
                        <w:i/>
                        <w:szCs w:val="32"/>
                      </w:rPr>
                    </m:ctrlPr>
                  </m:sub>
                </m:sSub>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C</m:t>
                    </m:r>
                    <m:ctrlPr>
                      <w:rPr>
                        <w:rFonts w:ascii="Cambria Math" w:hAnsi="Cambria Math" w:cs="Times New Roman"/>
                        <w:b w:val="0"/>
                        <w:bCs/>
                        <w:i/>
                        <w:szCs w:val="32"/>
                      </w:rPr>
                    </m:ctrlPr>
                  </m:e>
                  <m:sub>
                    <m:r>
                      <m:rPr/>
                      <w:rPr>
                        <w:rFonts w:hint="default" w:ascii="Cambria Math" w:hAnsi="Cambria Math" w:cs="Times New Roman"/>
                        <w:szCs w:val="32"/>
                      </w:rPr>
                      <m:t>d,r</m:t>
                    </m:r>
                    <m:ctrlPr>
                      <w:rPr>
                        <w:rFonts w:ascii="Cambria Math" w:hAnsi="Cambria Math" w:cs="Times New Roman"/>
                        <w:b w:val="0"/>
                        <w:bCs/>
                        <w:i/>
                        <w:szCs w:val="32"/>
                      </w:rPr>
                    </m:ctrlPr>
                  </m:sub>
                </m:sSub>
                <m:r>
                  <m:rPr/>
                  <w:rPr>
                    <w:rFonts w:ascii="Cambria Math" w:hAnsi="Cambria Math" w:eastAsia="微软雅黑"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C</m:t>
                    </m:r>
                    <m:ctrlPr>
                      <w:rPr>
                        <w:rFonts w:ascii="Cambria Math" w:hAnsi="Cambria Math" w:eastAsia="微软雅黑" w:cs="Times New Roman"/>
                        <w:b w:val="0"/>
                        <w:bCs/>
                        <w:i/>
                        <w:szCs w:val="32"/>
                      </w:rPr>
                    </m:ctrlPr>
                  </m:e>
                  <m:sub>
                    <m:r>
                      <m:rPr/>
                      <w:rPr>
                        <w:rFonts w:hint="default" w:ascii="Cambria Math" w:hAnsi="Cambria Math" w:eastAsia="微软雅黑" w:cs="Times New Roman"/>
                        <w:szCs w:val="32"/>
                      </w:rPr>
                      <m:t>d,s</m:t>
                    </m:r>
                    <m:ctrlPr>
                      <w:rPr>
                        <w:rFonts w:ascii="Cambria Math" w:hAnsi="Cambria Math" w:cs="Times New Roman"/>
                        <w:b w:val="0"/>
                        <w:bCs/>
                        <w:i/>
                        <w:szCs w:val="32"/>
                      </w:rPr>
                    </m:ctrlPr>
                  </m:sub>
                </m:sSub>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C</m:t>
                    </m:r>
                    <m:ctrlPr>
                      <w:rPr>
                        <w:rFonts w:ascii="Cambria Math" w:hAnsi="Cambria Math" w:cs="Times New Roman"/>
                        <w:b w:val="0"/>
                        <w:bCs/>
                        <w:i/>
                        <w:szCs w:val="32"/>
                      </w:rPr>
                    </m:ctrlPr>
                  </m:e>
                  <m:sub>
                    <m:r>
                      <m:rPr/>
                      <w:rPr>
                        <w:rFonts w:hint="default" w:ascii="Cambria Math" w:hAnsi="Cambria Math" w:cs="Times New Roman"/>
                        <w:szCs w:val="32"/>
                      </w:rPr>
                      <m:t>d,e</m:t>
                    </m:r>
                    <m:ctrlPr>
                      <w:rPr>
                        <w:rFonts w:ascii="Cambria Math" w:hAnsi="Cambria Math" w:cs="Times New Roman"/>
                        <w:b w:val="0"/>
                        <w:bCs/>
                        <w:i/>
                        <w:szCs w:val="32"/>
                      </w:rPr>
                    </m:ctrlPr>
                  </m:sub>
                </m:sSub>
              </m:oMath>
            </m:oMathPara>
          </w:p>
        </w:tc>
        <w:tc>
          <w:tcPr>
            <w:tcW w:w="595"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566"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——区域碳排放量（tCO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d,b</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——建筑碳排放量（tCO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d,t</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——交通碳排放量（tCO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——市政碳排放量（tCO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d,o</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——其他能源消耗产生的碳排放量（tCO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d,r</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——可再生能源发电降碳量（tCO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d,s</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——区域碳汇降碳量（tCO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d,e</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——输送至区域外部的能源产生的碳排放（tCO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C.0.2 区域内建筑碳排放量应按下式计算：</w:t>
      </w:r>
    </w:p>
    <w:p>
      <w:pPr>
        <w:jc w:val="right"/>
        <w:rPr>
          <w:rFonts w:ascii="Times New Roman" w:hAnsi="Times New Roman" w:cs="Times New Roman"/>
          <w:b w:val="0"/>
          <w:bCs/>
          <w:szCs w:val="32"/>
        </w:rPr>
      </w:pPr>
      <m:oMath>
        <m:sSub>
          <m:sSubPr>
            <m:ctrlPr>
              <w:rPr>
                <w:rFonts w:ascii="Cambria Math" w:hAnsi="Cambria Math" w:cs="Times New Roman"/>
                <w:b w:val="0"/>
                <w:bCs/>
                <w:sz w:val="24"/>
                <w:szCs w:val="40"/>
              </w:rPr>
            </m:ctrlPr>
          </m:sSubPr>
          <m:e>
            <m:r>
              <m:rPr/>
              <w:rPr>
                <w:rFonts w:hint="default" w:ascii="Cambria Math" w:hAnsi="Cambria Math" w:cs="Times New Roman"/>
                <w:sz w:val="24"/>
                <w:szCs w:val="40"/>
              </w:rPr>
              <m:t>C</m:t>
            </m:r>
            <m:ctrlPr>
              <w:rPr>
                <w:rFonts w:ascii="Cambria Math" w:hAnsi="Cambria Math" w:cs="Times New Roman"/>
                <w:b w:val="0"/>
                <w:bCs/>
                <w:sz w:val="24"/>
                <w:szCs w:val="40"/>
              </w:rPr>
            </m:ctrlPr>
          </m:e>
          <m:sub>
            <m:r>
              <m:rPr/>
              <w:rPr>
                <w:rFonts w:hint="default" w:ascii="Cambria Math" w:hAnsi="Cambria Math" w:cs="Times New Roman"/>
                <w:sz w:val="24"/>
                <w:szCs w:val="40"/>
              </w:rPr>
              <m:t>d</m:t>
            </m:r>
            <m:r>
              <m:rPr>
                <m:sty m:val="p"/>
              </m:rPr>
              <w:rPr>
                <w:rFonts w:ascii="Cambria Math" w:hAnsi="Cambria Math" w:cs="Times New Roman"/>
                <w:sz w:val="24"/>
                <w:szCs w:val="40"/>
              </w:rPr>
              <m:t>,</m:t>
            </m:r>
            <m:r>
              <m:rPr/>
              <w:rPr>
                <w:rFonts w:hint="default" w:ascii="Cambria Math" w:hAnsi="Cambria Math" w:cs="Times New Roman"/>
                <w:sz w:val="24"/>
                <w:szCs w:val="40"/>
              </w:rPr>
              <m:t>b</m:t>
            </m:r>
            <m:ctrlPr>
              <w:rPr>
                <w:rFonts w:ascii="Cambria Math" w:hAnsi="Cambria Math" w:cs="Times New Roman"/>
                <w:b w:val="0"/>
                <w:bCs/>
                <w:sz w:val="24"/>
                <w:szCs w:val="40"/>
              </w:rPr>
            </m:ctrlPr>
          </m:sub>
        </m:sSub>
        <m:r>
          <m:rPr>
            <m:sty m:val="p"/>
          </m:rPr>
          <w:rPr>
            <w:rFonts w:ascii="Cambria Math" w:hAnsi="Cambria Math" w:cs="Times New Roman"/>
            <w:sz w:val="24"/>
            <w:szCs w:val="40"/>
          </w:rPr>
          <m:t>=</m:t>
        </m:r>
        <m:f>
          <m:fPr>
            <m:ctrlPr>
              <w:rPr>
                <w:rFonts w:ascii="Cambria Math" w:hAnsi="Cambria Math" w:cs="Times New Roman"/>
                <w:b w:val="0"/>
                <w:bCs/>
                <w:sz w:val="24"/>
                <w:szCs w:val="40"/>
              </w:rPr>
            </m:ctrlPr>
          </m:fPr>
          <m:num>
            <m:nary>
              <m:naryPr>
                <m:chr m:val="∑"/>
                <m:limLoc m:val="undOvr"/>
                <m:ctrlPr>
                  <w:rPr>
                    <w:rFonts w:ascii="Cambria Math" w:hAnsi="Cambria Math" w:cs="Times New Roman"/>
                    <w:b w:val="0"/>
                    <w:bCs/>
                    <w:sz w:val="24"/>
                    <w:szCs w:val="40"/>
                  </w:rPr>
                </m:ctrlPr>
              </m:naryPr>
              <m:sub>
                <m:r>
                  <m:rPr/>
                  <w:rPr>
                    <w:rFonts w:hint="default" w:ascii="Cambria Math" w:hAnsi="Cambria Math" w:cs="Times New Roman"/>
                    <w:sz w:val="24"/>
                    <w:szCs w:val="40"/>
                  </w:rPr>
                  <m:t>i</m:t>
                </m:r>
                <m:r>
                  <m:rPr>
                    <m:sty m:val="p"/>
                  </m:rPr>
                  <w:rPr>
                    <w:rFonts w:hint="default" w:ascii="Cambria Math" w:hAnsi="Cambria Math" w:cs="Times New Roman"/>
                    <w:sz w:val="24"/>
                    <w:szCs w:val="40"/>
                  </w:rPr>
                  <m:t>=1</m:t>
                </m:r>
                <m:ctrlPr>
                  <w:rPr>
                    <w:rFonts w:ascii="Cambria Math" w:hAnsi="Cambria Math" w:cs="Times New Roman"/>
                    <w:b w:val="0"/>
                    <w:bCs/>
                    <w:sz w:val="24"/>
                    <w:szCs w:val="40"/>
                  </w:rPr>
                </m:ctrlPr>
              </m:sub>
              <m:sup>
                <m:r>
                  <m:rPr/>
                  <w:rPr>
                    <w:rFonts w:hint="default" w:ascii="Cambria Math" w:hAnsi="Cambria Math" w:cs="Times New Roman"/>
                    <w:sz w:val="24"/>
                    <w:szCs w:val="40"/>
                  </w:rPr>
                  <m:t>n</m:t>
                </m:r>
                <m:ctrlPr>
                  <w:rPr>
                    <w:rFonts w:ascii="Cambria Math" w:hAnsi="Cambria Math" w:cs="Times New Roman"/>
                    <w:b w:val="0"/>
                    <w:bCs/>
                    <w:sz w:val="24"/>
                    <w:szCs w:val="40"/>
                  </w:rPr>
                </m:ctrlPr>
              </m:sup>
              <m:e>
                <m:sSub>
                  <m:sSubPr>
                    <m:ctrlPr>
                      <w:rPr>
                        <w:rFonts w:ascii="Cambria Math" w:hAnsi="Cambria Math" w:cs="Times New Roman"/>
                        <w:b w:val="0"/>
                        <w:bCs/>
                        <w:sz w:val="24"/>
                        <w:szCs w:val="40"/>
                      </w:rPr>
                    </m:ctrlPr>
                  </m:sSubPr>
                  <m:e>
                    <m:r>
                      <m:rPr/>
                      <w:rPr>
                        <w:rFonts w:hint="default" w:ascii="Cambria Math" w:hAnsi="Cambria Math" w:cs="Times New Roman"/>
                        <w:sz w:val="24"/>
                        <w:szCs w:val="40"/>
                      </w:rPr>
                      <m:t>C</m:t>
                    </m:r>
                    <m:ctrlPr>
                      <w:rPr>
                        <w:rFonts w:ascii="Cambria Math" w:hAnsi="Cambria Math" w:cs="Times New Roman"/>
                        <w:b w:val="0"/>
                        <w:bCs/>
                        <w:sz w:val="24"/>
                        <w:szCs w:val="40"/>
                      </w:rPr>
                    </m:ctrlPr>
                  </m:e>
                  <m:sub>
                    <m:r>
                      <m:rPr/>
                      <w:rPr>
                        <w:rFonts w:hint="default" w:ascii="Cambria Math" w:hAnsi="Cambria Math" w:cs="Times New Roman"/>
                        <w:sz w:val="24"/>
                        <w:szCs w:val="40"/>
                      </w:rPr>
                      <m:t>E</m:t>
                    </m:r>
                    <m:r>
                      <m:rPr>
                        <m:sty m:val="p"/>
                      </m:rPr>
                      <w:rPr>
                        <w:rFonts w:ascii="Cambria Math" w:hAnsi="Cambria Math" w:cs="Times New Roman"/>
                        <w:sz w:val="24"/>
                        <w:szCs w:val="40"/>
                      </w:rPr>
                      <m:t>,</m:t>
                    </m:r>
                    <m:r>
                      <m:rPr/>
                      <w:rPr>
                        <w:rFonts w:hint="default" w:ascii="Cambria Math" w:hAnsi="Cambria Math" w:cs="Times New Roman"/>
                        <w:sz w:val="24"/>
                        <w:szCs w:val="40"/>
                      </w:rPr>
                      <m:t>i</m:t>
                    </m:r>
                    <m:ctrlPr>
                      <w:rPr>
                        <w:rFonts w:ascii="Cambria Math" w:hAnsi="Cambria Math" w:cs="Times New Roman"/>
                        <w:b w:val="0"/>
                        <w:bCs/>
                        <w:sz w:val="24"/>
                        <w:szCs w:val="40"/>
                      </w:rPr>
                    </m:ctrlPr>
                  </m:sub>
                </m:sSub>
                <m:r>
                  <m:rPr>
                    <m:sty m:val="p"/>
                  </m:rPr>
                  <w:rPr>
                    <w:rFonts w:ascii="Cambria Math" w:hAnsi="Cambria Math" w:cs="Times New Roman"/>
                    <w:sz w:val="24"/>
                    <w:szCs w:val="40"/>
                  </w:rPr>
                  <m:t>×</m:t>
                </m:r>
                <m:sSub>
                  <m:sSubPr>
                    <m:ctrlPr>
                      <w:rPr>
                        <w:rFonts w:ascii="Cambria Math" w:hAnsi="Cambria Math" w:cs="Times New Roman"/>
                        <w:b w:val="0"/>
                        <w:bCs/>
                        <w:sz w:val="24"/>
                        <w:szCs w:val="40"/>
                      </w:rPr>
                    </m:ctrlPr>
                  </m:sSubPr>
                  <m:e>
                    <m:r>
                      <m:rPr/>
                      <w:rPr>
                        <w:rFonts w:hint="default" w:ascii="Cambria Math" w:hAnsi="Cambria Math" w:cs="Times New Roman"/>
                        <w:sz w:val="24"/>
                        <w:szCs w:val="40"/>
                      </w:rPr>
                      <m:t>A</m:t>
                    </m:r>
                    <m:ctrlPr>
                      <w:rPr>
                        <w:rFonts w:ascii="Cambria Math" w:hAnsi="Cambria Math" w:cs="Times New Roman"/>
                        <w:b w:val="0"/>
                        <w:bCs/>
                        <w:sz w:val="24"/>
                        <w:szCs w:val="40"/>
                      </w:rPr>
                    </m:ctrlPr>
                  </m:e>
                  <m:sub>
                    <m:r>
                      <m:rPr/>
                      <w:rPr>
                        <w:rFonts w:hint="default" w:ascii="Cambria Math" w:hAnsi="Cambria Math" w:cs="Times New Roman"/>
                        <w:sz w:val="24"/>
                        <w:szCs w:val="40"/>
                      </w:rPr>
                      <m:t>b</m:t>
                    </m:r>
                    <m:r>
                      <m:rPr>
                        <m:sty m:val="p"/>
                      </m:rPr>
                      <w:rPr>
                        <w:rFonts w:ascii="Cambria Math" w:hAnsi="Cambria Math" w:cs="Times New Roman"/>
                        <w:sz w:val="24"/>
                        <w:szCs w:val="40"/>
                      </w:rPr>
                      <m:t>,</m:t>
                    </m:r>
                    <m:r>
                      <m:rPr/>
                      <w:rPr>
                        <w:rFonts w:hint="default" w:ascii="Cambria Math" w:hAnsi="Cambria Math" w:cs="Times New Roman"/>
                        <w:sz w:val="24"/>
                        <w:szCs w:val="40"/>
                      </w:rPr>
                      <m:t>i</m:t>
                    </m:r>
                    <m:ctrlPr>
                      <w:rPr>
                        <w:rFonts w:ascii="Cambria Math" w:hAnsi="Cambria Math" w:cs="Times New Roman"/>
                        <w:b w:val="0"/>
                        <w:bCs/>
                        <w:sz w:val="24"/>
                        <w:szCs w:val="40"/>
                      </w:rPr>
                    </m:ctrlPr>
                  </m:sub>
                </m:sSub>
                <m:ctrlPr>
                  <w:rPr>
                    <w:rFonts w:ascii="Cambria Math" w:hAnsi="Cambria Math" w:cs="Times New Roman"/>
                    <w:b w:val="0"/>
                    <w:bCs/>
                    <w:sz w:val="24"/>
                    <w:szCs w:val="40"/>
                  </w:rPr>
                </m:ctrlPr>
              </m:e>
            </m:nary>
            <m:ctrlPr>
              <w:rPr>
                <w:rFonts w:ascii="Cambria Math" w:hAnsi="Cambria Math" w:cs="Times New Roman"/>
                <w:b w:val="0"/>
                <w:bCs/>
                <w:sz w:val="24"/>
                <w:szCs w:val="40"/>
              </w:rPr>
            </m:ctrlPr>
          </m:num>
          <m:den>
            <m:r>
              <m:rPr>
                <m:sty m:val="p"/>
              </m:rPr>
              <w:rPr>
                <w:rFonts w:hint="default" w:ascii="Cambria Math" w:hAnsi="Cambria Math" w:cs="Times New Roman"/>
                <w:sz w:val="24"/>
                <w:szCs w:val="40"/>
              </w:rPr>
              <m:t>1000</m:t>
            </m:r>
            <m:ctrlPr>
              <w:rPr>
                <w:rFonts w:ascii="Cambria Math" w:hAnsi="Cambria Math" w:cs="Times New Roman"/>
                <w:b w:val="0"/>
                <w:bCs/>
                <w:sz w:val="24"/>
                <w:szCs w:val="40"/>
              </w:rPr>
            </m:ctrlPr>
          </m:den>
        </m:f>
        <m:r>
          <m:rPr/>
          <w:rPr>
            <w:rFonts w:ascii="Cambria Math" w:hAnsi="Cambria Math" w:cs="Times New Roman"/>
            <w:sz w:val="24"/>
            <w:szCs w:val="40"/>
          </w:rPr>
          <m:t xml:space="preserve">                                              </m:t>
        </m:r>
      </m:oMath>
      <w:r>
        <w:rPr>
          <w:rFonts w:ascii="Times New Roman" w:hAnsi="Times New Roman" w:cs="Times New Roman"/>
          <w:b w:val="0"/>
          <w:bCs/>
          <w:szCs w:val="32"/>
        </w:rPr>
        <w:t>(C.0.2)</w:t>
      </w:r>
    </w:p>
    <w:p>
      <w:pPr>
        <w:jc w:val="right"/>
        <w:rPr>
          <w:rFonts w:ascii="Times New Roman" w:hAnsi="Times New Roman" w:cs="Times New Roman"/>
          <w:b w:val="0"/>
          <w:bCs/>
          <w:sz w:val="22"/>
          <w:szCs w:val="36"/>
        </w:rPr>
      </w:pPr>
    </w:p>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4"/>
        <w:gridCol w:w="566"/>
        <w:gridCol w:w="6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4"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566"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E,i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——第i栋建筑碳排放量强度（kgCO</w:t>
            </w:r>
            <w:r>
              <w:rPr>
                <w:rFonts w:ascii="Times New Roman" w:hAnsi="Times New Roman" w:cs="Times New Roman"/>
                <w:b w:val="0"/>
                <w:bCs/>
                <w:szCs w:val="32"/>
                <w:vertAlign w:val="subscript"/>
              </w:rPr>
              <w:t>2</w:t>
            </w:r>
            <w:r>
              <w:rPr>
                <w:rFonts w:ascii="Times New Roman" w:hAnsi="Times New Roman" w:cs="Times New Roman"/>
                <w:b w:val="0"/>
                <w:bCs/>
                <w:szCs w:val="32"/>
              </w:rPr>
              <w:t>/m</w:t>
            </w:r>
            <w:r>
              <w:rPr>
                <w:rFonts w:ascii="Times New Roman" w:hAnsi="Times New Roman" w:cs="Times New Roman"/>
                <w:b w:val="0"/>
                <w:bCs/>
                <w:szCs w:val="32"/>
                <w:vertAlign w:val="super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A</m:t>
                  </m:r>
                  <m:ctrlPr>
                    <w:rPr>
                      <w:rFonts w:ascii="Cambria Math" w:hAnsi="Cambria Math" w:cs="Times New Roman"/>
                      <w:b w:val="0"/>
                      <w:bCs/>
                      <w:szCs w:val="32"/>
                    </w:rPr>
                  </m:ctrlPr>
                </m:e>
                <m:sub>
                  <m:r>
                    <m:rPr/>
                    <w:rPr>
                      <w:rFonts w:hint="default" w:ascii="Cambria Math" w:hAnsi="Cambria Math" w:cs="Times New Roman"/>
                      <w:szCs w:val="32"/>
                    </w:rPr>
                    <m:t>b,i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902" w:type="dxa"/>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——第i栋建筑建筑面积（m</w:t>
            </w:r>
            <w:r>
              <w:rPr>
                <w:rFonts w:ascii="Times New Roman" w:hAnsi="Times New Roman" w:cs="Times New Roman"/>
                <w:b w:val="0"/>
                <w:bCs/>
                <w:szCs w:val="32"/>
                <w:vertAlign w:val="superscript"/>
              </w:rPr>
              <w:t>2</w:t>
            </w:r>
            <w:r>
              <w:rPr>
                <w:rFonts w:ascii="Times New Roman" w:hAnsi="Times New Roman" w:cs="Times New Roman"/>
                <w:b w:val="0"/>
                <w:bCs/>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566" w:type="dxa"/>
            <w:vAlign w:val="center"/>
          </w:tcPr>
          <w:p>
            <w:pPr>
              <w:wordWrap w:val="0"/>
              <w:autoSpaceDE w:val="0"/>
              <w:autoSpaceDN w:val="0"/>
              <w:jc w:val="right"/>
              <w:rPr>
                <w:rFonts w:ascii="Times New Roman" w:hAnsi="Times New Roman" w:eastAsia="宋体" w:cs="Times New Roman"/>
                <w:b w:val="0"/>
                <w:bCs/>
                <w:szCs w:val="32"/>
              </w:rPr>
            </w:pPr>
            <m:oMath>
              <m:r>
                <m:rPr>
                  <m:sty m:val="p"/>
                </m:rPr>
                <w:rPr>
                  <w:rFonts w:hint="default" w:ascii="Cambria Math" w:hAnsi="Cambria Math" w:cs="Times New Roman"/>
                  <w:szCs w:val="32"/>
                </w:rPr>
                <m:t>i</m:t>
              </m:r>
            </m:oMath>
            <w:r>
              <w:rPr>
                <w:rFonts w:ascii="Times New Roman" w:hAnsi="Times New Roman" w:cs="Times New Roman"/>
                <w:b w:val="0"/>
                <w:bCs/>
                <w:szCs w:val="32"/>
              </w:rPr>
              <w:t xml:space="preserve"> </w:t>
            </w:r>
          </w:p>
        </w:tc>
        <w:tc>
          <w:tcPr>
            <w:tcW w:w="6902" w:type="dxa"/>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——区域内第i栋建筑。</w:t>
            </w: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C.0.3 区域内市政碳排放应包含废弃物处理、市政给排水系统及市政照明碳排放量，并应按下式计算：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pPr>
              <w:autoSpaceDE w:val="0"/>
              <w:autoSpaceDN w:val="0"/>
              <w:spacing w:line="360" w:lineRule="auto"/>
              <w:rPr>
                <w:rFonts w:ascii="Times New Roman" w:hAnsi="Times New Roman" w:cs="Times New Roman"/>
                <w:b w:val="0"/>
                <w:bCs/>
                <w:i/>
                <w:szCs w:val="32"/>
              </w:rPr>
            </w:pPr>
            <m:oMathPara>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m:t>
                    </m:r>
                    <m:ctrlPr>
                      <w:rPr>
                        <w:rFonts w:ascii="Cambria Math" w:hAnsi="Cambria Math" w:cs="Times New Roman"/>
                        <w:b w:val="0"/>
                        <w:bCs/>
                        <w:szCs w:val="32"/>
                      </w:rPr>
                    </m:ctrlPr>
                  </m:sub>
                </m:sSub>
                <m:r>
                  <m:rPr/>
                  <w:rPr>
                    <w:rFonts w:ascii="Cambria Math" w:hAnsi="Cambria Math" w:cs="Times New Roman"/>
                    <w:szCs w:val="32"/>
                  </w:rPr>
                  <m:t>=</m:t>
                </m:r>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d,m1</m:t>
                    </m:r>
                    <m:ctrlPr>
                      <w:rPr>
                        <w:rFonts w:ascii="Cambria Math" w:hAnsi="Cambria Math" w:cs="Times New Roman"/>
                        <w:b w:val="0"/>
                        <w:bCs/>
                        <w:szCs w:val="32"/>
                      </w:rPr>
                    </m:ctrlPr>
                  </m:sub>
                </m:sSub>
                <m:r>
                  <m:rPr/>
                  <w:rPr>
                    <w:rFonts w:ascii="Cambria Math" w:hAnsi="Cambria Math" w:cs="Times New Roman"/>
                    <w:szCs w:val="32"/>
                  </w:rPr>
                  <m:t>+</m:t>
                </m:r>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d,m2</m:t>
                    </m:r>
                    <m:ctrlPr>
                      <w:rPr>
                        <w:rFonts w:ascii="Cambria Math" w:hAnsi="Cambria Math" w:cs="Times New Roman"/>
                        <w:b w:val="0"/>
                        <w:bCs/>
                        <w:szCs w:val="32"/>
                      </w:rPr>
                    </m:ctrlPr>
                  </m:sub>
                </m:sSub>
                <m:r>
                  <m:rPr/>
                  <w:rPr>
                    <w:rFonts w:ascii="Cambria Math" w:hAnsi="Cambria Math" w:cs="Times New Roman"/>
                    <w:szCs w:val="32"/>
                  </w:rPr>
                  <m:t>+</m:t>
                </m:r>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d,m3</m:t>
                    </m:r>
                    <m:ctrlPr>
                      <w:rPr>
                        <w:rFonts w:ascii="Cambria Math" w:hAnsi="Cambria Math" w:cs="Times New Roman"/>
                        <w:b w:val="0"/>
                        <w:bCs/>
                        <w:szCs w:val="32"/>
                      </w:rPr>
                    </m:ctrlPr>
                  </m:sub>
                </m:sSub>
              </m:oMath>
            </m:oMathPara>
          </w:p>
        </w:tc>
        <w:tc>
          <w:tcPr>
            <w:tcW w:w="799"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d,m1</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——废弃物处理碳排放（tCO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d,m2</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——区域给排水系统碳排放（tCO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d,m3</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——市政照明碳排放（tCO</w:t>
            </w:r>
            <w:r>
              <w:rPr>
                <w:rFonts w:ascii="Times New Roman" w:hAnsi="Times New Roman" w:cs="Times New Roman"/>
                <w:b w:val="0"/>
                <w:bCs/>
                <w:szCs w:val="32"/>
                <w:vertAlign w:val="subscript"/>
              </w:rPr>
              <w:t>2</w:t>
            </w:r>
            <w:r>
              <w:rPr>
                <w:rFonts w:ascii="Times New Roman" w:hAnsi="Times New Roman" w:cs="Times New Roman"/>
                <w:b w:val="0"/>
                <w:bCs/>
                <w:szCs w:val="32"/>
              </w:rPr>
              <w:t>/a）。</w:t>
            </w: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C.0.4 区域内废弃物处理碳排放量应按下式计算：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503" w:type="dxa"/>
            <w:gridSpan w:val="3"/>
            <w:vAlign w:val="center"/>
          </w:tcPr>
          <w:p>
            <w:pPr>
              <w:autoSpaceDE w:val="0"/>
              <w:autoSpaceDN w:val="0"/>
              <w:spacing w:line="360" w:lineRule="auto"/>
              <w:rPr>
                <w:rFonts w:ascii="Times New Roman" w:hAnsi="Times New Roman" w:cs="Times New Roman"/>
                <w:b w:val="0"/>
                <w:bCs/>
                <w:szCs w:val="32"/>
              </w:rPr>
            </w:pPr>
            <m:oMathPara>
              <m:oMath>
                <m:sSub>
                  <m:sSubPr>
                    <m:ctrlPr>
                      <w:rPr>
                        <w:rFonts w:ascii="Cambria Math" w:hAnsi="Cambria Math" w:cs="Times New Roman"/>
                        <w:b w:val="0"/>
                        <w:bCs/>
                        <w:sz w:val="18"/>
                        <w:szCs w:val="24"/>
                      </w:rPr>
                    </m:ctrlPr>
                  </m:sSubPr>
                  <m:e>
                    <m:r>
                      <m:rPr/>
                      <w:rPr>
                        <w:rFonts w:hint="default" w:ascii="Cambria Math" w:hAnsi="Cambria Math" w:cs="Times New Roman"/>
                        <w:sz w:val="18"/>
                        <w:szCs w:val="24"/>
                      </w:rPr>
                      <m:t>C</m:t>
                    </m:r>
                    <m:ctrlPr>
                      <w:rPr>
                        <w:rFonts w:ascii="Cambria Math" w:hAnsi="Cambria Math" w:cs="Times New Roman"/>
                        <w:b w:val="0"/>
                        <w:bCs/>
                        <w:sz w:val="18"/>
                        <w:szCs w:val="24"/>
                      </w:rPr>
                    </m:ctrlPr>
                  </m:e>
                  <m:sub>
                    <m:r>
                      <m:rPr/>
                      <w:rPr>
                        <w:rFonts w:hint="default" w:ascii="Cambria Math" w:hAnsi="Cambria Math" w:cs="Times New Roman"/>
                        <w:sz w:val="18"/>
                        <w:szCs w:val="24"/>
                      </w:rPr>
                      <m:t>d,m1</m:t>
                    </m:r>
                    <m:ctrlPr>
                      <w:rPr>
                        <w:rFonts w:ascii="Cambria Math" w:hAnsi="Cambria Math" w:cs="Times New Roman"/>
                        <w:b w:val="0"/>
                        <w:bCs/>
                        <w:sz w:val="18"/>
                        <w:szCs w:val="24"/>
                      </w:rPr>
                    </m:ctrlPr>
                  </m:sub>
                </m:sSub>
                <m:r>
                  <m:rPr/>
                  <w:rPr>
                    <w:rFonts w:ascii="Cambria Math" w:hAnsi="Cambria Math" w:cs="Times New Roman"/>
                    <w:sz w:val="18"/>
                    <w:szCs w:val="24"/>
                  </w:rPr>
                  <m:t>=</m:t>
                </m:r>
                <m:f>
                  <m:fPr>
                    <m:ctrlPr>
                      <w:rPr>
                        <w:rFonts w:ascii="Cambria Math" w:hAnsi="Cambria Math" w:cs="Times New Roman"/>
                        <w:b w:val="0"/>
                        <w:bCs/>
                        <w:sz w:val="22"/>
                        <w:szCs w:val="36"/>
                      </w:rPr>
                    </m:ctrlPr>
                  </m:fPr>
                  <m:num>
                    <m:nary>
                      <m:naryPr>
                        <m:chr m:val="∑"/>
                        <m:limLoc m:val="undOvr"/>
                        <m:ctrlPr>
                          <w:rPr>
                            <w:rFonts w:ascii="Cambria Math" w:hAnsi="Cambria Math" w:cs="Times New Roman"/>
                            <w:b w:val="0"/>
                            <w:bCs/>
                            <w:sz w:val="22"/>
                            <w:szCs w:val="36"/>
                          </w:rPr>
                        </m:ctrlPr>
                      </m:naryPr>
                      <m:sub>
                        <m:r>
                          <m:rPr/>
                          <w:rPr>
                            <w:rFonts w:hint="default" w:ascii="Cambria Math" w:hAnsi="Cambria Math" w:cs="Times New Roman"/>
                            <w:sz w:val="22"/>
                            <w:szCs w:val="36"/>
                          </w:rPr>
                          <m:t>i</m:t>
                        </m:r>
                        <m:r>
                          <m:rPr>
                            <m:sty m:val="p"/>
                          </m:rPr>
                          <w:rPr>
                            <w:rFonts w:hint="default" w:ascii="Cambria Math" w:hAnsi="Cambria Math" w:cs="Times New Roman"/>
                            <w:sz w:val="22"/>
                            <w:szCs w:val="36"/>
                          </w:rPr>
                          <m:t>=1</m:t>
                        </m:r>
                        <m:ctrlPr>
                          <w:rPr>
                            <w:rFonts w:ascii="Cambria Math" w:hAnsi="Cambria Math" w:cs="Times New Roman"/>
                            <w:b w:val="0"/>
                            <w:bCs/>
                            <w:sz w:val="22"/>
                            <w:szCs w:val="36"/>
                          </w:rPr>
                        </m:ctrlPr>
                      </m:sub>
                      <m:sup>
                        <m:r>
                          <m:rPr/>
                          <w:rPr>
                            <w:rFonts w:hint="default" w:ascii="Cambria Math" w:hAnsi="Cambria Math" w:cs="Times New Roman"/>
                            <w:sz w:val="22"/>
                            <w:szCs w:val="36"/>
                          </w:rPr>
                          <m:t>n</m:t>
                        </m:r>
                        <m:ctrlPr>
                          <w:rPr>
                            <w:rFonts w:ascii="Cambria Math" w:hAnsi="Cambria Math" w:cs="Times New Roman"/>
                            <w:b w:val="0"/>
                            <w:bCs/>
                            <w:sz w:val="22"/>
                            <w:szCs w:val="36"/>
                          </w:rPr>
                        </m:ctrlPr>
                      </m:sup>
                      <m:e>
                        <m:r>
                          <m:rPr>
                            <m:sty m:val="p"/>
                          </m:rPr>
                          <w:rPr>
                            <w:rFonts w:ascii="Cambria Math" w:hAnsi="Cambria Math" w:cs="Times New Roman"/>
                            <w:sz w:val="22"/>
                            <w:szCs w:val="36"/>
                          </w:rPr>
                          <m:t>(</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Wa</m:t>
                            </m:r>
                            <m:ctrlPr>
                              <w:rPr>
                                <w:rFonts w:ascii="Cambria Math" w:hAnsi="Cambria Math" w:cs="Times New Roman"/>
                                <w:b w:val="0"/>
                                <w:bCs/>
                                <w:sz w:val="22"/>
                                <w:szCs w:val="36"/>
                              </w:rPr>
                            </m:ctrlPr>
                          </m:e>
                          <m:sub>
                            <m:r>
                              <m:rPr/>
                              <w:rPr>
                                <w:rFonts w:hint="default" w:ascii="Cambria Math" w:hAnsi="Cambria Math" w:cs="Times New Roman"/>
                                <w:sz w:val="22"/>
                                <w:szCs w:val="36"/>
                              </w:rPr>
                              <m:t>i</m:t>
                            </m:r>
                            <m:ctrlPr>
                              <w:rPr>
                                <w:rFonts w:ascii="Cambria Math" w:hAnsi="Cambria Math" w:cs="Times New Roman"/>
                                <w:b w:val="0"/>
                                <w:bCs/>
                                <w:sz w:val="22"/>
                                <w:szCs w:val="36"/>
                              </w:rPr>
                            </m:ctrlPr>
                          </m:sub>
                        </m:sSub>
                        <m:ctrlPr>
                          <w:rPr>
                            <w:rFonts w:ascii="Cambria Math" w:hAnsi="Cambria Math" w:cs="Times New Roman"/>
                            <w:b w:val="0"/>
                            <w:bCs/>
                            <w:sz w:val="22"/>
                            <w:szCs w:val="36"/>
                          </w:rPr>
                        </m:ctrlPr>
                      </m:e>
                    </m:nary>
                    <m:r>
                      <m:rPr>
                        <m:sty m:val="p"/>
                      </m:rPr>
                      <w:rPr>
                        <w:rFonts w:ascii="Cambria Math" w:hAnsi="Cambria Math" w:cs="Times New Roman"/>
                        <w:sz w:val="22"/>
                        <w:szCs w:val="36"/>
                      </w:rPr>
                      <m:t>×</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P</m:t>
                        </m:r>
                        <m:ctrlPr>
                          <w:rPr>
                            <w:rFonts w:ascii="Cambria Math" w:hAnsi="Cambria Math" w:cs="Times New Roman"/>
                            <w:b w:val="0"/>
                            <w:bCs/>
                            <w:sz w:val="22"/>
                            <w:szCs w:val="36"/>
                          </w:rPr>
                        </m:ctrlPr>
                      </m:e>
                      <m:sub>
                        <m:r>
                          <m:rPr/>
                          <w:rPr>
                            <w:rFonts w:hint="default" w:ascii="Cambria Math" w:hAnsi="Cambria Math" w:cs="Times New Roman"/>
                            <w:sz w:val="22"/>
                            <w:szCs w:val="36"/>
                          </w:rPr>
                          <m:t>i</m:t>
                        </m:r>
                        <m:ctrlPr>
                          <w:rPr>
                            <w:rFonts w:ascii="Cambria Math" w:hAnsi="Cambria Math" w:cs="Times New Roman"/>
                            <w:b w:val="0"/>
                            <w:bCs/>
                            <w:sz w:val="22"/>
                            <w:szCs w:val="36"/>
                          </w:rPr>
                        </m:ctrlPr>
                      </m:sub>
                    </m:sSub>
                    <m:r>
                      <m:rPr>
                        <m:sty m:val="p"/>
                      </m:rPr>
                      <w:rPr>
                        <w:rFonts w:ascii="Cambria Math" w:hAnsi="Cambria Math" w:cs="Times New Roman"/>
                        <w:sz w:val="22"/>
                        <w:szCs w:val="36"/>
                      </w:rPr>
                      <m:t>)×</m:t>
                    </m:r>
                    <m:r>
                      <m:rPr/>
                      <w:rPr>
                        <w:rFonts w:hint="default" w:ascii="Cambria Math" w:hAnsi="Cambria Math" w:cs="Times New Roman"/>
                        <w:sz w:val="22"/>
                        <w:szCs w:val="36"/>
                      </w:rPr>
                      <m:t>E</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F</m:t>
                        </m:r>
                        <m:ctrlPr>
                          <w:rPr>
                            <w:rFonts w:ascii="Cambria Math" w:hAnsi="Cambria Math" w:cs="Times New Roman"/>
                            <w:b w:val="0"/>
                            <w:bCs/>
                            <w:sz w:val="22"/>
                            <w:szCs w:val="36"/>
                          </w:rPr>
                        </m:ctrlPr>
                      </m:e>
                      <m:sub>
                        <m:r>
                          <m:rPr/>
                          <w:rPr>
                            <w:rFonts w:hint="default" w:ascii="Cambria Math" w:hAnsi="Cambria Math" w:cs="Times New Roman"/>
                            <w:sz w:val="22"/>
                            <w:szCs w:val="36"/>
                          </w:rPr>
                          <m:t>wa</m:t>
                        </m:r>
                        <m:ctrlPr>
                          <w:rPr>
                            <w:rFonts w:ascii="Cambria Math" w:hAnsi="Cambria Math" w:cs="Times New Roman"/>
                            <w:b w:val="0"/>
                            <w:bCs/>
                            <w:sz w:val="22"/>
                            <w:szCs w:val="36"/>
                          </w:rPr>
                        </m:ctrlPr>
                      </m:sub>
                    </m:sSub>
                    <m:r>
                      <m:rPr>
                        <m:sty m:val="p"/>
                      </m:rPr>
                      <w:rPr>
                        <w:rFonts w:hint="default" w:ascii="Cambria Math" w:hAnsi="Cambria Math" w:cs="Times New Roman"/>
                        <w:sz w:val="22"/>
                        <w:szCs w:val="36"/>
                      </w:rPr>
                      <m:t>×365</m:t>
                    </m:r>
                    <m:ctrlPr>
                      <w:rPr>
                        <w:rFonts w:ascii="Cambria Math" w:hAnsi="Cambria Math" w:cs="Times New Roman"/>
                        <w:b w:val="0"/>
                        <w:bCs/>
                        <w:sz w:val="22"/>
                        <w:szCs w:val="36"/>
                      </w:rPr>
                    </m:ctrlPr>
                  </m:num>
                  <m:den>
                    <m:r>
                      <m:rPr>
                        <m:sty m:val="p"/>
                      </m:rPr>
                      <w:rPr>
                        <w:rFonts w:hint="default" w:ascii="Cambria Math" w:hAnsi="Cambria Math" w:cs="Times New Roman"/>
                        <w:sz w:val="22"/>
                        <w:szCs w:val="36"/>
                      </w:rPr>
                      <m:t>1000</m:t>
                    </m:r>
                    <m:ctrlPr>
                      <w:rPr>
                        <w:rFonts w:ascii="Cambria Math" w:hAnsi="Cambria Math" w:cs="Times New Roman"/>
                        <w:b w:val="0"/>
                        <w:bCs/>
                        <w:sz w:val="22"/>
                        <w:szCs w:val="36"/>
                      </w:rPr>
                    </m:ctrlPr>
                  </m:den>
                </m:f>
              </m:oMath>
            </m:oMathPara>
          </w:p>
        </w:tc>
        <w:tc>
          <w:tcPr>
            <w:tcW w:w="799"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Wa</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——第</w:t>
            </w:r>
            <m:oMath>
              <m:r>
                <m:rPr/>
                <w:rPr>
                  <w:rFonts w:hint="default" w:ascii="Cambria Math" w:hAnsi="Cambria Math" w:cs="Times New Roman"/>
                  <w:szCs w:val="32"/>
                </w:rPr>
                <m:t>i</m:t>
              </m:r>
            </m:oMath>
            <w:r>
              <w:rPr>
                <w:rFonts w:ascii="Times New Roman" w:hAnsi="Times New Roman" w:cs="Times New Roman"/>
                <w:b w:val="0"/>
                <w:bCs/>
                <w:szCs w:val="32"/>
              </w:rPr>
              <w:t>类建筑日人均废弃物处理量（kg/(人</w:t>
            </w:r>
            <w:r>
              <w:rPr>
                <w:rFonts w:ascii="Times New Roman" w:hAnsi="Times New Roman" w:cs="Times New Roman"/>
                <w:b w:val="0"/>
                <w:bCs/>
                <w:szCs w:val="32"/>
              </w:rPr>
              <w:sym w:font="Wingdings" w:char="F09E"/>
            </w:r>
            <w:r>
              <w:rPr>
                <w:rFonts w:ascii="Times New Roman" w:hAnsi="Times New Roman" w:cs="Times New Roman"/>
                <w:b w:val="0"/>
                <w:bCs/>
                <w:szCs w:val="32"/>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P</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——区域内第</w:t>
            </w:r>
            <m:oMath>
              <m:r>
                <m:rPr/>
                <w:rPr>
                  <w:rFonts w:hint="default" w:ascii="Cambria Math" w:hAnsi="Cambria Math" w:cs="Times New Roman"/>
                  <w:szCs w:val="32"/>
                </w:rPr>
                <m:t>i</m:t>
              </m:r>
            </m:oMath>
            <w:r>
              <w:rPr>
                <w:rFonts w:ascii="Times New Roman" w:hAnsi="Times New Roman" w:cs="Times New Roman"/>
                <w:b w:val="0"/>
                <w:bCs/>
                <w:szCs w:val="32"/>
              </w:rPr>
              <w:t>类建筑总人数（人）；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EF</m:t>
                  </m:r>
                  <m:ctrlPr>
                    <w:rPr>
                      <w:rFonts w:ascii="Cambria Math" w:hAnsi="Cambria Math" w:cs="Times New Roman"/>
                      <w:b w:val="0"/>
                      <w:bCs/>
                      <w:szCs w:val="32"/>
                    </w:rPr>
                  </m:ctrlPr>
                </m:e>
                <m:sub>
                  <m:r>
                    <m:rPr/>
                    <w:rPr>
                      <w:rFonts w:hint="default" w:ascii="Cambria Math" w:hAnsi="Cambria Math" w:cs="Times New Roman"/>
                      <w:szCs w:val="32"/>
                    </w:rPr>
                    <m:t>wa</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——废弃物处理碳排放因子（kgCO</w:t>
            </w:r>
            <w:r>
              <w:rPr>
                <w:rFonts w:ascii="Times New Roman" w:hAnsi="Times New Roman" w:cs="Times New Roman"/>
                <w:b w:val="0"/>
                <w:bCs/>
                <w:szCs w:val="32"/>
                <w:vertAlign w:val="subscript"/>
              </w:rPr>
              <w:t>2</w:t>
            </w:r>
            <w:r>
              <w:rPr>
                <w:rFonts w:ascii="Times New Roman" w:hAnsi="Times New Roman" w:cs="Times New Roman"/>
                <w:b w:val="0"/>
                <w:bCs/>
                <w:szCs w:val="32"/>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eastAsia="宋体" w:cs="Times New Roman"/>
                <w:b w:val="0"/>
                <w:bCs/>
                <w:szCs w:val="32"/>
              </w:rPr>
            </w:pPr>
            <m:oMath>
              <m:r>
                <m:rPr/>
                <w:rPr>
                  <w:rFonts w:hint="default" w:ascii="Cambria Math" w:hAnsi="Cambria Math" w:cs="Times New Roman"/>
                  <w:szCs w:val="32"/>
                </w:rPr>
                <m:t>i</m:t>
              </m:r>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——区域内建筑功能分类。</w:t>
            </w: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C.0.5 区域内给排水系统碳排放量应按下式计算：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pPr>
              <w:autoSpaceDE w:val="0"/>
              <w:autoSpaceDN w:val="0"/>
              <w:spacing w:line="360" w:lineRule="auto"/>
              <w:rPr>
                <w:rFonts w:ascii="Times New Roman" w:hAnsi="Times New Roman" w:cs="Times New Roman"/>
                <w:b w:val="0"/>
                <w:bCs/>
                <w:szCs w:val="32"/>
              </w:rPr>
            </w:pPr>
            <m:oMathPara>
              <m:oMath>
                <m:sSub>
                  <m:sSubPr>
                    <m:ctrlPr>
                      <w:rPr>
                        <w:rFonts w:ascii="Cambria Math" w:hAnsi="Cambria Math" w:cs="Times New Roman"/>
                        <w:b w:val="0"/>
                        <w:bCs/>
                        <w:sz w:val="18"/>
                        <w:szCs w:val="24"/>
                      </w:rPr>
                    </m:ctrlPr>
                  </m:sSubPr>
                  <m:e>
                    <m:r>
                      <m:rPr/>
                      <w:rPr>
                        <w:rFonts w:hint="default" w:ascii="Cambria Math" w:hAnsi="Cambria Math" w:cs="Times New Roman"/>
                        <w:sz w:val="18"/>
                        <w:szCs w:val="24"/>
                      </w:rPr>
                      <m:t>C</m:t>
                    </m:r>
                    <m:ctrlPr>
                      <w:rPr>
                        <w:rFonts w:ascii="Cambria Math" w:hAnsi="Cambria Math" w:cs="Times New Roman"/>
                        <w:b w:val="0"/>
                        <w:bCs/>
                        <w:sz w:val="18"/>
                        <w:szCs w:val="24"/>
                      </w:rPr>
                    </m:ctrlPr>
                  </m:e>
                  <m:sub>
                    <m:r>
                      <m:rPr/>
                      <w:rPr>
                        <w:rFonts w:hint="default" w:ascii="Cambria Math" w:hAnsi="Cambria Math" w:cs="Times New Roman"/>
                        <w:sz w:val="18"/>
                        <w:szCs w:val="24"/>
                      </w:rPr>
                      <m:t>d,m2</m:t>
                    </m:r>
                    <m:ctrlPr>
                      <w:rPr>
                        <w:rFonts w:ascii="Cambria Math" w:hAnsi="Cambria Math" w:cs="Times New Roman"/>
                        <w:b w:val="0"/>
                        <w:bCs/>
                        <w:sz w:val="18"/>
                        <w:szCs w:val="24"/>
                      </w:rPr>
                    </m:ctrlPr>
                  </m:sub>
                </m:sSub>
                <m:r>
                  <m:rPr/>
                  <w:rPr>
                    <w:rFonts w:ascii="Cambria Math" w:hAnsi="Cambria Math" w:cs="Times New Roman"/>
                    <w:sz w:val="18"/>
                    <w:szCs w:val="24"/>
                  </w:rPr>
                  <m:t>=</m:t>
                </m:r>
                <m:f>
                  <m:fPr>
                    <m:ctrlPr>
                      <w:rPr>
                        <w:rFonts w:ascii="Cambria Math" w:hAnsi="Cambria Math" w:cs="Times New Roman"/>
                        <w:b w:val="0"/>
                        <w:bCs/>
                        <w:sz w:val="22"/>
                        <w:szCs w:val="36"/>
                      </w:rPr>
                    </m:ctrlPr>
                  </m:fPr>
                  <m:num>
                    <m:nary>
                      <m:naryPr>
                        <m:chr m:val="∑"/>
                        <m:limLoc m:val="undOvr"/>
                        <m:ctrlPr>
                          <w:rPr>
                            <w:rFonts w:ascii="Cambria Math" w:hAnsi="Cambria Math" w:cs="Times New Roman"/>
                            <w:b w:val="0"/>
                            <w:bCs/>
                            <w:sz w:val="22"/>
                            <w:szCs w:val="36"/>
                          </w:rPr>
                        </m:ctrlPr>
                      </m:naryPr>
                      <m:sub>
                        <m:r>
                          <m:rPr/>
                          <w:rPr>
                            <w:rFonts w:hint="default" w:ascii="Cambria Math" w:hAnsi="Cambria Math" w:cs="Times New Roman"/>
                            <w:sz w:val="22"/>
                            <w:szCs w:val="36"/>
                          </w:rPr>
                          <m:t>i</m:t>
                        </m:r>
                        <m:r>
                          <m:rPr>
                            <m:sty m:val="p"/>
                          </m:rPr>
                          <w:rPr>
                            <w:rFonts w:hint="default" w:ascii="Cambria Math" w:hAnsi="Cambria Math" w:cs="Times New Roman"/>
                            <w:sz w:val="22"/>
                            <w:szCs w:val="36"/>
                          </w:rPr>
                          <m:t>=1</m:t>
                        </m:r>
                        <m:ctrlPr>
                          <w:rPr>
                            <w:rFonts w:ascii="Cambria Math" w:hAnsi="Cambria Math" w:cs="Times New Roman"/>
                            <w:b w:val="0"/>
                            <w:bCs/>
                            <w:sz w:val="22"/>
                            <w:szCs w:val="36"/>
                          </w:rPr>
                        </m:ctrlPr>
                      </m:sub>
                      <m:sup>
                        <m:r>
                          <m:rPr/>
                          <w:rPr>
                            <w:rFonts w:hint="default" w:ascii="Cambria Math" w:hAnsi="Cambria Math" w:cs="Times New Roman"/>
                            <w:sz w:val="22"/>
                            <w:szCs w:val="36"/>
                          </w:rPr>
                          <m:t>n</m:t>
                        </m:r>
                        <m:ctrlPr>
                          <w:rPr>
                            <w:rFonts w:ascii="Cambria Math" w:hAnsi="Cambria Math" w:cs="Times New Roman"/>
                            <w:b w:val="0"/>
                            <w:bCs/>
                            <w:sz w:val="22"/>
                            <w:szCs w:val="36"/>
                          </w:rPr>
                        </m:ctrlPr>
                      </m:sup>
                      <m:e>
                        <m:sSub>
                          <m:sSubPr>
                            <m:ctrlPr>
                              <w:rPr>
                                <w:rFonts w:ascii="Cambria Math" w:hAnsi="Cambria Math" w:cs="Times New Roman"/>
                                <w:b w:val="0"/>
                                <w:bCs/>
                                <w:sz w:val="22"/>
                                <w:szCs w:val="36"/>
                              </w:rPr>
                            </m:ctrlPr>
                          </m:sSubPr>
                          <m:e>
                            <m:r>
                              <m:rPr/>
                              <w:rPr>
                                <w:rFonts w:hint="default" w:ascii="Cambria Math" w:hAnsi="Cambria Math" w:cs="Times New Roman"/>
                                <w:sz w:val="22"/>
                                <w:szCs w:val="36"/>
                              </w:rPr>
                              <m:t>W</m:t>
                            </m:r>
                            <m:ctrlPr>
                              <w:rPr>
                                <w:rFonts w:ascii="Cambria Math" w:hAnsi="Cambria Math" w:cs="Times New Roman"/>
                                <w:b w:val="0"/>
                                <w:bCs/>
                                <w:sz w:val="22"/>
                                <w:szCs w:val="36"/>
                              </w:rPr>
                            </m:ctrlPr>
                          </m:e>
                          <m:sub>
                            <m:r>
                              <m:rPr/>
                              <w:rPr>
                                <w:rFonts w:hint="default" w:ascii="Cambria Math" w:hAnsi="Cambria Math" w:cs="Times New Roman"/>
                                <w:sz w:val="22"/>
                                <w:szCs w:val="36"/>
                              </w:rPr>
                              <m:t>i</m:t>
                            </m:r>
                            <m:ctrlPr>
                              <w:rPr>
                                <w:rFonts w:ascii="Cambria Math" w:hAnsi="Cambria Math" w:cs="Times New Roman"/>
                                <w:b w:val="0"/>
                                <w:bCs/>
                                <w:sz w:val="22"/>
                                <w:szCs w:val="36"/>
                              </w:rPr>
                            </m:ctrlPr>
                          </m:sub>
                        </m:sSub>
                        <m:ctrlPr>
                          <w:rPr>
                            <w:rFonts w:ascii="Cambria Math" w:hAnsi="Cambria Math" w:cs="Times New Roman"/>
                            <w:b w:val="0"/>
                            <w:bCs/>
                            <w:sz w:val="22"/>
                            <w:szCs w:val="36"/>
                          </w:rPr>
                        </m:ctrlPr>
                      </m:e>
                    </m:nary>
                    <m:r>
                      <m:rPr>
                        <m:sty m:val="p"/>
                      </m:rPr>
                      <w:rPr>
                        <w:rFonts w:ascii="Cambria Math" w:hAnsi="Cambria Math" w:cs="Times New Roman"/>
                        <w:sz w:val="22"/>
                        <w:szCs w:val="36"/>
                      </w:rPr>
                      <m:t>×</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P</m:t>
                        </m:r>
                        <m:ctrlPr>
                          <w:rPr>
                            <w:rFonts w:ascii="Cambria Math" w:hAnsi="Cambria Math" w:cs="Times New Roman"/>
                            <w:b w:val="0"/>
                            <w:bCs/>
                            <w:sz w:val="22"/>
                            <w:szCs w:val="36"/>
                          </w:rPr>
                        </m:ctrlPr>
                      </m:e>
                      <m:sub>
                        <m:r>
                          <m:rPr/>
                          <w:rPr>
                            <w:rFonts w:hint="default" w:ascii="Cambria Math" w:hAnsi="Cambria Math" w:cs="Times New Roman"/>
                            <w:sz w:val="22"/>
                            <w:szCs w:val="36"/>
                          </w:rPr>
                          <m:t>i</m:t>
                        </m:r>
                        <m:ctrlPr>
                          <w:rPr>
                            <w:rFonts w:ascii="Cambria Math" w:hAnsi="Cambria Math" w:cs="Times New Roman"/>
                            <w:b w:val="0"/>
                            <w:bCs/>
                            <w:sz w:val="22"/>
                            <w:szCs w:val="36"/>
                          </w:rPr>
                        </m:ctrlPr>
                      </m:sub>
                    </m:sSub>
                    <m:r>
                      <m:rPr>
                        <m:sty m:val="p"/>
                      </m:rPr>
                      <w:rPr>
                        <w:rFonts w:ascii="Cambria Math" w:hAnsi="Cambria Math" w:cs="Times New Roman"/>
                        <w:sz w:val="22"/>
                        <w:szCs w:val="36"/>
                      </w:rPr>
                      <m:t>×</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EF</m:t>
                        </m:r>
                        <m:ctrlPr>
                          <w:rPr>
                            <w:rFonts w:ascii="Cambria Math" w:hAnsi="Cambria Math" w:cs="Times New Roman"/>
                            <w:b w:val="0"/>
                            <w:bCs/>
                            <w:sz w:val="22"/>
                            <w:szCs w:val="36"/>
                          </w:rPr>
                        </m:ctrlPr>
                      </m:e>
                      <m:sub>
                        <m:r>
                          <m:rPr/>
                          <w:rPr>
                            <w:rFonts w:hint="default" w:ascii="Cambria Math" w:hAnsi="Cambria Math" w:cs="Times New Roman"/>
                            <w:sz w:val="22"/>
                            <w:szCs w:val="36"/>
                          </w:rPr>
                          <m:t>w</m:t>
                        </m:r>
                        <m:ctrlPr>
                          <w:rPr>
                            <w:rFonts w:ascii="Cambria Math" w:hAnsi="Cambria Math" w:cs="Times New Roman"/>
                            <w:b w:val="0"/>
                            <w:bCs/>
                            <w:sz w:val="22"/>
                            <w:szCs w:val="36"/>
                          </w:rPr>
                        </m:ctrlPr>
                      </m:sub>
                    </m:sSub>
                    <m:r>
                      <m:rPr>
                        <m:sty m:val="p"/>
                      </m:rPr>
                      <w:rPr>
                        <w:rFonts w:hint="default" w:ascii="Cambria Math" w:hAnsi="Cambria Math" w:cs="Times New Roman"/>
                        <w:sz w:val="22"/>
                        <w:szCs w:val="36"/>
                      </w:rPr>
                      <m:t>×365</m:t>
                    </m:r>
                    <m:ctrlPr>
                      <w:rPr>
                        <w:rFonts w:ascii="Cambria Math" w:hAnsi="Cambria Math" w:cs="Times New Roman"/>
                        <w:b w:val="0"/>
                        <w:bCs/>
                        <w:sz w:val="22"/>
                        <w:szCs w:val="36"/>
                      </w:rPr>
                    </m:ctrlPr>
                  </m:num>
                  <m:den>
                    <m:r>
                      <m:rPr>
                        <m:sty m:val="p"/>
                      </m:rPr>
                      <w:rPr>
                        <w:rFonts w:hint="default" w:ascii="Cambria Math" w:hAnsi="Cambria Math" w:cs="Times New Roman"/>
                        <w:sz w:val="22"/>
                        <w:szCs w:val="36"/>
                      </w:rPr>
                      <m:t>1000</m:t>
                    </m:r>
                    <m:ctrlPr>
                      <w:rPr>
                        <w:rFonts w:ascii="Cambria Math" w:hAnsi="Cambria Math" w:cs="Times New Roman"/>
                        <w:b w:val="0"/>
                        <w:bCs/>
                        <w:sz w:val="22"/>
                        <w:szCs w:val="36"/>
                      </w:rPr>
                    </m:ctrlPr>
                  </m:den>
                </m:f>
              </m:oMath>
            </m:oMathPara>
          </w:p>
        </w:tc>
        <w:tc>
          <w:tcPr>
            <w:tcW w:w="799"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W</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——第</w:t>
            </w:r>
            <m:oMath>
              <m:r>
                <m:rPr/>
                <w:rPr>
                  <w:rFonts w:hint="default" w:ascii="Cambria Math" w:hAnsi="Cambria Math" w:cs="Times New Roman"/>
                  <w:szCs w:val="32"/>
                </w:rPr>
                <m:t>i</m:t>
              </m:r>
            </m:oMath>
            <w:r>
              <w:rPr>
                <w:rFonts w:ascii="Times New Roman" w:hAnsi="Times New Roman" w:cs="Times New Roman"/>
                <w:b w:val="0"/>
                <w:bCs/>
                <w:szCs w:val="32"/>
              </w:rPr>
              <w:t>类建筑日用水量（m</w:t>
            </w:r>
            <w:r>
              <w:rPr>
                <w:rFonts w:ascii="Times New Roman" w:hAnsi="Times New Roman" w:cs="Times New Roman"/>
                <w:b w:val="0"/>
                <w:bCs/>
                <w:szCs w:val="32"/>
                <w:vertAlign w:val="superscript"/>
              </w:rPr>
              <w:t>3</w:t>
            </w:r>
            <w:r>
              <w:rPr>
                <w:rFonts w:ascii="Times New Roman" w:hAnsi="Times New Roman" w:cs="Times New Roman"/>
                <w:b w:val="0"/>
                <w:bCs/>
                <w:szCs w:val="32"/>
              </w:rPr>
              <w:t>/人d）；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P</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——区域内第</w:t>
            </w:r>
            <m:oMath>
              <m:r>
                <m:rPr/>
                <w:rPr>
                  <w:rFonts w:hint="default" w:ascii="Cambria Math" w:hAnsi="Cambria Math" w:cs="Times New Roman"/>
                  <w:szCs w:val="32"/>
                </w:rPr>
                <m:t>i</m:t>
              </m:r>
            </m:oMath>
            <w:r>
              <w:rPr>
                <w:rFonts w:ascii="Times New Roman" w:hAnsi="Times New Roman" w:cs="Times New Roman"/>
                <w:b w:val="0"/>
                <w:bCs/>
                <w:szCs w:val="32"/>
              </w:rPr>
              <w:t>类建筑总人数（人）；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EF</m:t>
                  </m:r>
                  <m:ctrlPr>
                    <w:rPr>
                      <w:rFonts w:ascii="Cambria Math" w:hAnsi="Cambria Math" w:cs="Times New Roman"/>
                      <w:b w:val="0"/>
                      <w:bCs/>
                      <w:szCs w:val="32"/>
                    </w:rPr>
                  </m:ctrlPr>
                </m:e>
                <m:sub>
                  <m:r>
                    <m:rPr/>
                    <w:rPr>
                      <w:rFonts w:hint="default" w:ascii="Cambria Math" w:hAnsi="Cambria Math" w:cs="Times New Roman"/>
                      <w:szCs w:val="32"/>
                    </w:rPr>
                    <m:t>w</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——单位市政供水、污水处理碳排放因子（kgCO</w:t>
            </w:r>
            <w:r>
              <w:rPr>
                <w:rFonts w:ascii="Times New Roman" w:hAnsi="Times New Roman" w:cs="Times New Roman"/>
                <w:b w:val="0"/>
                <w:bCs/>
                <w:szCs w:val="32"/>
                <w:vertAlign w:val="subscript"/>
              </w:rPr>
              <w:t>2</w:t>
            </w:r>
            <w:r>
              <w:rPr>
                <w:rFonts w:ascii="Times New Roman" w:hAnsi="Times New Roman" w:cs="Times New Roman"/>
                <w:b w:val="0"/>
                <w:bCs/>
                <w:szCs w:val="32"/>
              </w:rPr>
              <w:t>/m</w:t>
            </w:r>
            <w:r>
              <w:rPr>
                <w:rFonts w:ascii="Times New Roman" w:hAnsi="Times New Roman" w:cs="Times New Roman"/>
                <w:b w:val="0"/>
                <w:bCs/>
                <w:szCs w:val="32"/>
                <w:vertAlign w:val="superscript"/>
              </w:rPr>
              <w:t>3</w:t>
            </w:r>
            <w:r>
              <w:rPr>
                <w:rFonts w:ascii="Times New Roman" w:hAnsi="Times New Roman" w:cs="Times New Roman"/>
                <w:b w:val="0"/>
                <w:bCs/>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eastAsia="宋体" w:cs="Times New Roman"/>
                <w:b w:val="0"/>
                <w:bCs/>
                <w:szCs w:val="32"/>
              </w:rPr>
            </w:pPr>
            <m:oMath>
              <m:r>
                <m:rPr/>
                <w:rPr>
                  <w:rFonts w:hint="default" w:ascii="Cambria Math" w:hAnsi="Cambria Math" w:cs="Times New Roman"/>
                  <w:szCs w:val="32"/>
                </w:rPr>
                <m:t>i</m:t>
              </m:r>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——区域内建筑功能分类。</w:t>
            </w: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C.0.6 区域内市政照明碳排放量应按下式计算：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pPr>
              <w:autoSpaceDE w:val="0"/>
              <w:autoSpaceDN w:val="0"/>
              <w:spacing w:line="360" w:lineRule="auto"/>
              <w:rPr>
                <w:rFonts w:ascii="Times New Roman" w:hAnsi="Times New Roman" w:cs="Times New Roman"/>
                <w:b w:val="0"/>
                <w:bCs/>
                <w:szCs w:val="32"/>
              </w:rPr>
            </w:pPr>
            <m:oMathPara>
              <m:oMath>
                <m:sSub>
                  <m:sSubPr>
                    <m:ctrlPr>
                      <w:rPr>
                        <w:rFonts w:ascii="Cambria Math" w:hAnsi="Cambria Math" w:cs="Times New Roman"/>
                        <w:b w:val="0"/>
                        <w:bCs/>
                        <w:sz w:val="18"/>
                        <w:szCs w:val="24"/>
                      </w:rPr>
                    </m:ctrlPr>
                  </m:sSubPr>
                  <m:e>
                    <m:r>
                      <m:rPr/>
                      <w:rPr>
                        <w:rFonts w:hint="default" w:ascii="Cambria Math" w:hAnsi="Cambria Math" w:cs="Times New Roman"/>
                        <w:sz w:val="18"/>
                        <w:szCs w:val="24"/>
                      </w:rPr>
                      <m:t>C</m:t>
                    </m:r>
                    <m:ctrlPr>
                      <w:rPr>
                        <w:rFonts w:ascii="Cambria Math" w:hAnsi="Cambria Math" w:cs="Times New Roman"/>
                        <w:b w:val="0"/>
                        <w:bCs/>
                        <w:sz w:val="18"/>
                        <w:szCs w:val="24"/>
                      </w:rPr>
                    </m:ctrlPr>
                  </m:e>
                  <m:sub>
                    <m:r>
                      <m:rPr/>
                      <w:rPr>
                        <w:rFonts w:hint="default" w:ascii="Cambria Math" w:hAnsi="Cambria Math" w:cs="Times New Roman"/>
                        <w:sz w:val="18"/>
                        <w:szCs w:val="24"/>
                      </w:rPr>
                      <m:t>d,m3</m:t>
                    </m:r>
                    <m:ctrlPr>
                      <w:rPr>
                        <w:rFonts w:ascii="Cambria Math" w:hAnsi="Cambria Math" w:cs="Times New Roman"/>
                        <w:b w:val="0"/>
                        <w:bCs/>
                        <w:sz w:val="18"/>
                        <w:szCs w:val="24"/>
                      </w:rPr>
                    </m:ctrlPr>
                  </m:sub>
                </m:sSub>
                <m:r>
                  <m:rPr/>
                  <w:rPr>
                    <w:rFonts w:ascii="Cambria Math" w:hAnsi="Cambria Math" w:cs="Times New Roman"/>
                    <w:sz w:val="18"/>
                    <w:szCs w:val="24"/>
                  </w:rPr>
                  <m:t>=</m:t>
                </m:r>
                <m:f>
                  <m:fPr>
                    <m:ctrlPr>
                      <w:rPr>
                        <w:rFonts w:ascii="Cambria Math" w:hAnsi="Cambria Math" w:cs="Times New Roman"/>
                        <w:b w:val="0"/>
                        <w:bCs/>
                        <w:sz w:val="22"/>
                        <w:szCs w:val="36"/>
                      </w:rPr>
                    </m:ctrlPr>
                  </m:fPr>
                  <m:num>
                    <m:nary>
                      <m:naryPr>
                        <m:chr m:val="∑"/>
                        <m:limLoc m:val="undOvr"/>
                        <m:ctrlPr>
                          <w:rPr>
                            <w:rFonts w:ascii="Cambria Math" w:hAnsi="Cambria Math" w:cs="Times New Roman"/>
                            <w:b w:val="0"/>
                            <w:bCs/>
                            <w:sz w:val="22"/>
                            <w:szCs w:val="36"/>
                          </w:rPr>
                        </m:ctrlPr>
                      </m:naryPr>
                      <m:sub>
                        <m:r>
                          <m:rPr/>
                          <w:rPr>
                            <w:rFonts w:hint="default" w:ascii="Cambria Math" w:hAnsi="Cambria Math" w:cs="Times New Roman"/>
                            <w:sz w:val="22"/>
                            <w:szCs w:val="36"/>
                          </w:rPr>
                          <m:t>i</m:t>
                        </m:r>
                        <m:r>
                          <m:rPr>
                            <m:sty m:val="p"/>
                          </m:rPr>
                          <w:rPr>
                            <w:rFonts w:hint="default" w:ascii="Cambria Math" w:hAnsi="Cambria Math" w:cs="Times New Roman"/>
                            <w:sz w:val="22"/>
                            <w:szCs w:val="36"/>
                          </w:rPr>
                          <m:t>=1</m:t>
                        </m:r>
                        <m:ctrlPr>
                          <w:rPr>
                            <w:rFonts w:ascii="Cambria Math" w:hAnsi="Cambria Math" w:cs="Times New Roman"/>
                            <w:b w:val="0"/>
                            <w:bCs/>
                            <w:sz w:val="22"/>
                            <w:szCs w:val="36"/>
                          </w:rPr>
                        </m:ctrlPr>
                      </m:sub>
                      <m:sup>
                        <m:r>
                          <m:rPr/>
                          <w:rPr>
                            <w:rFonts w:hint="default" w:ascii="Cambria Math" w:hAnsi="Cambria Math" w:cs="Times New Roman"/>
                            <w:sz w:val="22"/>
                            <w:szCs w:val="36"/>
                          </w:rPr>
                          <m:t>n</m:t>
                        </m:r>
                        <m:ctrlPr>
                          <w:rPr>
                            <w:rFonts w:ascii="Cambria Math" w:hAnsi="Cambria Math" w:cs="Times New Roman"/>
                            <w:b w:val="0"/>
                            <w:bCs/>
                            <w:sz w:val="22"/>
                            <w:szCs w:val="36"/>
                          </w:rPr>
                        </m:ctrlPr>
                      </m:sup>
                      <m:e>
                        <m:r>
                          <m:rPr>
                            <m:sty m:val="p"/>
                          </m:rPr>
                          <w:rPr>
                            <w:rFonts w:ascii="Cambria Math" w:hAnsi="Cambria Math" w:cs="Times New Roman"/>
                            <w:sz w:val="22"/>
                            <w:szCs w:val="36"/>
                          </w:rPr>
                          <m:t>[</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A</m:t>
                            </m:r>
                            <m:ctrlPr>
                              <w:rPr>
                                <w:rFonts w:ascii="Cambria Math" w:hAnsi="Cambria Math" w:cs="Times New Roman"/>
                                <w:b w:val="0"/>
                                <w:bCs/>
                                <w:sz w:val="22"/>
                                <w:szCs w:val="36"/>
                              </w:rPr>
                            </m:ctrlPr>
                          </m:e>
                          <m:sub>
                            <m:r>
                              <m:rPr/>
                              <w:rPr>
                                <w:rFonts w:hint="default" w:ascii="Cambria Math" w:hAnsi="Cambria Math" w:cs="Times New Roman"/>
                                <w:sz w:val="22"/>
                                <w:szCs w:val="36"/>
                              </w:rPr>
                              <m:t>r</m:t>
                            </m:r>
                            <m:ctrlPr>
                              <w:rPr>
                                <w:rFonts w:ascii="Cambria Math" w:hAnsi="Cambria Math" w:cs="Times New Roman"/>
                                <w:b w:val="0"/>
                                <w:bCs/>
                                <w:sz w:val="22"/>
                                <w:szCs w:val="36"/>
                              </w:rPr>
                            </m:ctrlPr>
                          </m:sub>
                        </m:sSub>
                        <m:r>
                          <m:rPr>
                            <m:sty m:val="p"/>
                          </m:rPr>
                          <w:rPr>
                            <w:rFonts w:ascii="Cambria Math" w:hAnsi="Cambria Math" w:cs="Times New Roman"/>
                            <w:sz w:val="22"/>
                            <w:szCs w:val="36"/>
                          </w:rPr>
                          <m:t>×</m:t>
                        </m:r>
                        <m:r>
                          <m:rPr/>
                          <w:rPr>
                            <w:rFonts w:hint="default" w:ascii="Cambria Math" w:hAnsi="Cambria Math" w:cs="Times New Roman"/>
                            <w:sz w:val="22"/>
                            <w:szCs w:val="36"/>
                          </w:rPr>
                          <m:t>ML</m:t>
                        </m:r>
                        <m:r>
                          <m:rPr>
                            <m:sty m:val="p"/>
                          </m:rPr>
                          <w:rPr>
                            <w:rFonts w:ascii="Cambria Math" w:hAnsi="Cambria Math" w:cs="Times New Roman"/>
                            <w:sz w:val="22"/>
                            <w:szCs w:val="36"/>
                          </w:rPr>
                          <m:t>×</m:t>
                        </m:r>
                        <m:r>
                          <m:rPr/>
                          <w:rPr>
                            <w:rFonts w:hint="default" w:ascii="Cambria Math" w:hAnsi="Cambria Math" w:cs="Times New Roman"/>
                            <w:sz w:val="22"/>
                            <w:szCs w:val="36"/>
                          </w:rPr>
                          <m:t>t</m:t>
                        </m:r>
                        <m:ctrlPr>
                          <w:rPr>
                            <w:rFonts w:ascii="Cambria Math" w:hAnsi="Cambria Math" w:cs="Times New Roman"/>
                            <w:b w:val="0"/>
                            <w:bCs/>
                            <w:sz w:val="22"/>
                            <w:szCs w:val="36"/>
                          </w:rPr>
                        </m:ctrlPr>
                      </m:e>
                    </m:nary>
                    <m:r>
                      <m:rPr>
                        <m:sty m:val="p"/>
                      </m:rPr>
                      <w:rPr>
                        <w:rFonts w:ascii="Cambria Math" w:hAnsi="Cambria Math" w:cs="Times New Roman"/>
                        <w:sz w:val="22"/>
                        <w:szCs w:val="36"/>
                      </w:rPr>
                      <m:t>]×</m:t>
                    </m:r>
                    <m:r>
                      <m:rPr/>
                      <w:rPr>
                        <w:rFonts w:hint="default" w:ascii="Cambria Math" w:hAnsi="Cambria Math" w:cs="Times New Roman"/>
                        <w:sz w:val="22"/>
                        <w:szCs w:val="36"/>
                      </w:rPr>
                      <m:t>E</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F</m:t>
                        </m:r>
                        <m:ctrlPr>
                          <w:rPr>
                            <w:rFonts w:ascii="Cambria Math" w:hAnsi="Cambria Math" w:cs="Times New Roman"/>
                            <w:b w:val="0"/>
                            <w:bCs/>
                            <w:sz w:val="22"/>
                            <w:szCs w:val="36"/>
                          </w:rPr>
                        </m:ctrlPr>
                      </m:e>
                      <m:sub>
                        <m:r>
                          <m:rPr>
                            <m:sty m:val="p"/>
                          </m:rPr>
                          <w:rPr>
                            <w:rFonts w:hint="default" w:ascii="Cambria Math" w:hAnsi="Cambria Math" w:cs="Times New Roman"/>
                            <w:sz w:val="22"/>
                            <w:szCs w:val="36"/>
                          </w:rPr>
                          <m:t>1</m:t>
                        </m:r>
                        <m:ctrlPr>
                          <w:rPr>
                            <w:rFonts w:ascii="Cambria Math" w:hAnsi="Cambria Math" w:cs="Times New Roman"/>
                            <w:b w:val="0"/>
                            <w:bCs/>
                            <w:sz w:val="22"/>
                            <w:szCs w:val="36"/>
                          </w:rPr>
                        </m:ctrlPr>
                      </m:sub>
                    </m:sSub>
                    <m:ctrlPr>
                      <w:rPr>
                        <w:rFonts w:ascii="Cambria Math" w:hAnsi="Cambria Math" w:cs="Times New Roman"/>
                        <w:b w:val="0"/>
                        <w:bCs/>
                        <w:sz w:val="22"/>
                        <w:szCs w:val="36"/>
                      </w:rPr>
                    </m:ctrlPr>
                  </m:num>
                  <m:den>
                    <m:r>
                      <m:rPr>
                        <m:sty m:val="p"/>
                      </m:rPr>
                      <w:rPr>
                        <w:rFonts w:hint="default" w:ascii="Cambria Math" w:hAnsi="Cambria Math" w:cs="Times New Roman"/>
                        <w:sz w:val="22"/>
                        <w:szCs w:val="36"/>
                      </w:rPr>
                      <m:t>1000000</m:t>
                    </m:r>
                    <m:ctrlPr>
                      <w:rPr>
                        <w:rFonts w:ascii="Cambria Math" w:hAnsi="Cambria Math" w:cs="Times New Roman"/>
                        <w:b w:val="0"/>
                        <w:bCs/>
                        <w:sz w:val="22"/>
                        <w:szCs w:val="36"/>
                      </w:rPr>
                    </m:ctrlPr>
                  </m:den>
                </m:f>
              </m:oMath>
            </m:oMathPara>
          </w:p>
        </w:tc>
        <w:tc>
          <w:tcPr>
            <w:tcW w:w="799"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A</m:t>
                  </m:r>
                  <m:ctrlPr>
                    <w:rPr>
                      <w:rFonts w:ascii="Cambria Math" w:hAnsi="Cambria Math" w:cs="Times New Roman"/>
                      <w:b w:val="0"/>
                      <w:bCs/>
                      <w:szCs w:val="32"/>
                    </w:rPr>
                  </m:ctrlPr>
                </m:e>
                <m:sub>
                  <m:r>
                    <m:rPr/>
                    <w:rPr>
                      <w:rFonts w:hint="default" w:ascii="Cambria Math" w:hAnsi="Cambria Math" w:cs="Times New Roman"/>
                      <w:szCs w:val="32"/>
                    </w:rPr>
                    <m:t>r</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——市政道路面积（m</w:t>
            </w:r>
            <w:r>
              <w:rPr>
                <w:rFonts w:ascii="Times New Roman" w:hAnsi="Times New Roman" w:cs="Times New Roman"/>
                <w:b w:val="0"/>
                <w:bCs/>
                <w:szCs w:val="32"/>
                <w:vertAlign w:val="superscript"/>
              </w:rPr>
              <w:t>2</w:t>
            </w:r>
            <w:r>
              <w:rPr>
                <w:rFonts w:ascii="Times New Roman" w:hAnsi="Times New Roman" w:cs="Times New Roman"/>
                <w:b w:val="0"/>
                <w:bCs/>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r>
                <m:rPr/>
                <w:rPr>
                  <w:rFonts w:hint="default" w:ascii="Cambria Math" w:hAnsi="Cambria Math" w:cs="Times New Roman"/>
                  <w:sz w:val="22"/>
                  <w:szCs w:val="36"/>
                </w:rPr>
                <m:t>ML</m:t>
              </m:r>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——市政道路照明功率密度（W/m</w:t>
            </w:r>
            <w:r>
              <w:rPr>
                <w:rFonts w:ascii="Times New Roman" w:hAnsi="Times New Roman" w:cs="Times New Roman"/>
                <w:b w:val="0"/>
                <w:bCs/>
                <w:szCs w:val="32"/>
                <w:vertAlign w:val="superscript"/>
              </w:rPr>
              <w:t>2</w:t>
            </w:r>
            <w:r>
              <w:rPr>
                <w:rFonts w:ascii="Times New Roman" w:hAnsi="Times New Roman" w:cs="Times New Roman"/>
                <w:b w:val="0"/>
                <w:bCs/>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eastAsia="宋体" w:cs="Times New Roman"/>
                <w:b w:val="0"/>
                <w:bCs/>
                <w:szCs w:val="32"/>
              </w:rPr>
            </w:pPr>
            <m:oMath>
              <m:r>
                <m:rPr/>
                <w:rPr>
                  <w:rFonts w:hint="default" w:ascii="Cambria Math" w:hAnsi="Cambria Math" w:cs="Times New Roman"/>
                  <w:sz w:val="22"/>
                  <w:szCs w:val="36"/>
                </w:rPr>
                <m:t>t</m:t>
              </m:r>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——市政道路照明年运行小时数(h)；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eastAsia="宋体" w:cs="Times New Roman"/>
                <w:b w:val="0"/>
                <w:bCs/>
                <w:szCs w:val="32"/>
              </w:rPr>
            </w:pPr>
            <m:oMath>
              <m:r>
                <m:rPr/>
                <w:rPr>
                  <w:rFonts w:hint="default" w:ascii="Cambria Math" w:hAnsi="Cambria Math" w:cs="Times New Roman"/>
                  <w:szCs w:val="32"/>
                </w:rPr>
                <m:t>E</m:t>
              </m:r>
              <m:sSub>
                <m:sSubPr>
                  <m:ctrlPr>
                    <w:rPr>
                      <w:rFonts w:ascii="Cambria Math" w:hAnsi="Cambria Math" w:cs="Times New Roman"/>
                      <w:b w:val="0"/>
                      <w:bCs/>
                      <w:i/>
                      <w:szCs w:val="32"/>
                    </w:rPr>
                  </m:ctrlPr>
                </m:sSubPr>
                <m:e>
                  <m:r>
                    <m:rPr/>
                    <w:rPr>
                      <w:rFonts w:hint="default" w:ascii="Cambria Math" w:hAnsi="Cambria Math" w:cs="Times New Roman"/>
                      <w:szCs w:val="32"/>
                    </w:rPr>
                    <m:t>F</m:t>
                  </m:r>
                  <m:ctrlPr>
                    <w:rPr>
                      <w:rFonts w:ascii="Cambria Math" w:hAnsi="Cambria Math" w:cs="Times New Roman"/>
                      <w:b w:val="0"/>
                      <w:bCs/>
                      <w:i/>
                      <w:szCs w:val="32"/>
                    </w:rPr>
                  </m:ctrlPr>
                </m:e>
                <m:sub>
                  <m:r>
                    <m:rPr/>
                    <w:rPr>
                      <w:rFonts w:hint="default" w:ascii="Cambria Math" w:hAnsi="Cambria Math" w:cs="Times New Roman"/>
                      <w:szCs w:val="32"/>
                    </w:rPr>
                    <m:t>1</m:t>
                  </m:r>
                  <m:ctrlPr>
                    <w:rPr>
                      <w:rFonts w:ascii="Cambria Math" w:hAnsi="Cambria Math" w:cs="Times New Roman"/>
                      <w:b w:val="0"/>
                      <w:bCs/>
                      <w:i/>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——电力排放因子，取</w:t>
            </w:r>
            <w:r>
              <w:rPr>
                <w:rFonts w:ascii="Times New Roman" w:hAnsi="Times New Roman" w:cs="Times New Roman"/>
                <w:b w:val="0"/>
                <w:bCs/>
                <w:color w:val="000000" w:themeColor="text1"/>
                <w:szCs w:val="32"/>
                <w14:textFill>
                  <w14:solidFill>
                    <w14:schemeClr w14:val="tx1"/>
                  </w14:solidFill>
                </w14:textFill>
              </w:rPr>
              <w:t>0.5kg</w:t>
            </w:r>
            <w:r>
              <w:rPr>
                <w:rFonts w:ascii="Times New Roman" w:hAnsi="Times New Roman" w:cs="Times New Roman"/>
                <w:b w:val="0"/>
                <w:bCs/>
                <w:szCs w:val="32"/>
              </w:rPr>
              <w:t>CO</w:t>
            </w:r>
            <w:r>
              <w:rPr>
                <w:rFonts w:ascii="Times New Roman" w:hAnsi="Times New Roman" w:cs="Times New Roman"/>
                <w:b w:val="0"/>
                <w:bCs/>
                <w:szCs w:val="32"/>
                <w:vertAlign w:val="subscript"/>
              </w:rPr>
              <w:t>2</w:t>
            </w:r>
            <w:r>
              <w:rPr>
                <w:rFonts w:ascii="Times New Roman" w:hAnsi="Times New Roman" w:cs="Times New Roman"/>
                <w:b w:val="0"/>
                <w:bCs/>
                <w:szCs w:val="32"/>
              </w:rPr>
              <w:t>/kWh。</w:t>
            </w: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C.0.7 区域内交通碳排放量应包含区域物理范围内交通活动产生的碳排放，不包含穿行车辆产生的碳排放。区域内交通碳排放应按下式计算：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4"/>
        <w:gridCol w:w="999"/>
        <w:gridCol w:w="5874"/>
        <w:gridCol w:w="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717" w:type="dxa"/>
            <w:gridSpan w:val="3"/>
            <w:vAlign w:val="center"/>
          </w:tcPr>
          <w:p>
            <w:pPr>
              <w:autoSpaceDE w:val="0"/>
              <w:autoSpaceDN w:val="0"/>
              <w:spacing w:line="360" w:lineRule="auto"/>
              <w:rPr>
                <w:rFonts w:ascii="Times New Roman" w:hAnsi="Times New Roman" w:cs="Times New Roman"/>
                <w:b w:val="0"/>
                <w:bCs/>
                <w:i/>
                <w:szCs w:val="32"/>
              </w:rPr>
            </w:pPr>
            <m:oMathPara>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d,t</m:t>
                    </m:r>
                    <m:ctrlPr>
                      <w:rPr>
                        <w:rFonts w:ascii="Cambria Math" w:hAnsi="Cambria Math" w:cs="Times New Roman"/>
                        <w:b w:val="0"/>
                        <w:bCs/>
                        <w:szCs w:val="32"/>
                      </w:rPr>
                    </m:ctrlPr>
                  </m:sub>
                </m:sSub>
                <m:r>
                  <m:rPr/>
                  <w:rPr>
                    <w:rFonts w:ascii="Cambria Math" w:hAnsi="Cambria Math" w:cs="Times New Roman"/>
                    <w:szCs w:val="32"/>
                  </w:rPr>
                  <m:t>=</m:t>
                </m:r>
                <m:f>
                  <m:fPr>
                    <m:ctrlPr>
                      <w:rPr>
                        <w:rFonts w:ascii="Cambria Math" w:hAnsi="Cambria Math" w:cs="Times New Roman"/>
                        <w:b w:val="0"/>
                        <w:bCs/>
                        <w:i/>
                        <w:szCs w:val="32"/>
                      </w:rPr>
                    </m:ctrlPr>
                  </m:fPr>
                  <m:num>
                    <m:nary>
                      <m:naryPr>
                        <m:chr m:val="∑"/>
                        <m:limLoc m:val="undOvr"/>
                        <m:ctrlPr>
                          <w:rPr>
                            <w:rFonts w:ascii="Cambria Math" w:hAnsi="Cambria Math" w:cs="Times New Roman"/>
                            <w:b w:val="0"/>
                            <w:bCs/>
                            <w:i/>
                            <w:szCs w:val="32"/>
                          </w:rPr>
                        </m:ctrlPr>
                      </m:naryPr>
                      <m:sub>
                        <m:r>
                          <m:rPr/>
                          <w:rPr>
                            <w:rFonts w:hint="default" w:ascii="Cambria Math" w:hAnsi="Cambria Math" w:cs="Times New Roman"/>
                            <w:szCs w:val="32"/>
                          </w:rPr>
                          <m:t>i=1</m:t>
                        </m:r>
                        <m:ctrlPr>
                          <w:rPr>
                            <w:rFonts w:ascii="Cambria Math" w:hAnsi="Cambria Math" w:cs="Times New Roman"/>
                            <w:b w:val="0"/>
                            <w:bCs/>
                            <w:i/>
                            <w:szCs w:val="32"/>
                          </w:rPr>
                        </m:ctrlPr>
                      </m:sub>
                      <m:sup>
                        <m:r>
                          <m:rPr/>
                          <w:rPr>
                            <w:rFonts w:hint="default" w:ascii="Cambria Math" w:hAnsi="Cambria Math" w:cs="Times New Roman"/>
                            <w:szCs w:val="32"/>
                          </w:rPr>
                          <m:t>n</m:t>
                        </m:r>
                        <m:ctrlPr>
                          <w:rPr>
                            <w:rFonts w:ascii="Cambria Math" w:hAnsi="Cambria Math" w:cs="Times New Roman"/>
                            <w:b w:val="0"/>
                            <w:bCs/>
                            <w:i/>
                            <w:szCs w:val="32"/>
                          </w:rPr>
                        </m:ctrlPr>
                      </m:sup>
                      <m:e>
                        <m:nary>
                          <m:naryPr>
                            <m:chr m:val="∑"/>
                            <m:limLoc m:val="undOvr"/>
                            <m:ctrlPr>
                              <w:rPr>
                                <w:rFonts w:ascii="Cambria Math" w:hAnsi="Cambria Math" w:cs="Times New Roman"/>
                                <w:b w:val="0"/>
                                <w:bCs/>
                                <w:i/>
                                <w:szCs w:val="32"/>
                              </w:rPr>
                            </m:ctrlPr>
                          </m:naryPr>
                          <m:sub>
                            <m:r>
                              <m:rPr/>
                              <w:rPr>
                                <w:rFonts w:hint="default" w:ascii="Cambria Math" w:hAnsi="Cambria Math" w:cs="Times New Roman"/>
                                <w:szCs w:val="32"/>
                              </w:rPr>
                              <m:t>j=1</m:t>
                            </m:r>
                            <m:ctrlPr>
                              <w:rPr>
                                <w:rFonts w:ascii="Cambria Math" w:hAnsi="Cambria Math" w:cs="Times New Roman"/>
                                <w:b w:val="0"/>
                                <w:bCs/>
                                <w:i/>
                                <w:szCs w:val="32"/>
                              </w:rPr>
                            </m:ctrlPr>
                          </m:sub>
                          <m:sup>
                            <m:r>
                              <m:rPr/>
                              <w:rPr>
                                <w:rFonts w:hint="default" w:ascii="Cambria Math" w:hAnsi="Cambria Math" w:cs="Times New Roman"/>
                                <w:szCs w:val="32"/>
                              </w:rPr>
                              <m:t>m</m:t>
                            </m:r>
                            <m:ctrlPr>
                              <w:rPr>
                                <w:rFonts w:ascii="Cambria Math" w:hAnsi="Cambria Math" w:cs="Times New Roman"/>
                                <w:b w:val="0"/>
                                <w:bCs/>
                                <w:i/>
                                <w:szCs w:val="32"/>
                              </w:rPr>
                            </m:ctrlPr>
                          </m:sup>
                          <m:e>
                            <m:d>
                              <m:dPr>
                                <m:ctrlPr>
                                  <w:rPr>
                                    <w:rFonts w:ascii="Cambria Math" w:hAnsi="Cambria Math" w:cs="Times New Roman"/>
                                    <w:b w:val="0"/>
                                    <w:bCs/>
                                    <w:i/>
                                    <w:szCs w:val="32"/>
                                  </w:rPr>
                                </m:ctrlPr>
                              </m:dPr>
                              <m:e>
                                <m:sSub>
                                  <m:sSubPr>
                                    <m:ctrlPr>
                                      <w:rPr>
                                        <w:rFonts w:ascii="Cambria Math" w:hAnsi="Cambria Math" w:cs="Times New Roman"/>
                                        <w:b w:val="0"/>
                                        <w:bCs/>
                                        <w:i/>
                                        <w:szCs w:val="32"/>
                                      </w:rPr>
                                    </m:ctrlPr>
                                  </m:sSubPr>
                                  <m:e>
                                    <m:r>
                                      <m:rPr/>
                                      <w:rPr>
                                        <w:rFonts w:hint="default" w:ascii="Cambria Math" w:hAnsi="Cambria Math" w:cs="Times New Roman"/>
                                        <w:szCs w:val="32"/>
                                      </w:rPr>
                                      <m:t>L</m:t>
                                    </m:r>
                                    <m:ctrlPr>
                                      <w:rPr>
                                        <w:rFonts w:ascii="Cambria Math" w:hAnsi="Cambria Math" w:cs="Times New Roman"/>
                                        <w:b w:val="0"/>
                                        <w:bCs/>
                                        <w:i/>
                                        <w:szCs w:val="32"/>
                                      </w:rPr>
                                    </m:ctrlPr>
                                  </m:e>
                                  <m:sub>
                                    <m:r>
                                      <m:rPr/>
                                      <w:rPr>
                                        <w:rFonts w:hint="default" w:ascii="Cambria Math" w:hAnsi="Cambria Math" w:cs="Times New Roman"/>
                                        <w:szCs w:val="32"/>
                                      </w:rPr>
                                      <m:t>i,j</m:t>
                                    </m:r>
                                    <m:ctrlPr>
                                      <w:rPr>
                                        <w:rFonts w:ascii="Cambria Math" w:hAnsi="Cambria Math" w:cs="Times New Roman"/>
                                        <w:b w:val="0"/>
                                        <w:bCs/>
                                        <w:i/>
                                        <w:szCs w:val="32"/>
                                      </w:rPr>
                                    </m:ctrlPr>
                                  </m:sub>
                                </m:sSub>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D</m:t>
                                    </m:r>
                                    <m:ctrlPr>
                                      <w:rPr>
                                        <w:rFonts w:ascii="Cambria Math" w:hAnsi="Cambria Math" w:cs="Times New Roman"/>
                                        <w:b w:val="0"/>
                                        <w:bCs/>
                                        <w:i/>
                                        <w:szCs w:val="32"/>
                                      </w:rPr>
                                    </m:ctrlPr>
                                  </m:e>
                                  <m:sub>
                                    <m:r>
                                      <m:rPr/>
                                      <w:rPr>
                                        <w:rFonts w:hint="default" w:ascii="Cambria Math" w:hAnsi="Cambria Math" w:cs="Times New Roman"/>
                                        <w:szCs w:val="32"/>
                                      </w:rPr>
                                      <m:t>i,j</m:t>
                                    </m:r>
                                    <m:ctrlPr>
                                      <w:rPr>
                                        <w:rFonts w:ascii="Cambria Math" w:hAnsi="Cambria Math" w:cs="Times New Roman"/>
                                        <w:b w:val="0"/>
                                        <w:bCs/>
                                        <w:i/>
                                        <w:szCs w:val="32"/>
                                      </w:rPr>
                                    </m:ctrlPr>
                                  </m:sub>
                                </m:sSub>
                                <m:ctrlPr>
                                  <w:rPr>
                                    <w:rFonts w:ascii="Cambria Math" w:hAnsi="Cambria Math" w:cs="Times New Roman"/>
                                    <w:b w:val="0"/>
                                    <w:bCs/>
                                    <w:i/>
                                    <w:szCs w:val="32"/>
                                  </w:rPr>
                                </m:ctrlPr>
                              </m:e>
                            </m:d>
                            <m:r>
                              <m:rPr/>
                              <w:rPr>
                                <w:rFonts w:ascii="Cambria Math" w:hAnsi="Cambria Math" w:cs="Times New Roman"/>
                                <w:szCs w:val="32"/>
                              </w:rPr>
                              <m:t>×</m:t>
                            </m:r>
                            <m:sSub>
                              <m:sSubPr>
                                <m:ctrlPr>
                                  <w:rPr>
                                    <w:rFonts w:ascii="Cambria Math" w:hAnsi="Cambria Math" w:cs="Times New Roman"/>
                                    <w:b w:val="0"/>
                                    <w:bCs/>
                                    <w:i/>
                                    <w:szCs w:val="32"/>
                                  </w:rPr>
                                </m:ctrlPr>
                              </m:sSubPr>
                              <m:e>
                                <m:r>
                                  <m:rPr/>
                                  <w:rPr>
                                    <w:rFonts w:hint="default" w:ascii="Cambria Math" w:hAnsi="Cambria Math" w:cs="Times New Roman"/>
                                    <w:szCs w:val="32"/>
                                  </w:rPr>
                                  <m:t>EF</m:t>
                                </m:r>
                                <m:ctrlPr>
                                  <w:rPr>
                                    <w:rFonts w:ascii="Cambria Math" w:hAnsi="Cambria Math" w:cs="Times New Roman"/>
                                    <w:b w:val="0"/>
                                    <w:bCs/>
                                    <w:i/>
                                    <w:szCs w:val="32"/>
                                  </w:rPr>
                                </m:ctrlPr>
                              </m:e>
                              <m:sub>
                                <m:r>
                                  <m:rPr/>
                                  <w:rPr>
                                    <w:rFonts w:hint="default" w:ascii="Cambria Math" w:hAnsi="Cambria Math" w:cs="Times New Roman"/>
                                    <w:szCs w:val="32"/>
                                  </w:rPr>
                                  <m:t>i</m:t>
                                </m:r>
                                <m:ctrlPr>
                                  <w:rPr>
                                    <w:rFonts w:ascii="Cambria Math" w:hAnsi="Cambria Math" w:cs="Times New Roman"/>
                                    <w:b w:val="0"/>
                                    <w:bCs/>
                                    <w:i/>
                                    <w:szCs w:val="32"/>
                                  </w:rPr>
                                </m:ctrlPr>
                              </m:sub>
                            </m:sSub>
                            <m:ctrlPr>
                              <w:rPr>
                                <w:rFonts w:ascii="Cambria Math" w:hAnsi="Cambria Math" w:cs="Times New Roman"/>
                                <w:b w:val="0"/>
                                <w:bCs/>
                                <w:i/>
                                <w:szCs w:val="32"/>
                              </w:rPr>
                            </m:ctrlPr>
                          </m:e>
                        </m:nary>
                        <m:ctrlPr>
                          <w:rPr>
                            <w:rFonts w:ascii="Cambria Math" w:hAnsi="Cambria Math" w:cs="Times New Roman"/>
                            <w:b w:val="0"/>
                            <w:bCs/>
                            <w:i/>
                            <w:szCs w:val="32"/>
                          </w:rPr>
                        </m:ctrlPr>
                      </m:e>
                    </m:nary>
                    <m:ctrlPr>
                      <w:rPr>
                        <w:rFonts w:ascii="Cambria Math" w:hAnsi="Cambria Math" w:cs="Times New Roman"/>
                        <w:b w:val="0"/>
                        <w:bCs/>
                        <w:i/>
                        <w:szCs w:val="32"/>
                      </w:rPr>
                    </m:ctrlPr>
                  </m:num>
                  <m:den>
                    <m:r>
                      <m:rPr/>
                      <w:rPr>
                        <w:rFonts w:hint="default" w:ascii="Cambria Math" w:hAnsi="Cambria Math" w:cs="Times New Roman"/>
                        <w:szCs w:val="32"/>
                      </w:rPr>
                      <m:t>1000</m:t>
                    </m:r>
                    <m:ctrlPr>
                      <w:rPr>
                        <w:rFonts w:ascii="Cambria Math" w:hAnsi="Cambria Math" w:cs="Times New Roman"/>
                        <w:b w:val="0"/>
                        <w:bCs/>
                        <w:i/>
                        <w:szCs w:val="32"/>
                      </w:rPr>
                    </m:ctrlPr>
                  </m:den>
                </m:f>
              </m:oMath>
            </m:oMathPara>
          </w:p>
        </w:tc>
        <w:tc>
          <w:tcPr>
            <w:tcW w:w="595"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999"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L</m:t>
                  </m:r>
                  <m:ctrlPr>
                    <w:rPr>
                      <w:rFonts w:ascii="Cambria Math" w:hAnsi="Cambria Math" w:cs="Times New Roman"/>
                      <w:b w:val="0"/>
                      <w:bCs/>
                      <w:szCs w:val="32"/>
                    </w:rPr>
                  </m:ctrlPr>
                </m:e>
                <m:sub>
                  <m:r>
                    <m:rPr/>
                    <w:rPr>
                      <w:rFonts w:hint="default" w:ascii="Cambria Math" w:hAnsi="Cambria Math" w:cs="Times New Roman"/>
                      <w:szCs w:val="32"/>
                    </w:rPr>
                    <m:t>i,j</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69"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——使用第</w:t>
            </w:r>
            <m:oMath>
              <m:r>
                <m:rPr/>
                <w:rPr>
                  <w:rFonts w:hint="default" w:ascii="Cambria Math" w:hAnsi="Cambria Math" w:cs="Times New Roman"/>
                  <w:szCs w:val="32"/>
                </w:rPr>
                <m:t>i</m:t>
              </m:r>
            </m:oMath>
            <w:r>
              <w:rPr>
                <w:rFonts w:ascii="Times New Roman" w:hAnsi="Times New Roman" w:cs="Times New Roman"/>
                <w:b w:val="0"/>
                <w:bCs/>
                <w:szCs w:val="32"/>
              </w:rPr>
              <w:t>种能源的交通工具中第</w:t>
            </w:r>
            <m:oMath>
              <m:r>
                <m:rPr/>
                <w:rPr>
                  <w:rFonts w:hint="default" w:ascii="Cambria Math" w:hAnsi="Cambria Math" w:cs="Times New Roman"/>
                  <w:szCs w:val="32"/>
                </w:rPr>
                <m:t>j</m:t>
              </m:r>
            </m:oMath>
            <w:r>
              <w:rPr>
                <w:rFonts w:ascii="Times New Roman" w:hAnsi="Times New Roman" w:cs="Times New Roman"/>
                <w:b w:val="0"/>
                <w:bCs/>
                <w:szCs w:val="32"/>
              </w:rPr>
              <w:t>辆车年行驶总里程（km/a）；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999" w:type="dxa"/>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D</m:t>
                  </m:r>
                  <m:ctrlPr>
                    <w:rPr>
                      <w:rFonts w:ascii="Cambria Math" w:hAnsi="Cambria Math" w:cs="Times New Roman"/>
                      <w:b w:val="0"/>
                      <w:bCs/>
                      <w:szCs w:val="32"/>
                    </w:rPr>
                  </m:ctrlPr>
                </m:e>
                <m:sub>
                  <m:r>
                    <m:rPr/>
                    <w:rPr>
                      <w:rFonts w:hint="default" w:ascii="Cambria Math" w:hAnsi="Cambria Math" w:cs="Times New Roman"/>
                      <w:szCs w:val="32"/>
                    </w:rPr>
                    <m:t>i,j</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69"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——使用第</w:t>
            </w:r>
            <m:oMath>
              <m:r>
                <m:rPr/>
                <w:rPr>
                  <w:rFonts w:hint="default" w:ascii="Cambria Math" w:hAnsi="Cambria Math" w:cs="Times New Roman"/>
                  <w:szCs w:val="32"/>
                </w:rPr>
                <m:t>i</m:t>
              </m:r>
            </m:oMath>
            <w:r>
              <w:rPr>
                <w:rFonts w:ascii="Times New Roman" w:hAnsi="Times New Roman" w:cs="Times New Roman"/>
                <w:b w:val="0"/>
                <w:bCs/>
                <w:szCs w:val="32"/>
              </w:rPr>
              <w:t>种能源交通工具中第</w:t>
            </w:r>
            <m:oMath>
              <m:r>
                <m:rPr/>
                <w:rPr>
                  <w:rFonts w:hint="default" w:ascii="Cambria Math" w:hAnsi="Cambria Math" w:cs="Times New Roman"/>
                  <w:szCs w:val="32"/>
                </w:rPr>
                <m:t>j</m:t>
              </m:r>
            </m:oMath>
            <w:r>
              <w:rPr>
                <w:rFonts w:ascii="Times New Roman" w:hAnsi="Times New Roman" w:cs="Times New Roman"/>
                <w:b w:val="0"/>
                <w:bCs/>
                <w:szCs w:val="32"/>
              </w:rPr>
              <w:t>辆车全年平均单位里程能源消耗（燃油车辆单位为L/km，电动车辆为kWh/km）；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999" w:type="dxa"/>
            <w:vAlign w:val="center"/>
          </w:tcPr>
          <w:p>
            <w:pPr>
              <w:wordWrap w:val="0"/>
              <w:autoSpaceDE w:val="0"/>
              <w:autoSpaceDN w:val="0"/>
              <w:jc w:val="right"/>
              <w:rPr>
                <w:rFonts w:ascii="Times New Roman" w:hAnsi="Times New Roman" w:eastAsia="宋体"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EF</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eastAsia="宋体" w:cs="Times New Roman"/>
                <w:b w:val="0"/>
                <w:bCs/>
                <w:szCs w:val="32"/>
              </w:rPr>
              <w:t xml:space="preserve"> </w:t>
            </w:r>
          </w:p>
        </w:tc>
        <w:tc>
          <w:tcPr>
            <w:tcW w:w="6469"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——第</w:t>
            </w:r>
            <m:oMath>
              <m:r>
                <m:rPr/>
                <w:rPr>
                  <w:rFonts w:hint="default" w:ascii="Cambria Math" w:hAnsi="Cambria Math" w:cs="Times New Roman"/>
                  <w:szCs w:val="32"/>
                </w:rPr>
                <m:t>i</m:t>
              </m:r>
            </m:oMath>
            <w:r>
              <w:rPr>
                <w:rFonts w:ascii="Times New Roman" w:hAnsi="Times New Roman" w:cs="Times New Roman"/>
                <w:b w:val="0"/>
                <w:bCs/>
                <w:szCs w:val="32"/>
              </w:rPr>
              <w:t>种能源的碳排放因子（kgCO</w:t>
            </w:r>
            <w:r>
              <w:rPr>
                <w:rFonts w:ascii="Times New Roman" w:hAnsi="Times New Roman" w:cs="Times New Roman"/>
                <w:b w:val="0"/>
                <w:bCs/>
                <w:szCs w:val="32"/>
                <w:vertAlign w:val="subscript"/>
              </w:rPr>
              <w:t>2</w:t>
            </w:r>
            <w:r>
              <w:rPr>
                <w:rFonts w:ascii="Times New Roman" w:hAnsi="Times New Roman" w:cs="Times New Roman"/>
                <w:b w:val="0"/>
                <w:bCs/>
                <w:szCs w:val="32"/>
              </w:rPr>
              <w:t>/L或kgCO</w:t>
            </w:r>
            <w:r>
              <w:rPr>
                <w:rFonts w:ascii="Times New Roman" w:hAnsi="Times New Roman" w:cs="Times New Roman"/>
                <w:b w:val="0"/>
                <w:bCs/>
                <w:szCs w:val="32"/>
                <w:vertAlign w:val="subscript"/>
              </w:rPr>
              <w:t>2</w:t>
            </w:r>
            <w:r>
              <w:rPr>
                <w:rFonts w:ascii="Times New Roman" w:hAnsi="Times New Roman" w:cs="Times New Roman"/>
                <w:b w:val="0"/>
                <w:bCs/>
                <w:szCs w:val="32"/>
              </w:rPr>
              <w:t>/kWh）；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999" w:type="dxa"/>
            <w:vAlign w:val="center"/>
          </w:tcPr>
          <w:p>
            <w:pPr>
              <w:wordWrap w:val="0"/>
              <w:autoSpaceDE w:val="0"/>
              <w:autoSpaceDN w:val="0"/>
              <w:jc w:val="right"/>
              <w:rPr>
                <w:rFonts w:ascii="Times New Roman" w:hAnsi="Times New Roman" w:eastAsia="宋体" w:cs="Times New Roman"/>
                <w:b w:val="0"/>
                <w:bCs/>
                <w:szCs w:val="32"/>
              </w:rPr>
            </w:pPr>
            <m:oMath>
              <m:r>
                <m:rPr/>
                <w:rPr>
                  <w:rFonts w:hint="default" w:ascii="Cambria Math" w:hAnsi="Cambria Math" w:cs="Times New Roman"/>
                  <w:szCs w:val="32"/>
                </w:rPr>
                <m:t>i</m:t>
              </m:r>
            </m:oMath>
            <w:r>
              <w:rPr>
                <w:rFonts w:ascii="Times New Roman" w:hAnsi="Times New Roman" w:eastAsia="宋体" w:cs="Times New Roman"/>
                <w:b w:val="0"/>
                <w:bCs/>
                <w:szCs w:val="32"/>
              </w:rPr>
              <w:t xml:space="preserve"> </w:t>
            </w:r>
          </w:p>
        </w:tc>
        <w:tc>
          <w:tcPr>
            <w:tcW w:w="6469"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i/>
                <w:szCs w:val="32"/>
              </w:rPr>
            </w:pPr>
            <w:r>
              <w:rPr>
                <w:rFonts w:ascii="Times New Roman" w:hAnsi="Times New Roman" w:cs="Times New Roman"/>
                <w:b w:val="0"/>
                <w:bCs/>
                <w:szCs w:val="32"/>
              </w:rPr>
              <w:t>——能源种类编号；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pPr>
              <w:autoSpaceDE w:val="0"/>
              <w:autoSpaceDN w:val="0"/>
              <w:spacing w:line="360" w:lineRule="auto"/>
              <w:jc w:val="right"/>
              <w:rPr>
                <w:rFonts w:ascii="Times New Roman" w:hAnsi="Times New Roman" w:cs="Times New Roman"/>
                <w:b w:val="0"/>
                <w:bCs/>
                <w:szCs w:val="32"/>
              </w:rPr>
            </w:pPr>
          </w:p>
        </w:tc>
        <w:tc>
          <w:tcPr>
            <w:tcW w:w="999" w:type="dxa"/>
            <w:vAlign w:val="center"/>
          </w:tcPr>
          <w:p>
            <w:pPr>
              <w:wordWrap w:val="0"/>
              <w:autoSpaceDE w:val="0"/>
              <w:autoSpaceDN w:val="0"/>
              <w:jc w:val="right"/>
              <w:rPr>
                <w:rFonts w:ascii="Times New Roman" w:hAnsi="Times New Roman" w:eastAsia="宋体" w:cs="Times New Roman"/>
                <w:b w:val="0"/>
                <w:bCs/>
                <w:szCs w:val="32"/>
              </w:rPr>
            </w:pPr>
            <m:oMath>
              <m:r>
                <m:rPr/>
                <w:rPr>
                  <w:rFonts w:hint="default" w:ascii="Cambria Math" w:hAnsi="Cambria Math" w:eastAsia="宋体" w:cs="Times New Roman"/>
                  <w:szCs w:val="32"/>
                </w:rPr>
                <m:t>j</m:t>
              </m:r>
            </m:oMath>
            <w:r>
              <w:rPr>
                <w:rFonts w:ascii="Times New Roman" w:hAnsi="Times New Roman" w:eastAsia="宋体" w:cs="Times New Roman"/>
                <w:b w:val="0"/>
                <w:bCs/>
                <w:szCs w:val="32"/>
              </w:rPr>
              <w:t xml:space="preserve"> </w:t>
            </w:r>
          </w:p>
        </w:tc>
        <w:tc>
          <w:tcPr>
            <w:tcW w:w="6469"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i/>
                <w:szCs w:val="32"/>
              </w:rPr>
            </w:pPr>
            <w:r>
              <w:rPr>
                <w:rFonts w:ascii="Times New Roman" w:hAnsi="Times New Roman" w:cs="Times New Roman"/>
                <w:b w:val="0"/>
                <w:bCs/>
                <w:szCs w:val="32"/>
              </w:rPr>
              <w:t>——车辆编号。</w:t>
            </w:r>
          </w:p>
        </w:tc>
      </w:tr>
    </w:tbl>
    <w:p>
      <w:pPr>
        <w:autoSpaceDE w:val="0"/>
        <w:autoSpaceDN w:val="0"/>
        <w:spacing w:line="360" w:lineRule="auto"/>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r>
        <w:rPr>
          <w:rFonts w:ascii="Times New Roman" w:hAnsi="Times New Roman" w:cs="Times New Roman"/>
          <w:b w:val="0"/>
          <w:bCs/>
          <w:szCs w:val="32"/>
        </w:rPr>
        <w:t>C.0.8 区域内其他能源消耗产生的碳排放量应按下式计算: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pPr>
              <w:autoSpaceDE w:val="0"/>
              <w:autoSpaceDN w:val="0"/>
              <w:spacing w:line="360" w:lineRule="auto"/>
              <w:rPr>
                <w:rFonts w:ascii="Times New Roman" w:hAnsi="Times New Roman" w:cs="Times New Roman"/>
                <w:b w:val="0"/>
                <w:bCs/>
                <w:szCs w:val="32"/>
              </w:rPr>
            </w:pPr>
            <m:oMathPara>
              <m:oMath>
                <m:sSub>
                  <m:sSubPr>
                    <m:ctrlPr>
                      <w:rPr>
                        <w:rFonts w:ascii="Cambria Math" w:hAnsi="Cambria Math" w:cs="Times New Roman"/>
                        <w:b w:val="0"/>
                        <w:bCs/>
                        <w:szCs w:val="32"/>
                      </w:rPr>
                    </m:ctrlPr>
                  </m:sSubPr>
                  <m:e>
                    <m:r>
                      <m:rPr/>
                      <w:rPr>
                        <w:rFonts w:hint="default" w:ascii="Cambria Math" w:hAnsi="Cambria Math" w:cs="Times New Roman"/>
                        <w:szCs w:val="32"/>
                      </w:rPr>
                      <m:t>C</m:t>
                    </m:r>
                    <m:ctrlPr>
                      <w:rPr>
                        <w:rFonts w:ascii="Cambria Math" w:hAnsi="Cambria Math" w:cs="Times New Roman"/>
                        <w:b w:val="0"/>
                        <w:bCs/>
                        <w:szCs w:val="32"/>
                      </w:rPr>
                    </m:ctrlPr>
                  </m:e>
                  <m:sub>
                    <m:r>
                      <m:rPr/>
                      <w:rPr>
                        <w:rFonts w:hint="default" w:ascii="Cambria Math" w:hAnsi="Cambria Math" w:cs="Times New Roman"/>
                        <w:szCs w:val="32"/>
                      </w:rPr>
                      <m:t>d,o</m:t>
                    </m:r>
                    <m:ctrlPr>
                      <w:rPr>
                        <w:rFonts w:ascii="Cambria Math" w:hAnsi="Cambria Math" w:cs="Times New Roman"/>
                        <w:b w:val="0"/>
                        <w:bCs/>
                        <w:szCs w:val="32"/>
                      </w:rPr>
                    </m:ctrlPr>
                  </m:sub>
                </m:sSub>
                <m:r>
                  <m:rPr/>
                  <w:rPr>
                    <w:rFonts w:ascii="Cambria Math" w:hAnsi="Cambria Math" w:cs="Times New Roman"/>
                    <w:szCs w:val="32"/>
                  </w:rPr>
                  <m:t>=</m:t>
                </m:r>
                <m:nary>
                  <m:naryPr>
                    <m:chr m:val="∑"/>
                    <m:limLoc m:val="undOvr"/>
                    <m:ctrlPr>
                      <w:rPr>
                        <w:rFonts w:ascii="Cambria Math" w:hAnsi="Cambria Math" w:cs="Times New Roman"/>
                        <w:b w:val="0"/>
                        <w:bCs/>
                        <w:i/>
                        <w:szCs w:val="32"/>
                      </w:rPr>
                    </m:ctrlPr>
                  </m:naryPr>
                  <m:sub>
                    <m:r>
                      <m:rPr/>
                      <w:rPr>
                        <w:rFonts w:hint="default" w:ascii="Cambria Math" w:hAnsi="Cambria Math" w:cs="Times New Roman"/>
                        <w:szCs w:val="32"/>
                      </w:rPr>
                      <m:t>i=1</m:t>
                    </m:r>
                    <m:ctrlPr>
                      <w:rPr>
                        <w:rFonts w:ascii="Cambria Math" w:hAnsi="Cambria Math" w:cs="Times New Roman"/>
                        <w:b w:val="0"/>
                        <w:bCs/>
                        <w:i/>
                        <w:szCs w:val="32"/>
                      </w:rPr>
                    </m:ctrlPr>
                  </m:sub>
                  <m:sup>
                    <m:r>
                      <m:rPr/>
                      <w:rPr>
                        <w:rFonts w:hint="default" w:ascii="Cambria Math" w:hAnsi="Cambria Math" w:cs="Times New Roman"/>
                        <w:szCs w:val="32"/>
                      </w:rPr>
                      <m:t>n</m:t>
                    </m:r>
                    <m:ctrlPr>
                      <w:rPr>
                        <w:rFonts w:ascii="Cambria Math" w:hAnsi="Cambria Math" w:cs="Times New Roman"/>
                        <w:b w:val="0"/>
                        <w:bCs/>
                        <w:i/>
                        <w:szCs w:val="32"/>
                      </w:rPr>
                    </m:ctrlPr>
                  </m:sup>
                  <m:e>
                    <m:sSub>
                      <m:sSubPr>
                        <m:ctrlPr>
                          <w:rPr>
                            <w:rFonts w:ascii="Cambria Math" w:hAnsi="Cambria Math" w:cs="Times New Roman"/>
                            <w:b w:val="0"/>
                            <w:bCs/>
                            <w:szCs w:val="32"/>
                          </w:rPr>
                        </m:ctrlPr>
                      </m:sSubPr>
                      <m:e>
                        <m:r>
                          <m:rPr/>
                          <w:rPr>
                            <w:rFonts w:hint="default" w:ascii="Cambria Math" w:hAnsi="Cambria Math" w:cs="Times New Roman"/>
                            <w:szCs w:val="32"/>
                          </w:rPr>
                          <m:t>O</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ctrlPr>
                      <w:rPr>
                        <w:rFonts w:ascii="Cambria Math" w:hAnsi="Cambria Math" w:cs="Times New Roman"/>
                        <w:b w:val="0"/>
                        <w:bCs/>
                        <w:i/>
                        <w:szCs w:val="32"/>
                      </w:rPr>
                    </m:ctrlPr>
                  </m:e>
                </m:nary>
                <m:r>
                  <m:rPr/>
                  <w:rPr>
                    <w:rFonts w:hint="default" w:ascii="Cambria Math" w:hAnsi="Cambria Math" w:cs="Times New Roman"/>
                    <w:szCs w:val="32"/>
                  </w:rPr>
                  <m:t>×E</m:t>
                </m:r>
                <m:sSub>
                  <m:sSubPr>
                    <m:ctrlPr>
                      <w:rPr>
                        <w:rFonts w:ascii="Cambria Math" w:hAnsi="Cambria Math" w:cs="Times New Roman"/>
                        <w:b w:val="0"/>
                        <w:bCs/>
                        <w:i/>
                        <w:szCs w:val="32"/>
                      </w:rPr>
                    </m:ctrlPr>
                  </m:sSubPr>
                  <m:e>
                    <m:r>
                      <m:rPr/>
                      <w:rPr>
                        <w:rFonts w:hint="default" w:ascii="Cambria Math" w:hAnsi="Cambria Math" w:cs="Times New Roman"/>
                        <w:szCs w:val="32"/>
                      </w:rPr>
                      <m:t>F</m:t>
                    </m:r>
                    <m:ctrlPr>
                      <w:rPr>
                        <w:rFonts w:ascii="Cambria Math" w:hAnsi="Cambria Math" w:cs="Times New Roman"/>
                        <w:b w:val="0"/>
                        <w:bCs/>
                        <w:i/>
                        <w:szCs w:val="32"/>
                      </w:rPr>
                    </m:ctrlPr>
                  </m:e>
                  <m:sub>
                    <m:r>
                      <m:rPr/>
                      <w:rPr>
                        <w:rFonts w:hint="default" w:ascii="Cambria Math" w:hAnsi="Cambria Math" w:cs="Times New Roman"/>
                        <w:szCs w:val="32"/>
                      </w:rPr>
                      <m:t>i</m:t>
                    </m:r>
                    <m:ctrlPr>
                      <w:rPr>
                        <w:rFonts w:ascii="Cambria Math" w:hAnsi="Cambria Math" w:cs="Times New Roman"/>
                        <w:b w:val="0"/>
                        <w:bCs/>
                        <w:i/>
                        <w:szCs w:val="32"/>
                      </w:rPr>
                    </m:ctrlPr>
                  </m:sub>
                </m:sSub>
              </m:oMath>
            </m:oMathPara>
          </w:p>
        </w:tc>
        <w:tc>
          <w:tcPr>
            <w:tcW w:w="799"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O</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——第</w:t>
            </w:r>
            <m:oMath>
              <m:r>
                <m:rPr/>
                <w:rPr>
                  <w:rFonts w:hint="default" w:ascii="Cambria Math" w:hAnsi="Cambria Math" w:cs="Times New Roman"/>
                  <w:szCs w:val="32"/>
                </w:rPr>
                <m:t>i</m:t>
              </m:r>
            </m:oMath>
            <w:r>
              <w:rPr>
                <w:rFonts w:ascii="Times New Roman" w:hAnsi="Times New Roman" w:cs="Times New Roman"/>
                <w:b w:val="0"/>
                <w:bCs/>
                <w:szCs w:val="32"/>
              </w:rPr>
              <w:t>类能源消耗年能源使用量（单位/a）；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EF</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——第</w:t>
            </w:r>
            <m:oMath>
              <m:r>
                <m:rPr/>
                <w:rPr>
                  <w:rFonts w:hint="default" w:ascii="Cambria Math" w:hAnsi="Cambria Math" w:cs="Times New Roman"/>
                  <w:szCs w:val="32"/>
                </w:rPr>
                <m:t>i</m:t>
              </m:r>
            </m:oMath>
            <w:r>
              <w:rPr>
                <w:rFonts w:ascii="Times New Roman" w:hAnsi="Times New Roman" w:cs="Times New Roman"/>
                <w:b w:val="0"/>
                <w:bCs/>
                <w:szCs w:val="32"/>
              </w:rPr>
              <w:t>种能源的碳排放因子（tCO</w:t>
            </w:r>
            <w:r>
              <w:rPr>
                <w:rFonts w:ascii="Times New Roman" w:hAnsi="Times New Roman" w:cs="Times New Roman"/>
                <w:b w:val="0"/>
                <w:bCs/>
                <w:szCs w:val="32"/>
                <w:vertAlign w:val="subscript"/>
              </w:rPr>
              <w:t>2</w:t>
            </w:r>
            <w:r>
              <w:rPr>
                <w:rFonts w:ascii="Times New Roman" w:hAnsi="Times New Roman" w:cs="Times New Roman"/>
                <w:b w:val="0"/>
                <w:bCs/>
                <w:szCs w:val="32"/>
              </w:rPr>
              <w:t>/单位）。</w:t>
            </w:r>
          </w:p>
        </w:tc>
      </w:tr>
    </w:tbl>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r>
        <w:rPr>
          <w:rFonts w:ascii="Times New Roman" w:hAnsi="Times New Roman" w:cs="Times New Roman"/>
          <w:b w:val="0"/>
          <w:bCs/>
          <w:szCs w:val="32"/>
        </w:rPr>
        <w:t xml:space="preserve">C.0.9 区域内可再生能源发电的降碳量应按下式计算： </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pPr>
              <w:autoSpaceDE w:val="0"/>
              <w:autoSpaceDN w:val="0"/>
              <w:spacing w:line="360" w:lineRule="auto"/>
              <w:rPr>
                <w:rFonts w:ascii="Times New Roman" w:hAnsi="Times New Roman" w:cs="Times New Roman"/>
                <w:b w:val="0"/>
                <w:bCs/>
                <w:szCs w:val="32"/>
              </w:rPr>
            </w:pPr>
            <m:oMathPara>
              <m:oMath>
                <m:sSub>
                  <m:sSubPr>
                    <m:ctrlPr>
                      <w:rPr>
                        <w:rFonts w:ascii="Cambria Math" w:hAnsi="Cambria Math" w:cs="Times New Roman"/>
                        <w:b w:val="0"/>
                        <w:bCs/>
                        <w:sz w:val="18"/>
                        <w:szCs w:val="24"/>
                      </w:rPr>
                    </m:ctrlPr>
                  </m:sSubPr>
                  <m:e>
                    <m:r>
                      <m:rPr/>
                      <w:rPr>
                        <w:rFonts w:hint="default" w:ascii="Cambria Math" w:hAnsi="Cambria Math" w:cs="Times New Roman"/>
                        <w:sz w:val="18"/>
                        <w:szCs w:val="24"/>
                      </w:rPr>
                      <m:t>C</m:t>
                    </m:r>
                    <m:ctrlPr>
                      <w:rPr>
                        <w:rFonts w:ascii="Cambria Math" w:hAnsi="Cambria Math" w:cs="Times New Roman"/>
                        <w:b w:val="0"/>
                        <w:bCs/>
                        <w:sz w:val="18"/>
                        <w:szCs w:val="24"/>
                      </w:rPr>
                    </m:ctrlPr>
                  </m:e>
                  <m:sub>
                    <m:r>
                      <m:rPr/>
                      <w:rPr>
                        <w:rFonts w:hint="default" w:ascii="Cambria Math" w:hAnsi="Cambria Math" w:cs="Times New Roman"/>
                        <w:sz w:val="18"/>
                        <w:szCs w:val="24"/>
                      </w:rPr>
                      <m:t>d,r</m:t>
                    </m:r>
                    <m:ctrlPr>
                      <w:rPr>
                        <w:rFonts w:ascii="Cambria Math" w:hAnsi="Cambria Math" w:cs="Times New Roman"/>
                        <w:b w:val="0"/>
                        <w:bCs/>
                        <w:sz w:val="18"/>
                        <w:szCs w:val="24"/>
                      </w:rPr>
                    </m:ctrlPr>
                  </m:sub>
                </m:sSub>
                <m:r>
                  <m:rPr/>
                  <w:rPr>
                    <w:rFonts w:ascii="Cambria Math" w:hAnsi="Cambria Math" w:cs="Times New Roman"/>
                    <w:sz w:val="18"/>
                    <w:szCs w:val="24"/>
                  </w:rPr>
                  <m:t>=</m:t>
                </m:r>
                <m:f>
                  <m:fPr>
                    <m:ctrlPr>
                      <w:rPr>
                        <w:rFonts w:ascii="Cambria Math" w:hAnsi="Cambria Math" w:cs="Times New Roman"/>
                        <w:b w:val="0"/>
                        <w:bCs/>
                        <w:sz w:val="22"/>
                        <w:szCs w:val="36"/>
                      </w:rPr>
                    </m:ctrlPr>
                  </m:fPr>
                  <m:num>
                    <m:nary>
                      <m:naryPr>
                        <m:chr m:val="∑"/>
                        <m:limLoc m:val="undOvr"/>
                        <m:ctrlPr>
                          <w:rPr>
                            <w:rFonts w:ascii="Cambria Math" w:hAnsi="Cambria Math" w:cs="Times New Roman"/>
                            <w:b w:val="0"/>
                            <w:bCs/>
                            <w:sz w:val="22"/>
                            <w:szCs w:val="36"/>
                          </w:rPr>
                        </m:ctrlPr>
                      </m:naryPr>
                      <m:sub>
                        <m:r>
                          <m:rPr/>
                          <w:rPr>
                            <w:rFonts w:hint="default" w:ascii="Cambria Math" w:hAnsi="Cambria Math" w:cs="Times New Roman"/>
                            <w:sz w:val="22"/>
                            <w:szCs w:val="36"/>
                          </w:rPr>
                          <m:t>i</m:t>
                        </m:r>
                        <m:r>
                          <m:rPr>
                            <m:sty m:val="p"/>
                          </m:rPr>
                          <w:rPr>
                            <w:rFonts w:hint="default" w:ascii="Cambria Math" w:hAnsi="Cambria Math" w:cs="Times New Roman"/>
                            <w:sz w:val="22"/>
                            <w:szCs w:val="36"/>
                          </w:rPr>
                          <m:t>=1</m:t>
                        </m:r>
                        <m:ctrlPr>
                          <w:rPr>
                            <w:rFonts w:ascii="Cambria Math" w:hAnsi="Cambria Math" w:cs="Times New Roman"/>
                            <w:b w:val="0"/>
                            <w:bCs/>
                            <w:sz w:val="22"/>
                            <w:szCs w:val="36"/>
                          </w:rPr>
                        </m:ctrlPr>
                      </m:sub>
                      <m:sup>
                        <m:r>
                          <m:rPr/>
                          <w:rPr>
                            <w:rFonts w:hint="default" w:ascii="Cambria Math" w:hAnsi="Cambria Math" w:cs="Times New Roman"/>
                            <w:sz w:val="22"/>
                            <w:szCs w:val="36"/>
                          </w:rPr>
                          <m:t>n</m:t>
                        </m:r>
                        <m:ctrlPr>
                          <w:rPr>
                            <w:rFonts w:ascii="Cambria Math" w:hAnsi="Cambria Math" w:cs="Times New Roman"/>
                            <w:b w:val="0"/>
                            <w:bCs/>
                            <w:sz w:val="22"/>
                            <w:szCs w:val="36"/>
                          </w:rPr>
                        </m:ctrlPr>
                      </m:sup>
                      <m:e>
                        <m:sSub>
                          <m:sSubPr>
                            <m:ctrlPr>
                              <w:rPr>
                                <w:rFonts w:ascii="Cambria Math" w:hAnsi="Cambria Math" w:cs="Times New Roman"/>
                                <w:b w:val="0"/>
                                <w:bCs/>
                                <w:sz w:val="22"/>
                                <w:szCs w:val="36"/>
                              </w:rPr>
                            </m:ctrlPr>
                          </m:sSubPr>
                          <m:e>
                            <m:r>
                              <m:rPr/>
                              <w:rPr>
                                <w:rFonts w:hint="default" w:ascii="Cambria Math" w:hAnsi="Cambria Math" w:cs="Times New Roman"/>
                                <w:sz w:val="22"/>
                                <w:szCs w:val="36"/>
                              </w:rPr>
                              <m:t>E</m:t>
                            </m:r>
                            <m:ctrlPr>
                              <w:rPr>
                                <w:rFonts w:ascii="Cambria Math" w:hAnsi="Cambria Math" w:cs="Times New Roman"/>
                                <w:b w:val="0"/>
                                <w:bCs/>
                                <w:sz w:val="22"/>
                                <w:szCs w:val="36"/>
                              </w:rPr>
                            </m:ctrlPr>
                          </m:e>
                          <m:sub>
                            <m:r>
                              <m:rPr/>
                              <w:rPr>
                                <w:rFonts w:hint="default" w:ascii="Cambria Math" w:hAnsi="Cambria Math" w:cs="Times New Roman"/>
                                <w:sz w:val="22"/>
                                <w:szCs w:val="36"/>
                              </w:rPr>
                              <m:t>i</m:t>
                            </m:r>
                            <m:ctrlPr>
                              <w:rPr>
                                <w:rFonts w:ascii="Cambria Math" w:hAnsi="Cambria Math" w:cs="Times New Roman"/>
                                <w:b w:val="0"/>
                                <w:bCs/>
                                <w:sz w:val="22"/>
                                <w:szCs w:val="36"/>
                              </w:rPr>
                            </m:ctrlPr>
                          </m:sub>
                        </m:sSub>
                        <m:ctrlPr>
                          <w:rPr>
                            <w:rFonts w:ascii="Cambria Math" w:hAnsi="Cambria Math" w:cs="Times New Roman"/>
                            <w:b w:val="0"/>
                            <w:bCs/>
                            <w:sz w:val="22"/>
                            <w:szCs w:val="36"/>
                          </w:rPr>
                        </m:ctrlPr>
                      </m:e>
                    </m:nary>
                    <m:r>
                      <m:rPr>
                        <m:sty m:val="p"/>
                      </m:rPr>
                      <w:rPr>
                        <w:rFonts w:ascii="Cambria Math" w:hAnsi="Cambria Math" w:cs="Times New Roman"/>
                        <w:sz w:val="22"/>
                        <w:szCs w:val="36"/>
                      </w:rPr>
                      <m:t>×</m:t>
                    </m:r>
                    <m:r>
                      <m:rPr/>
                      <w:rPr>
                        <w:rFonts w:hint="default" w:ascii="Cambria Math" w:hAnsi="Cambria Math" w:cs="Times New Roman"/>
                        <w:sz w:val="22"/>
                        <w:szCs w:val="36"/>
                      </w:rPr>
                      <m:t>E</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F</m:t>
                        </m:r>
                        <m:ctrlPr>
                          <w:rPr>
                            <w:rFonts w:ascii="Cambria Math" w:hAnsi="Cambria Math" w:cs="Times New Roman"/>
                            <w:b w:val="0"/>
                            <w:bCs/>
                            <w:sz w:val="22"/>
                            <w:szCs w:val="36"/>
                          </w:rPr>
                        </m:ctrlPr>
                      </m:e>
                      <m:sub>
                        <m:r>
                          <m:rPr>
                            <m:sty m:val="p"/>
                          </m:rPr>
                          <w:rPr>
                            <w:rFonts w:hint="default" w:ascii="Cambria Math" w:hAnsi="Cambria Math" w:cs="Times New Roman"/>
                            <w:sz w:val="22"/>
                            <w:szCs w:val="36"/>
                          </w:rPr>
                          <m:t>1</m:t>
                        </m:r>
                        <m:ctrlPr>
                          <w:rPr>
                            <w:rFonts w:ascii="Cambria Math" w:hAnsi="Cambria Math" w:cs="Times New Roman"/>
                            <w:b w:val="0"/>
                            <w:bCs/>
                            <w:sz w:val="22"/>
                            <w:szCs w:val="36"/>
                          </w:rPr>
                        </m:ctrlPr>
                      </m:sub>
                    </m:sSub>
                    <m:ctrlPr>
                      <w:rPr>
                        <w:rFonts w:ascii="Cambria Math" w:hAnsi="Cambria Math" w:cs="Times New Roman"/>
                        <w:b w:val="0"/>
                        <w:bCs/>
                        <w:sz w:val="22"/>
                        <w:szCs w:val="36"/>
                      </w:rPr>
                    </m:ctrlPr>
                  </m:num>
                  <m:den>
                    <m:r>
                      <m:rPr>
                        <m:sty m:val="p"/>
                      </m:rPr>
                      <w:rPr>
                        <w:rFonts w:hint="default" w:ascii="Cambria Math" w:hAnsi="Cambria Math" w:cs="Times New Roman"/>
                        <w:sz w:val="22"/>
                        <w:szCs w:val="36"/>
                      </w:rPr>
                      <m:t>1000</m:t>
                    </m:r>
                    <m:ctrlPr>
                      <w:rPr>
                        <w:rFonts w:ascii="Cambria Math" w:hAnsi="Cambria Math" w:cs="Times New Roman"/>
                        <w:b w:val="0"/>
                        <w:bCs/>
                        <w:sz w:val="22"/>
                        <w:szCs w:val="36"/>
                      </w:rPr>
                    </m:ctrlPr>
                  </m:den>
                </m:f>
              </m:oMath>
            </m:oMathPara>
          </w:p>
        </w:tc>
        <w:tc>
          <w:tcPr>
            <w:tcW w:w="799"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E</m:t>
                  </m:r>
                  <m:ctrlPr>
                    <w:rPr>
                      <w:rFonts w:ascii="Cambria Math" w:hAnsi="Cambria Math" w:cs="Times New Roman"/>
                      <w:b w:val="0"/>
                      <w:bCs/>
                      <w:szCs w:val="32"/>
                    </w:rPr>
                  </m:ctrlPr>
                </m:e>
                <m:sub>
                  <m:r>
                    <m:rPr/>
                    <w:rPr>
                      <w:rFonts w:hint="default" w:ascii="Cambria Math" w:hAnsi="Cambria Math" w:cs="Times New Roman"/>
                      <w:szCs w:val="32"/>
                    </w:rPr>
                    <m:t>i</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——区域内第</w:t>
            </w:r>
            <m:oMath>
              <m:r>
                <m:rPr/>
                <w:rPr>
                  <w:rFonts w:hint="default" w:ascii="Cambria Math" w:hAnsi="Cambria Math" w:cs="Times New Roman"/>
                  <w:szCs w:val="32"/>
                </w:rPr>
                <m:t>i</m:t>
              </m:r>
            </m:oMath>
            <w:r>
              <w:rPr>
                <w:rFonts w:ascii="Times New Roman" w:hAnsi="Times New Roman" w:cs="Times New Roman"/>
                <w:b w:val="0"/>
                <w:bCs/>
                <w:szCs w:val="32"/>
              </w:rPr>
              <w:t>类可再生能源设备年产能量（kWh/a）；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EF</m:t>
                  </m:r>
                  <m:ctrlPr>
                    <w:rPr>
                      <w:rFonts w:ascii="Cambria Math" w:hAnsi="Cambria Math" w:cs="Times New Roman"/>
                      <w:b w:val="0"/>
                      <w:bCs/>
                      <w:szCs w:val="32"/>
                    </w:rPr>
                  </m:ctrlPr>
                </m:e>
                <m:sub>
                  <m:r>
                    <m:rPr/>
                    <w:rPr>
                      <w:rFonts w:hint="default" w:ascii="Cambria Math" w:hAnsi="Cambria Math" w:cs="Times New Roman"/>
                      <w:szCs w:val="32"/>
                    </w:rPr>
                    <m:t>1</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——电力系统碳排放因子，取</w:t>
            </w:r>
            <w:r>
              <w:rPr>
                <w:rFonts w:ascii="Times New Roman" w:hAnsi="Times New Roman" w:cs="Times New Roman"/>
                <w:b w:val="0"/>
                <w:bCs/>
                <w:color w:val="000000" w:themeColor="text1"/>
                <w:szCs w:val="32"/>
                <w14:textFill>
                  <w14:solidFill>
                    <w14:schemeClr w14:val="tx1"/>
                  </w14:solidFill>
                </w14:textFill>
              </w:rPr>
              <w:t>0.5kg</w:t>
            </w:r>
            <w:r>
              <w:rPr>
                <w:rFonts w:ascii="Times New Roman" w:hAnsi="Times New Roman" w:cs="Times New Roman"/>
                <w:b w:val="0"/>
                <w:bCs/>
                <w:szCs w:val="32"/>
              </w:rPr>
              <w:t>CO</w:t>
            </w:r>
            <w:r>
              <w:rPr>
                <w:rFonts w:ascii="Times New Roman" w:hAnsi="Times New Roman" w:cs="Times New Roman"/>
                <w:b w:val="0"/>
                <w:bCs/>
                <w:szCs w:val="32"/>
                <w:vertAlign w:val="subscript"/>
              </w:rPr>
              <w:t>2</w:t>
            </w:r>
            <w:r>
              <w:rPr>
                <w:rFonts w:ascii="Times New Roman" w:hAnsi="Times New Roman" w:cs="Times New Roman"/>
                <w:b w:val="0"/>
                <w:bCs/>
                <w:szCs w:val="32"/>
              </w:rPr>
              <w:t>/kWh；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r>
                <m:rPr/>
                <w:rPr>
                  <w:rFonts w:hint="default" w:ascii="Cambria Math" w:hAnsi="Cambria Math" w:cs="Times New Roman"/>
                  <w:szCs w:val="32"/>
                </w:rPr>
                <m:t>i</m:t>
              </m:r>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——可再生能源设备序号。</w:t>
            </w:r>
          </w:p>
        </w:tc>
      </w:tr>
    </w:tbl>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r>
        <w:rPr>
          <w:rFonts w:ascii="Times New Roman" w:hAnsi="Times New Roman" w:cs="Times New Roman"/>
          <w:b w:val="0"/>
          <w:bCs/>
          <w:szCs w:val="32"/>
        </w:rPr>
        <w:t>C.0.10 区域内碳汇降碳量应按照下式计算：</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pPr>
              <w:autoSpaceDE w:val="0"/>
              <w:autoSpaceDN w:val="0"/>
              <w:spacing w:before="156" w:beforeLines="50" w:line="360" w:lineRule="auto"/>
              <w:rPr>
                <w:rFonts w:ascii="Times New Roman" w:hAnsi="Times New Roman" w:cs="Times New Roman"/>
                <w:b w:val="0"/>
                <w:bCs/>
                <w:szCs w:val="32"/>
              </w:rPr>
            </w:pPr>
            <m:oMathPara>
              <m:oMath>
                <m:sSub>
                  <m:sSubPr>
                    <m:ctrlPr>
                      <w:rPr>
                        <w:rFonts w:ascii="Cambria Math" w:hAnsi="Cambria Math" w:cs="Times New Roman"/>
                        <w:b w:val="0"/>
                        <w:bCs/>
                        <w:sz w:val="18"/>
                        <w:szCs w:val="24"/>
                      </w:rPr>
                    </m:ctrlPr>
                  </m:sSubPr>
                  <m:e>
                    <m:r>
                      <m:rPr/>
                      <w:rPr>
                        <w:rFonts w:hint="default" w:ascii="Cambria Math" w:hAnsi="Cambria Math" w:cs="Times New Roman"/>
                        <w:sz w:val="18"/>
                        <w:szCs w:val="24"/>
                      </w:rPr>
                      <m:t>C</m:t>
                    </m:r>
                    <m:ctrlPr>
                      <w:rPr>
                        <w:rFonts w:ascii="Cambria Math" w:hAnsi="Cambria Math" w:cs="Times New Roman"/>
                        <w:b w:val="0"/>
                        <w:bCs/>
                        <w:sz w:val="18"/>
                        <w:szCs w:val="24"/>
                      </w:rPr>
                    </m:ctrlPr>
                  </m:e>
                  <m:sub>
                    <m:r>
                      <m:rPr/>
                      <w:rPr>
                        <w:rFonts w:hint="default" w:ascii="Cambria Math" w:hAnsi="Cambria Math" w:cs="Times New Roman"/>
                        <w:sz w:val="18"/>
                        <w:szCs w:val="24"/>
                      </w:rPr>
                      <m:t>d,s</m:t>
                    </m:r>
                    <m:ctrlPr>
                      <w:rPr>
                        <w:rFonts w:ascii="Cambria Math" w:hAnsi="Cambria Math" w:cs="Times New Roman"/>
                        <w:b w:val="0"/>
                        <w:bCs/>
                        <w:sz w:val="18"/>
                        <w:szCs w:val="24"/>
                      </w:rPr>
                    </m:ctrlPr>
                  </m:sub>
                </m:sSub>
                <m:r>
                  <m:rPr/>
                  <w:rPr>
                    <w:rFonts w:ascii="Cambria Math" w:hAnsi="Cambria Math" w:cs="Times New Roman"/>
                    <w:sz w:val="18"/>
                    <w:szCs w:val="24"/>
                  </w:rPr>
                  <m:t>=</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A</m:t>
                    </m:r>
                    <m:ctrlPr>
                      <w:rPr>
                        <w:rFonts w:ascii="Cambria Math" w:hAnsi="Cambria Math" w:cs="Times New Roman"/>
                        <w:b w:val="0"/>
                        <w:bCs/>
                        <w:sz w:val="22"/>
                        <w:szCs w:val="36"/>
                      </w:rPr>
                    </m:ctrlPr>
                  </m:e>
                  <m:sub>
                    <m:r>
                      <m:rPr/>
                      <w:rPr>
                        <w:rFonts w:hint="default" w:ascii="Cambria Math" w:hAnsi="Cambria Math" w:cs="Times New Roman"/>
                        <w:sz w:val="22"/>
                        <w:szCs w:val="36"/>
                      </w:rPr>
                      <m:t>s</m:t>
                    </m:r>
                    <m:ctrlPr>
                      <w:rPr>
                        <w:rFonts w:ascii="Cambria Math" w:hAnsi="Cambria Math" w:cs="Times New Roman"/>
                        <w:b w:val="0"/>
                        <w:bCs/>
                        <w:sz w:val="22"/>
                        <w:szCs w:val="36"/>
                      </w:rPr>
                    </m:ctrlPr>
                  </m:sub>
                </m:sSub>
                <m:r>
                  <m:rPr>
                    <m:sty m:val="p"/>
                  </m:rPr>
                  <w:rPr>
                    <w:rFonts w:ascii="Cambria Math" w:hAnsi="Cambria Math" w:cs="Times New Roman"/>
                    <w:sz w:val="22"/>
                    <w:szCs w:val="36"/>
                  </w:rPr>
                  <m:t>×</m:t>
                </m:r>
                <m:r>
                  <m:rPr/>
                  <w:rPr>
                    <w:rFonts w:hint="default" w:ascii="Cambria Math" w:hAnsi="Cambria Math" w:cs="Times New Roman"/>
                    <w:sz w:val="22"/>
                    <w:szCs w:val="36"/>
                  </w:rPr>
                  <m:t>E</m:t>
                </m:r>
                <m:sSub>
                  <m:sSubPr>
                    <m:ctrlPr>
                      <w:rPr>
                        <w:rFonts w:ascii="Cambria Math" w:hAnsi="Cambria Math" w:cs="Times New Roman"/>
                        <w:b w:val="0"/>
                        <w:bCs/>
                        <w:sz w:val="22"/>
                        <w:szCs w:val="36"/>
                      </w:rPr>
                    </m:ctrlPr>
                  </m:sSubPr>
                  <m:e>
                    <m:r>
                      <m:rPr/>
                      <w:rPr>
                        <w:rFonts w:hint="default" w:ascii="Cambria Math" w:hAnsi="Cambria Math" w:cs="Times New Roman"/>
                        <w:sz w:val="22"/>
                        <w:szCs w:val="36"/>
                      </w:rPr>
                      <m:t>F</m:t>
                    </m:r>
                    <m:ctrlPr>
                      <w:rPr>
                        <w:rFonts w:ascii="Cambria Math" w:hAnsi="Cambria Math" w:cs="Times New Roman"/>
                        <w:b w:val="0"/>
                        <w:bCs/>
                        <w:sz w:val="22"/>
                        <w:szCs w:val="36"/>
                      </w:rPr>
                    </m:ctrlPr>
                  </m:e>
                  <m:sub>
                    <m:r>
                      <m:rPr/>
                      <w:rPr>
                        <w:rFonts w:hint="default" w:ascii="Cambria Math" w:hAnsi="Cambria Math" w:cs="Times New Roman"/>
                        <w:sz w:val="22"/>
                        <w:szCs w:val="36"/>
                      </w:rPr>
                      <m:t>s</m:t>
                    </m:r>
                    <m:ctrlPr>
                      <w:rPr>
                        <w:rFonts w:ascii="Cambria Math" w:hAnsi="Cambria Math" w:cs="Times New Roman"/>
                        <w:b w:val="0"/>
                        <w:bCs/>
                        <w:sz w:val="22"/>
                        <w:szCs w:val="36"/>
                      </w:rPr>
                    </m:ctrlPr>
                  </m:sub>
                </m:sSub>
              </m:oMath>
            </m:oMathPara>
          </w:p>
        </w:tc>
        <w:tc>
          <w:tcPr>
            <w:tcW w:w="799" w:type="dxa"/>
            <w:vAlign w:val="center"/>
          </w:tcPr>
          <w:p>
            <w:pPr>
              <w:autoSpaceDE w:val="0"/>
              <w:autoSpaceDN w:val="0"/>
              <w:jc w:val="center"/>
              <w:rPr>
                <w:rFonts w:ascii="Times New Roman" w:hAnsi="Times New Roman" w:cs="Times New Roman"/>
                <w:b w:val="0"/>
                <w:bCs/>
                <w:szCs w:val="32"/>
              </w:rPr>
            </w:pPr>
            <w:r>
              <w:rPr>
                <w:rFonts w:ascii="Times New Roman" w:hAnsi="Times New Roman" w:cs="Times New Roman"/>
                <w:b w:val="0"/>
                <w:bCs/>
                <w:szCs w:val="32"/>
              </w:rPr>
              <w:t>(C.0.10)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ind w:firstLine="210" w:firstLineChars="100"/>
              <w:jc w:val="right"/>
              <w:rPr>
                <w:rFonts w:ascii="Times New Roman" w:hAnsi="Times New Roman" w:cs="Times New Roman"/>
                <w:b w:val="0"/>
                <w:bCs/>
                <w:szCs w:val="32"/>
              </w:rPr>
            </w:pPr>
            <w:r>
              <w:rPr>
                <w:rFonts w:ascii="Times New Roman" w:hAnsi="Times New Roman" w:cs="Times New Roman"/>
                <w:b w:val="0"/>
                <w:bCs/>
                <w:szCs w:val="32"/>
              </w:rPr>
              <w:t>式中：</w:t>
            </w: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A</m:t>
                  </m:r>
                  <m:ctrlPr>
                    <w:rPr>
                      <w:rFonts w:ascii="Cambria Math" w:hAnsi="Cambria Math" w:cs="Times New Roman"/>
                      <w:b w:val="0"/>
                      <w:bCs/>
                      <w:szCs w:val="32"/>
                    </w:rPr>
                  </m:ctrlPr>
                </m:e>
                <m:sub>
                  <m:r>
                    <m:rPr/>
                    <w:rPr>
                      <w:rFonts w:hint="default" w:ascii="Cambria Math" w:hAnsi="Cambria Math" w:cs="Times New Roman"/>
                      <w:szCs w:val="32"/>
                    </w:rPr>
                    <m:t>s</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——区域内林地总面积（公顷）；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pPr>
              <w:autoSpaceDE w:val="0"/>
              <w:autoSpaceDN w:val="0"/>
              <w:spacing w:line="360" w:lineRule="auto"/>
              <w:jc w:val="right"/>
              <w:rPr>
                <w:rFonts w:ascii="Times New Roman" w:hAnsi="Times New Roman" w:cs="Times New Roman"/>
                <w:b w:val="0"/>
                <w:bCs/>
                <w:szCs w:val="32"/>
              </w:rPr>
            </w:pPr>
          </w:p>
        </w:tc>
        <w:tc>
          <w:tcPr>
            <w:tcW w:w="838"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szCs w:val="32"/>
                    </w:rPr>
                  </m:ctrlPr>
                </m:sSubPr>
                <m:e>
                  <m:r>
                    <m:rPr/>
                    <w:rPr>
                      <w:rFonts w:hint="default" w:ascii="Cambria Math" w:hAnsi="Cambria Math" w:cs="Times New Roman"/>
                      <w:szCs w:val="32"/>
                    </w:rPr>
                    <m:t>EF</m:t>
                  </m:r>
                  <m:ctrlPr>
                    <w:rPr>
                      <w:rFonts w:ascii="Cambria Math" w:hAnsi="Cambria Math" w:cs="Times New Roman"/>
                      <w:b w:val="0"/>
                      <w:bCs/>
                      <w:szCs w:val="32"/>
                    </w:rPr>
                  </m:ctrlPr>
                </m:e>
                <m:sub>
                  <m:r>
                    <m:rPr/>
                    <w:rPr>
                      <w:rFonts w:hint="default" w:ascii="Cambria Math" w:hAnsi="Cambria Math" w:cs="Times New Roman"/>
                      <w:szCs w:val="32"/>
                    </w:rPr>
                    <m:t>s</m:t>
                  </m:r>
                  <m:ctrlPr>
                    <w:rPr>
                      <w:rFonts w:ascii="Cambria Math" w:hAnsi="Cambria Math" w:cs="Times New Roman"/>
                      <w:b w:val="0"/>
                      <w:bCs/>
                      <w:szCs w:val="32"/>
                    </w:rPr>
                  </m:ctrlPr>
                </m:sub>
              </m:sSub>
            </m:oMath>
            <w:r>
              <w:rPr>
                <w:rFonts w:ascii="Times New Roman" w:hAnsi="Times New Roman" w:cs="Times New Roman"/>
                <w:b w:val="0"/>
                <w:bCs/>
                <w:szCs w:val="32"/>
              </w:rPr>
              <w:t xml:space="preserve"> </w:t>
            </w:r>
          </w:p>
        </w:tc>
        <w:tc>
          <w:tcPr>
            <w:tcW w:w="6476" w:type="dxa"/>
            <w:gridSpan w:val="2"/>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——林地年单位面积碳汇能力（tCO</w:t>
            </w:r>
            <w:r>
              <w:rPr>
                <w:rFonts w:ascii="Times New Roman" w:hAnsi="Times New Roman" w:cs="Times New Roman"/>
                <w:b w:val="0"/>
                <w:bCs/>
                <w:szCs w:val="32"/>
                <w:vertAlign w:val="subscript"/>
              </w:rPr>
              <w:t>2</w:t>
            </w:r>
            <w:r>
              <w:rPr>
                <w:rFonts w:ascii="Times New Roman" w:hAnsi="Times New Roman" w:cs="Times New Roman"/>
                <w:b w:val="0"/>
                <w:bCs/>
                <w:szCs w:val="32"/>
              </w:rPr>
              <w:t>/(公顷</w:t>
            </w:r>
            <w:r>
              <w:rPr>
                <w:rFonts w:ascii="Times New Roman" w:hAnsi="Times New Roman" w:cs="Times New Roman"/>
                <w:b w:val="0"/>
                <w:bCs/>
                <w:szCs w:val="32"/>
              </w:rPr>
              <w:sym w:font="Wingdings" w:char="F09E"/>
            </w:r>
            <w:r>
              <w:rPr>
                <w:rFonts w:ascii="Times New Roman" w:hAnsi="Times New Roman" w:cs="Times New Roman"/>
                <w:b w:val="0"/>
                <w:bCs/>
                <w:szCs w:val="32"/>
              </w:rPr>
              <w:t>a)）。</w:t>
            </w:r>
          </w:p>
        </w:tc>
      </w:tr>
    </w:tbl>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r>
        <w:rPr>
          <w:rFonts w:ascii="Times New Roman" w:hAnsi="Times New Roman" w:cs="Times New Roman"/>
          <w:b w:val="0"/>
          <w:bCs/>
          <w:szCs w:val="32"/>
        </w:rPr>
        <w:t>C.0.11 区域人均碳排放量应按下式计算：</w:t>
      </w:r>
    </w:p>
    <w:p>
      <w:pPr>
        <w:wordWrap w:val="0"/>
        <w:ind w:firstLine="480"/>
        <w:jc w:val="right"/>
        <w:rPr>
          <w:rFonts w:ascii="Times New Roman" w:hAnsi="Times New Roman" w:cs="Times New Roman"/>
          <w:b w:val="0"/>
          <w:bCs/>
          <w:szCs w:val="32"/>
        </w:rPr>
      </w:pPr>
      <m:oMath>
        <m:sSub>
          <m:sSubPr>
            <m:ctrlPr>
              <w:rPr>
                <w:rFonts w:ascii="Cambria Math" w:hAnsi="Cambria Math" w:cs="Times New Roman"/>
                <w:b w:val="0"/>
                <w:bCs/>
                <w:color w:val="111111"/>
                <w:sz w:val="24"/>
                <w:szCs w:val="21"/>
              </w:rPr>
            </m:ctrlPr>
          </m:sSubPr>
          <m:e>
            <m:r>
              <m:rPr/>
              <w:rPr>
                <w:rFonts w:hint="default" w:ascii="Cambria Math" w:hAnsi="Cambria Math" w:cs="Times New Roman"/>
                <w:color w:val="111111"/>
                <w:sz w:val="24"/>
                <w:szCs w:val="21"/>
              </w:rPr>
              <m:t>C</m:t>
            </m:r>
            <m:ctrlPr>
              <w:rPr>
                <w:rFonts w:ascii="Cambria Math" w:hAnsi="Cambria Math" w:cs="Times New Roman"/>
                <w:b w:val="0"/>
                <w:bCs/>
                <w:color w:val="111111"/>
                <w:sz w:val="24"/>
                <w:szCs w:val="21"/>
              </w:rPr>
            </m:ctrlPr>
          </m:e>
          <m:sub>
            <m:r>
              <m:rPr/>
              <w:rPr>
                <w:rFonts w:hint="default" w:ascii="Cambria Math" w:hAnsi="Cambria Math" w:cs="Times New Roman"/>
                <w:color w:val="111111"/>
                <w:sz w:val="24"/>
                <w:szCs w:val="21"/>
              </w:rPr>
              <m:t>p</m:t>
            </m:r>
            <m:ctrlPr>
              <w:rPr>
                <w:rFonts w:ascii="Cambria Math" w:hAnsi="Cambria Math" w:cs="Times New Roman"/>
                <w:b w:val="0"/>
                <w:bCs/>
                <w:color w:val="111111"/>
                <w:sz w:val="24"/>
                <w:szCs w:val="21"/>
              </w:rPr>
            </m:ctrlPr>
          </m:sub>
        </m:sSub>
        <m:r>
          <m:rPr/>
          <w:rPr>
            <w:rFonts w:ascii="Cambria Math" w:hAnsi="Cambria Math" w:cs="Times New Roman"/>
            <w:color w:val="111111"/>
            <w:sz w:val="24"/>
            <w:szCs w:val="21"/>
          </w:rPr>
          <m:t>=</m:t>
        </m:r>
        <m:f>
          <m:fPr>
            <m:ctrlPr>
              <w:rPr>
                <w:rFonts w:ascii="Cambria Math" w:hAnsi="Cambria Math" w:cs="Times New Roman"/>
                <w:b w:val="0"/>
                <w:bCs/>
                <w:i/>
                <w:color w:val="111111"/>
                <w:sz w:val="24"/>
                <w:szCs w:val="21"/>
              </w:rPr>
            </m:ctrlPr>
          </m:fPr>
          <m:num>
            <m:sSub>
              <m:sSubPr>
                <m:ctrlPr>
                  <w:rPr>
                    <w:rFonts w:ascii="Cambria Math" w:hAnsi="Cambria Math" w:cs="Times New Roman"/>
                    <w:b w:val="0"/>
                    <w:bCs/>
                    <w:i/>
                    <w:color w:val="111111"/>
                    <w:sz w:val="24"/>
                    <w:szCs w:val="21"/>
                  </w:rPr>
                </m:ctrlPr>
              </m:sSubPr>
              <m:e>
                <m:r>
                  <m:rPr/>
                  <w:rPr>
                    <w:rFonts w:hint="default" w:ascii="Cambria Math" w:hAnsi="Cambria Math" w:cs="Times New Roman"/>
                    <w:color w:val="111111"/>
                    <w:sz w:val="24"/>
                    <w:szCs w:val="21"/>
                  </w:rPr>
                  <m:t>C</m:t>
                </m:r>
                <m:ctrlPr>
                  <w:rPr>
                    <w:rFonts w:ascii="Cambria Math" w:hAnsi="Cambria Math" w:cs="Times New Roman"/>
                    <w:b w:val="0"/>
                    <w:bCs/>
                    <w:i/>
                    <w:color w:val="111111"/>
                    <w:sz w:val="24"/>
                    <w:szCs w:val="21"/>
                  </w:rPr>
                </m:ctrlPr>
              </m:e>
              <m:sub>
                <m:r>
                  <m:rPr/>
                  <w:rPr>
                    <w:rFonts w:hint="default" w:ascii="Cambria Math" w:hAnsi="Cambria Math" w:cs="Times New Roman"/>
                    <w:color w:val="111111"/>
                    <w:sz w:val="24"/>
                    <w:szCs w:val="21"/>
                  </w:rPr>
                  <m:t>d</m:t>
                </m:r>
                <m:ctrlPr>
                  <w:rPr>
                    <w:rFonts w:ascii="Cambria Math" w:hAnsi="Cambria Math" w:cs="Times New Roman"/>
                    <w:b w:val="0"/>
                    <w:bCs/>
                    <w:i/>
                    <w:color w:val="111111"/>
                    <w:sz w:val="24"/>
                    <w:szCs w:val="21"/>
                  </w:rPr>
                </m:ctrlPr>
              </m:sub>
            </m:sSub>
            <m:ctrlPr>
              <w:rPr>
                <w:rFonts w:ascii="Cambria Math" w:hAnsi="Cambria Math" w:cs="Times New Roman"/>
                <w:b w:val="0"/>
                <w:bCs/>
                <w:i/>
                <w:color w:val="111111"/>
                <w:sz w:val="24"/>
                <w:szCs w:val="21"/>
              </w:rPr>
            </m:ctrlPr>
          </m:num>
          <m:den>
            <m:r>
              <m:rPr/>
              <w:rPr>
                <w:rFonts w:hint="default" w:ascii="Cambria Math" w:hAnsi="Cambria Math" w:cs="Times New Roman"/>
                <w:szCs w:val="32"/>
              </w:rPr>
              <m:t>P</m:t>
            </m:r>
            <m:ctrlPr>
              <w:rPr>
                <w:rFonts w:ascii="Cambria Math" w:hAnsi="Cambria Math" w:cs="Times New Roman"/>
                <w:b w:val="0"/>
                <w:bCs/>
                <w:i/>
                <w:color w:val="111111"/>
                <w:sz w:val="24"/>
                <w:szCs w:val="21"/>
              </w:rPr>
            </m:ctrlPr>
          </m:den>
        </m:f>
      </m:oMath>
      <w:r>
        <w:rPr>
          <w:rFonts w:ascii="Times New Roman" w:hAnsi="Times New Roman" w:cs="Times New Roman"/>
          <w:b w:val="0"/>
          <w:bCs/>
          <w:color w:val="111111"/>
          <w:sz w:val="24"/>
          <w:szCs w:val="21"/>
        </w:rPr>
        <w:t xml:space="preserve"> </w:t>
      </w:r>
      <w:r>
        <w:rPr>
          <w:rFonts w:ascii="Times New Roman" w:hAnsi="Times New Roman" w:cs="Times New Roman"/>
          <w:b w:val="0"/>
          <w:bCs/>
          <w:color w:val="111111"/>
          <w:szCs w:val="21"/>
        </w:rPr>
        <w:t xml:space="preserve">                                </w:t>
      </w:r>
      <w:r>
        <w:rPr>
          <w:rFonts w:ascii="Times New Roman" w:hAnsi="Times New Roman" w:cs="Times New Roman"/>
          <w:b w:val="0"/>
          <w:bCs/>
          <w:szCs w:val="32"/>
        </w:rPr>
        <w:t>(C.0.11)</w:t>
      </w:r>
    </w:p>
    <w:tbl>
      <w:tblPr>
        <w:tblStyle w:val="44"/>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50"/>
        <w:gridCol w:w="6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right"/>
        </w:trPr>
        <w:tc>
          <w:tcPr>
            <w:tcW w:w="988" w:type="dxa"/>
          </w:tcPr>
          <w:p>
            <w:pPr>
              <w:autoSpaceDE w:val="0"/>
              <w:autoSpaceDN w:val="0"/>
              <w:jc w:val="right"/>
              <w:rPr>
                <w:rFonts w:ascii="Times New Roman" w:hAnsi="Times New Roman" w:eastAsia="宋体" w:cs="Times New Roman"/>
                <w:b w:val="0"/>
                <w:bCs/>
                <w:color w:val="111111"/>
                <w:sz w:val="24"/>
                <w:szCs w:val="21"/>
              </w:rPr>
            </w:pPr>
            <w:r>
              <w:rPr>
                <w:rFonts w:ascii="Times New Roman" w:hAnsi="Times New Roman" w:cs="Times New Roman"/>
                <w:b w:val="0"/>
                <w:bCs/>
                <w:szCs w:val="32"/>
              </w:rPr>
              <w:t>式中：</w:t>
            </w:r>
          </w:p>
        </w:tc>
        <w:tc>
          <w:tcPr>
            <w:tcW w:w="850" w:type="dxa"/>
            <w:vAlign w:val="center"/>
          </w:tcPr>
          <w:p>
            <w:pPr>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color w:val="111111"/>
                      <w:sz w:val="24"/>
                      <w:szCs w:val="21"/>
                    </w:rPr>
                  </m:ctrlPr>
                </m:sSubPr>
                <m:e>
                  <m:r>
                    <m:rPr/>
                    <w:rPr>
                      <w:rFonts w:hint="default" w:ascii="Cambria Math" w:hAnsi="Cambria Math" w:cs="Times New Roman"/>
                      <w:color w:val="111111"/>
                      <w:sz w:val="24"/>
                      <w:szCs w:val="21"/>
                    </w:rPr>
                    <m:t>C</m:t>
                  </m:r>
                  <m:ctrlPr>
                    <w:rPr>
                      <w:rFonts w:ascii="Cambria Math" w:hAnsi="Cambria Math" w:cs="Times New Roman"/>
                      <w:b w:val="0"/>
                      <w:bCs/>
                      <w:color w:val="111111"/>
                      <w:sz w:val="24"/>
                      <w:szCs w:val="21"/>
                    </w:rPr>
                  </m:ctrlPr>
                </m:e>
                <m:sub>
                  <m:r>
                    <m:rPr/>
                    <w:rPr>
                      <w:rFonts w:hint="default" w:ascii="Cambria Math" w:hAnsi="Cambria Math" w:cs="Times New Roman"/>
                      <w:color w:val="111111"/>
                      <w:sz w:val="24"/>
                      <w:szCs w:val="21"/>
                    </w:rPr>
                    <m:t>p</m:t>
                  </m:r>
                  <m:ctrlPr>
                    <w:rPr>
                      <w:rFonts w:ascii="Cambria Math" w:hAnsi="Cambria Math" w:cs="Times New Roman"/>
                      <w:b w:val="0"/>
                      <w:bCs/>
                      <w:color w:val="111111"/>
                      <w:sz w:val="24"/>
                      <w:szCs w:val="21"/>
                    </w:rPr>
                  </m:ctrlPr>
                </m:sub>
              </m:sSub>
            </m:oMath>
            <w:r>
              <w:rPr>
                <w:rFonts w:ascii="Times New Roman" w:hAnsi="Times New Roman" w:cs="Times New Roman"/>
                <w:b w:val="0"/>
                <w:bCs/>
                <w:szCs w:val="32"/>
              </w:rPr>
              <w:t xml:space="preserve"> </w:t>
            </w:r>
          </w:p>
        </w:tc>
        <w:tc>
          <w:tcPr>
            <w:tcW w:w="6415" w:type="dxa"/>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w:t>
            </w:r>
            <w:r>
              <w:rPr>
                <w:rFonts w:ascii="Times New Roman" w:hAnsi="Times New Roman" w:cs="Times New Roman"/>
                <w:b w:val="0"/>
                <w:bCs/>
              </w:rPr>
              <w:t>区域人均碳排放量（tCO</w:t>
            </w:r>
            <w:r>
              <w:rPr>
                <w:rFonts w:ascii="Times New Roman" w:hAnsi="Times New Roman" w:cs="Times New Roman"/>
                <w:b w:val="0"/>
                <w:bCs/>
                <w:vertAlign w:val="subscript"/>
              </w:rPr>
              <w:t>2</w:t>
            </w:r>
            <w:r>
              <w:rPr>
                <w:rFonts w:ascii="Times New Roman" w:hAnsi="Times New Roman" w:cs="Times New Roman"/>
                <w:b w:val="0"/>
                <w:bCs/>
              </w:rPr>
              <w:t>/人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right"/>
        </w:trPr>
        <w:tc>
          <w:tcPr>
            <w:tcW w:w="988" w:type="dxa"/>
          </w:tcPr>
          <w:p>
            <w:pPr>
              <w:wordWrap w:val="0"/>
              <w:autoSpaceDE w:val="0"/>
              <w:autoSpaceDN w:val="0"/>
              <w:jc w:val="right"/>
              <w:rPr>
                <w:rFonts w:ascii="Times New Roman" w:hAnsi="Times New Roman" w:eastAsia="宋体" w:cs="Times New Roman"/>
                <w:b w:val="0"/>
                <w:bCs/>
                <w:szCs w:val="32"/>
              </w:rPr>
            </w:pPr>
          </w:p>
        </w:tc>
        <w:tc>
          <w:tcPr>
            <w:tcW w:w="850" w:type="dxa"/>
            <w:vAlign w:val="center"/>
          </w:tcPr>
          <w:p>
            <w:pPr>
              <w:wordWrap w:val="0"/>
              <w:autoSpaceDE w:val="0"/>
              <w:autoSpaceDN w:val="0"/>
              <w:jc w:val="right"/>
              <w:rPr>
                <w:rFonts w:ascii="Times New Roman" w:hAnsi="Times New Roman" w:cs="Times New Roman"/>
                <w:b w:val="0"/>
                <w:bCs/>
                <w:szCs w:val="32"/>
              </w:rPr>
            </w:pPr>
            <m:oMath>
              <m:r>
                <m:rPr/>
                <w:rPr>
                  <w:rFonts w:hint="default" w:ascii="Cambria Math" w:hAnsi="Cambria Math" w:cs="Times New Roman"/>
                  <w:szCs w:val="32"/>
                </w:rPr>
                <m:t>P</m:t>
              </m:r>
            </m:oMath>
            <w:r>
              <w:rPr>
                <w:rFonts w:ascii="Times New Roman" w:hAnsi="Times New Roman" w:cs="Times New Roman"/>
                <w:b w:val="0"/>
                <w:bCs/>
                <w:szCs w:val="32"/>
              </w:rPr>
              <w:t xml:space="preserve"> </w:t>
            </w:r>
          </w:p>
        </w:tc>
        <w:tc>
          <w:tcPr>
            <w:tcW w:w="6415" w:type="dxa"/>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w:t>
            </w:r>
            <w:r>
              <w:rPr>
                <w:rFonts w:ascii="Times New Roman" w:hAnsi="Times New Roman" w:cs="Times New Roman"/>
                <w:b w:val="0"/>
                <w:bCs/>
              </w:rPr>
              <w:t>区域总人数（人）。</w:t>
            </w:r>
          </w:p>
        </w:tc>
      </w:tr>
    </w:tbl>
    <w:p>
      <w:pPr>
        <w:ind w:firstLine="480"/>
        <w:jc w:val="right"/>
        <w:rPr>
          <w:rFonts w:ascii="Times New Roman" w:hAnsi="Times New Roman" w:cs="Times New Roman"/>
          <w:b w:val="0"/>
          <w:bCs/>
          <w:color w:val="111111"/>
          <w:szCs w:val="21"/>
        </w:rPr>
      </w:pPr>
    </w:p>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r>
        <w:rPr>
          <w:rFonts w:ascii="Times New Roman" w:hAnsi="Times New Roman" w:cs="Times New Roman"/>
          <w:b w:val="0"/>
          <w:bCs/>
          <w:szCs w:val="32"/>
        </w:rPr>
        <w:t>C.0.12 区域降碳率应按下式计算：</w:t>
      </w:r>
    </w:p>
    <w:p>
      <w:pPr>
        <w:wordWrap w:val="0"/>
        <w:ind w:firstLine="480"/>
        <w:jc w:val="right"/>
        <w:rPr>
          <w:rFonts w:ascii="Times New Roman" w:hAnsi="Times New Roman" w:cs="Times New Roman"/>
          <w:b w:val="0"/>
          <w:bCs/>
          <w:szCs w:val="32"/>
        </w:rPr>
      </w:pPr>
      <m:oMath>
        <m:sSub>
          <m:sSubPr>
            <m:ctrlPr>
              <w:rPr>
                <w:rFonts w:ascii="Cambria Math" w:hAnsi="Cambria Math" w:cs="Times New Roman"/>
                <w:b w:val="0"/>
                <w:bCs/>
                <w:i/>
                <w:color w:val="111111"/>
                <w:sz w:val="24"/>
              </w:rPr>
            </m:ctrlPr>
          </m:sSubPr>
          <m:e>
            <m:r>
              <m:rPr/>
              <w:rPr>
                <w:rFonts w:hint="default" w:ascii="Cambria Math" w:hAnsi="Cambria Math" w:cs="Times New Roman"/>
                <w:color w:val="111111"/>
                <w:sz w:val="24"/>
              </w:rPr>
              <m:t>R</m:t>
            </m:r>
            <m:ctrlPr>
              <w:rPr>
                <w:rFonts w:ascii="Cambria Math" w:hAnsi="Cambria Math" w:cs="Times New Roman"/>
                <w:b w:val="0"/>
                <w:bCs/>
                <w:i/>
                <w:color w:val="111111"/>
                <w:sz w:val="24"/>
              </w:rPr>
            </m:ctrlPr>
          </m:e>
          <m:sub>
            <m:r>
              <m:rPr/>
              <w:rPr>
                <w:rFonts w:hint="default" w:ascii="Cambria Math" w:hAnsi="Cambria Math" w:cs="Times New Roman"/>
                <w:color w:val="111111"/>
                <w:sz w:val="24"/>
              </w:rPr>
              <m:t>cc</m:t>
            </m:r>
            <m:ctrlPr>
              <w:rPr>
                <w:rFonts w:ascii="Cambria Math" w:hAnsi="Cambria Math" w:cs="Times New Roman"/>
                <w:b w:val="0"/>
                <w:bCs/>
                <w:i/>
                <w:color w:val="111111"/>
                <w:sz w:val="24"/>
              </w:rPr>
            </m:ctrlPr>
          </m:sub>
        </m:sSub>
        <m:r>
          <m:rPr/>
          <w:rPr>
            <w:rFonts w:ascii="Cambria Math" w:hAnsi="Cambria Math" w:cs="Times New Roman"/>
            <w:color w:val="111111"/>
            <w:sz w:val="24"/>
          </w:rPr>
          <m:t>=</m:t>
        </m:r>
        <m:f>
          <m:fPr>
            <m:ctrlPr>
              <w:rPr>
                <w:rFonts w:ascii="Cambria Math" w:hAnsi="Cambria Math" w:cs="Times New Roman"/>
                <w:b w:val="0"/>
                <w:bCs/>
                <w:i/>
                <w:color w:val="111111"/>
                <w:sz w:val="24"/>
              </w:rPr>
            </m:ctrlPr>
          </m:fPr>
          <m:num>
            <m:d>
              <m:dPr>
                <m:begChr m:val="|"/>
                <m:endChr m:val="|"/>
                <m:ctrlPr>
                  <w:rPr>
                    <w:rFonts w:ascii="Cambria Math" w:hAnsi="Cambria Math" w:cs="Times New Roman"/>
                    <w:b w:val="0"/>
                    <w:bCs/>
                    <w:i/>
                    <w:color w:val="111111"/>
                    <w:sz w:val="22"/>
                    <w:szCs w:val="21"/>
                  </w:rPr>
                </m:ctrlPr>
              </m:dPr>
              <m:e>
                <m:sSub>
                  <m:sSubPr>
                    <m:ctrlPr>
                      <w:rPr>
                        <w:rFonts w:ascii="Cambria Math" w:hAnsi="Cambria Math" w:cs="Times New Roman"/>
                        <w:b w:val="0"/>
                        <w:bCs/>
                        <w:i/>
                        <w:color w:val="111111"/>
                        <w:sz w:val="22"/>
                        <w:szCs w:val="21"/>
                      </w:rPr>
                    </m:ctrlPr>
                  </m:sSubPr>
                  <m:e>
                    <m:r>
                      <m:rPr/>
                      <w:rPr>
                        <w:rFonts w:hint="default" w:ascii="Cambria Math" w:hAnsi="Cambria Math" w:cs="Times New Roman"/>
                        <w:color w:val="111111"/>
                        <w:sz w:val="22"/>
                        <w:szCs w:val="21"/>
                      </w:rPr>
                      <m:t>C</m:t>
                    </m:r>
                    <m:ctrlPr>
                      <w:rPr>
                        <w:rFonts w:ascii="Cambria Math" w:hAnsi="Cambria Math" w:cs="Times New Roman"/>
                        <w:b w:val="0"/>
                        <w:bCs/>
                        <w:i/>
                        <w:color w:val="111111"/>
                        <w:sz w:val="22"/>
                        <w:szCs w:val="21"/>
                      </w:rPr>
                    </m:ctrlPr>
                  </m:e>
                  <m:sub>
                    <m:r>
                      <m:rPr/>
                      <w:rPr>
                        <w:rFonts w:hint="default" w:ascii="Cambria Math" w:hAnsi="Cambria Math" w:cs="Times New Roman"/>
                        <w:color w:val="111111"/>
                        <w:sz w:val="22"/>
                        <w:szCs w:val="21"/>
                      </w:rPr>
                      <m:t>rd</m:t>
                    </m:r>
                    <m:ctrlPr>
                      <w:rPr>
                        <w:rFonts w:ascii="Cambria Math" w:hAnsi="Cambria Math" w:cs="Times New Roman"/>
                        <w:b w:val="0"/>
                        <w:bCs/>
                        <w:i/>
                        <w:color w:val="111111"/>
                        <w:sz w:val="22"/>
                        <w:szCs w:val="21"/>
                      </w:rPr>
                    </m:ctrlPr>
                  </m:sub>
                </m:sSub>
                <m:r>
                  <m:rPr/>
                  <w:rPr>
                    <w:rFonts w:ascii="Cambria Math" w:hAnsi="Cambria Math" w:cs="Times New Roman"/>
                    <w:color w:val="111111"/>
                    <w:sz w:val="24"/>
                  </w:rPr>
                  <m:t>−</m:t>
                </m:r>
                <m:sSub>
                  <m:sSubPr>
                    <m:ctrlPr>
                      <w:rPr>
                        <w:rFonts w:ascii="Cambria Math" w:hAnsi="Cambria Math" w:cs="Times New Roman"/>
                        <w:b w:val="0"/>
                        <w:bCs/>
                        <w:i/>
                        <w:color w:val="111111"/>
                        <w:sz w:val="22"/>
                        <w:szCs w:val="21"/>
                      </w:rPr>
                    </m:ctrlPr>
                  </m:sSubPr>
                  <m:e>
                    <m:r>
                      <m:rPr/>
                      <w:rPr>
                        <w:rFonts w:hint="default" w:ascii="Cambria Math" w:hAnsi="Cambria Math" w:cs="Times New Roman"/>
                        <w:color w:val="111111"/>
                        <w:sz w:val="22"/>
                        <w:szCs w:val="21"/>
                      </w:rPr>
                      <m:t>C</m:t>
                    </m:r>
                    <m:ctrlPr>
                      <w:rPr>
                        <w:rFonts w:ascii="Cambria Math" w:hAnsi="Cambria Math" w:cs="Times New Roman"/>
                        <w:b w:val="0"/>
                        <w:bCs/>
                        <w:i/>
                        <w:color w:val="111111"/>
                        <w:sz w:val="22"/>
                        <w:szCs w:val="21"/>
                      </w:rPr>
                    </m:ctrlPr>
                  </m:e>
                  <m:sub>
                    <m:r>
                      <m:rPr/>
                      <w:rPr>
                        <w:rFonts w:hint="default" w:ascii="Cambria Math" w:hAnsi="Cambria Math" w:cs="Times New Roman"/>
                        <w:color w:val="111111"/>
                        <w:sz w:val="22"/>
                        <w:szCs w:val="21"/>
                      </w:rPr>
                      <m:t>dd</m:t>
                    </m:r>
                    <m:ctrlPr>
                      <w:rPr>
                        <w:rFonts w:ascii="Cambria Math" w:hAnsi="Cambria Math" w:cs="Times New Roman"/>
                        <w:b w:val="0"/>
                        <w:bCs/>
                        <w:i/>
                        <w:color w:val="111111"/>
                        <w:sz w:val="22"/>
                        <w:szCs w:val="21"/>
                      </w:rPr>
                    </m:ctrlPr>
                  </m:sub>
                </m:sSub>
                <m:ctrlPr>
                  <w:rPr>
                    <w:rFonts w:ascii="Cambria Math" w:hAnsi="Cambria Math" w:cs="Times New Roman"/>
                    <w:b w:val="0"/>
                    <w:bCs/>
                    <w:i/>
                    <w:color w:val="111111"/>
                    <w:sz w:val="22"/>
                    <w:szCs w:val="21"/>
                  </w:rPr>
                </m:ctrlPr>
              </m:e>
            </m:d>
            <m:ctrlPr>
              <w:rPr>
                <w:rFonts w:ascii="Cambria Math" w:hAnsi="Cambria Math" w:cs="Times New Roman"/>
                <w:b w:val="0"/>
                <w:bCs/>
                <w:i/>
                <w:color w:val="111111"/>
                <w:sz w:val="24"/>
              </w:rPr>
            </m:ctrlPr>
          </m:num>
          <m:den>
            <m:sSub>
              <m:sSubPr>
                <m:ctrlPr>
                  <w:rPr>
                    <w:rFonts w:ascii="Cambria Math" w:hAnsi="Cambria Math" w:cs="Times New Roman"/>
                    <w:b w:val="0"/>
                    <w:bCs/>
                    <w:i/>
                    <w:color w:val="111111"/>
                    <w:sz w:val="22"/>
                    <w:szCs w:val="21"/>
                  </w:rPr>
                </m:ctrlPr>
              </m:sSubPr>
              <m:e>
                <m:r>
                  <m:rPr/>
                  <w:rPr>
                    <w:rFonts w:hint="default" w:ascii="Cambria Math" w:hAnsi="Cambria Math" w:cs="Times New Roman"/>
                    <w:color w:val="111111"/>
                    <w:sz w:val="22"/>
                    <w:szCs w:val="21"/>
                  </w:rPr>
                  <m:t>C</m:t>
                </m:r>
                <m:ctrlPr>
                  <w:rPr>
                    <w:rFonts w:ascii="Cambria Math" w:hAnsi="Cambria Math" w:cs="Times New Roman"/>
                    <w:b w:val="0"/>
                    <w:bCs/>
                    <w:i/>
                    <w:color w:val="111111"/>
                    <w:sz w:val="22"/>
                    <w:szCs w:val="21"/>
                  </w:rPr>
                </m:ctrlPr>
              </m:e>
              <m:sub>
                <m:r>
                  <m:rPr/>
                  <w:rPr>
                    <w:rFonts w:hint="default" w:ascii="Cambria Math" w:hAnsi="Cambria Math" w:cs="Times New Roman"/>
                    <w:color w:val="111111"/>
                    <w:sz w:val="22"/>
                    <w:szCs w:val="21"/>
                  </w:rPr>
                  <m:t>rd</m:t>
                </m:r>
                <m:ctrlPr>
                  <w:rPr>
                    <w:rFonts w:ascii="Cambria Math" w:hAnsi="Cambria Math" w:cs="Times New Roman"/>
                    <w:b w:val="0"/>
                    <w:bCs/>
                    <w:i/>
                    <w:color w:val="111111"/>
                    <w:sz w:val="22"/>
                    <w:szCs w:val="21"/>
                  </w:rPr>
                </m:ctrlPr>
              </m:sub>
            </m:sSub>
            <m:ctrlPr>
              <w:rPr>
                <w:rFonts w:ascii="Cambria Math" w:hAnsi="Cambria Math" w:cs="Times New Roman"/>
                <w:b w:val="0"/>
                <w:bCs/>
                <w:i/>
                <w:color w:val="111111"/>
                <w:sz w:val="24"/>
              </w:rPr>
            </m:ctrlPr>
          </m:den>
        </m:f>
        <m:r>
          <m:rPr/>
          <w:rPr>
            <w:rFonts w:hint="default" w:ascii="Cambria Math" w:hAnsi="Cambria Math" w:cs="Times New Roman"/>
            <w:color w:val="111111"/>
            <w:sz w:val="22"/>
            <w:szCs w:val="21"/>
          </w:rPr>
          <m:t>×100%</m:t>
        </m:r>
      </m:oMath>
      <w:r>
        <w:rPr>
          <w:rFonts w:ascii="Times New Roman" w:hAnsi="Times New Roman" w:cs="Times New Roman"/>
          <w:b w:val="0"/>
          <w:bCs/>
          <w:color w:val="111111"/>
          <w:sz w:val="24"/>
          <w:szCs w:val="21"/>
        </w:rPr>
        <w:t xml:space="preserve"> </w:t>
      </w:r>
      <w:r>
        <w:rPr>
          <w:rFonts w:ascii="Times New Roman" w:hAnsi="Times New Roman" w:cs="Times New Roman"/>
          <w:b w:val="0"/>
          <w:bCs/>
          <w:color w:val="111111"/>
          <w:szCs w:val="21"/>
        </w:rPr>
        <w:t xml:space="preserve">                        </w:t>
      </w:r>
      <w:r>
        <w:rPr>
          <w:rFonts w:ascii="Times New Roman" w:hAnsi="Times New Roman" w:cs="Times New Roman"/>
          <w:b w:val="0"/>
          <w:bCs/>
          <w:szCs w:val="32"/>
        </w:rPr>
        <w:t>(C.0.12)</w:t>
      </w:r>
    </w:p>
    <w:tbl>
      <w:tblPr>
        <w:tblStyle w:val="44"/>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50"/>
        <w:gridCol w:w="6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pPr>
              <w:autoSpaceDE w:val="0"/>
              <w:autoSpaceDN w:val="0"/>
              <w:jc w:val="right"/>
              <w:rPr>
                <w:rFonts w:ascii="Times New Roman" w:hAnsi="Times New Roman" w:eastAsia="宋体" w:cs="Times New Roman"/>
                <w:b w:val="0"/>
                <w:bCs/>
                <w:color w:val="111111"/>
                <w:sz w:val="24"/>
                <w:szCs w:val="21"/>
              </w:rPr>
            </w:pPr>
            <w:r>
              <w:rPr>
                <w:rFonts w:ascii="Times New Roman" w:hAnsi="Times New Roman" w:cs="Times New Roman"/>
                <w:b w:val="0"/>
                <w:bCs/>
                <w:szCs w:val="32"/>
              </w:rPr>
              <w:t>式中：</w:t>
            </w:r>
          </w:p>
        </w:tc>
        <w:tc>
          <w:tcPr>
            <w:tcW w:w="850" w:type="dxa"/>
            <w:vAlign w:val="center"/>
          </w:tcPr>
          <w:p>
            <w:pPr>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color w:val="111111"/>
                      <w:sz w:val="24"/>
                      <w:szCs w:val="21"/>
                    </w:rPr>
                  </m:ctrlPr>
                </m:sSubPr>
                <m:e>
                  <m:r>
                    <m:rPr/>
                    <w:rPr>
                      <w:rFonts w:hint="default" w:ascii="Cambria Math" w:hAnsi="Cambria Math" w:cs="Times New Roman"/>
                      <w:color w:val="111111"/>
                      <w:sz w:val="24"/>
                      <w:szCs w:val="21"/>
                    </w:rPr>
                    <m:t>R</m:t>
                  </m:r>
                  <m:ctrlPr>
                    <w:rPr>
                      <w:rFonts w:ascii="Cambria Math" w:hAnsi="Cambria Math" w:cs="Times New Roman"/>
                      <w:b w:val="0"/>
                      <w:bCs/>
                      <w:color w:val="111111"/>
                      <w:sz w:val="24"/>
                      <w:szCs w:val="21"/>
                    </w:rPr>
                  </m:ctrlPr>
                </m:e>
                <m:sub>
                  <m:r>
                    <m:rPr/>
                    <w:rPr>
                      <w:rFonts w:hint="default" w:ascii="Cambria Math" w:hAnsi="Cambria Math" w:cs="Times New Roman"/>
                      <w:color w:val="111111"/>
                      <w:sz w:val="24"/>
                      <w:szCs w:val="21"/>
                    </w:rPr>
                    <m:t>cc</m:t>
                  </m:r>
                  <m:ctrlPr>
                    <w:rPr>
                      <w:rFonts w:ascii="Cambria Math" w:hAnsi="Cambria Math" w:cs="Times New Roman"/>
                      <w:b w:val="0"/>
                      <w:bCs/>
                      <w:color w:val="111111"/>
                      <w:sz w:val="24"/>
                      <w:szCs w:val="21"/>
                    </w:rPr>
                  </m:ctrlPr>
                </m:sub>
              </m:sSub>
            </m:oMath>
            <w:r>
              <w:rPr>
                <w:rFonts w:ascii="Times New Roman" w:hAnsi="Times New Roman" w:cs="Times New Roman"/>
                <w:b w:val="0"/>
                <w:bCs/>
                <w:szCs w:val="32"/>
              </w:rPr>
              <w:t xml:space="preserve"> </w:t>
            </w:r>
          </w:p>
        </w:tc>
        <w:tc>
          <w:tcPr>
            <w:tcW w:w="6464" w:type="dxa"/>
            <w:tcMar>
              <w:left w:w="0" w:type="dxa"/>
              <w:right w:w="0" w:type="dxa"/>
            </w:tcMar>
            <w:vAlign w:val="center"/>
          </w:tcPr>
          <w:p>
            <w:pPr>
              <w:autoSpaceDE w:val="0"/>
              <w:autoSpaceDN w:val="0"/>
              <w:rPr>
                <w:rFonts w:ascii="Times New Roman" w:hAnsi="Times New Roman" w:cs="Times New Roman"/>
                <w:b w:val="0"/>
                <w:bCs/>
                <w:szCs w:val="32"/>
              </w:rPr>
            </w:pPr>
            <w:r>
              <w:rPr>
                <w:rFonts w:ascii="Times New Roman" w:hAnsi="Times New Roman" w:cs="Times New Roman"/>
                <w:b w:val="0"/>
                <w:bCs/>
                <w:szCs w:val="32"/>
              </w:rPr>
              <w:t>——</w:t>
            </w:r>
            <w:r>
              <w:rPr>
                <w:rFonts w:ascii="Times New Roman" w:hAnsi="Times New Roman" w:cs="Times New Roman"/>
                <w:b w:val="0"/>
                <w:bCs/>
              </w:rPr>
              <w:t>区域降碳率（%）；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pPr>
              <w:wordWrap w:val="0"/>
              <w:autoSpaceDE w:val="0"/>
              <w:autoSpaceDN w:val="0"/>
              <w:jc w:val="right"/>
              <w:rPr>
                <w:rFonts w:ascii="Times New Roman" w:hAnsi="Times New Roman" w:eastAsia="宋体" w:cs="Times New Roman"/>
                <w:b w:val="0"/>
                <w:bCs/>
                <w:color w:val="111111"/>
                <w:sz w:val="22"/>
                <w:szCs w:val="21"/>
              </w:rPr>
            </w:pPr>
          </w:p>
        </w:tc>
        <w:tc>
          <w:tcPr>
            <w:tcW w:w="850" w:type="dxa"/>
            <w:vAlign w:val="center"/>
          </w:tcPr>
          <w:p>
            <w:pPr>
              <w:wordWrap w:val="0"/>
              <w:autoSpaceDE w:val="0"/>
              <w:autoSpaceDN w:val="0"/>
              <w:jc w:val="right"/>
              <w:rPr>
                <w:rFonts w:ascii="Times New Roman" w:hAnsi="Times New Roman" w:cs="Times New Roman"/>
                <w:b w:val="0"/>
                <w:bCs/>
                <w:szCs w:val="32"/>
              </w:rPr>
            </w:pPr>
            <m:oMath>
              <m:sSub>
                <m:sSubPr>
                  <m:ctrlPr>
                    <w:rPr>
                      <w:rFonts w:ascii="Cambria Math" w:hAnsi="Cambria Math" w:cs="Times New Roman"/>
                      <w:b w:val="0"/>
                      <w:bCs/>
                      <w:i/>
                      <w:color w:val="111111"/>
                      <w:sz w:val="22"/>
                      <w:szCs w:val="21"/>
                    </w:rPr>
                  </m:ctrlPr>
                </m:sSubPr>
                <m:e>
                  <m:r>
                    <m:rPr/>
                    <w:rPr>
                      <w:rFonts w:hint="default" w:ascii="Cambria Math" w:hAnsi="Cambria Math" w:cs="Times New Roman"/>
                      <w:color w:val="111111"/>
                      <w:sz w:val="22"/>
                      <w:szCs w:val="21"/>
                    </w:rPr>
                    <m:t>C</m:t>
                  </m:r>
                  <m:ctrlPr>
                    <w:rPr>
                      <w:rFonts w:ascii="Cambria Math" w:hAnsi="Cambria Math" w:cs="Times New Roman"/>
                      <w:b w:val="0"/>
                      <w:bCs/>
                      <w:i/>
                      <w:color w:val="111111"/>
                      <w:sz w:val="22"/>
                      <w:szCs w:val="21"/>
                    </w:rPr>
                  </m:ctrlPr>
                </m:e>
                <m:sub>
                  <m:r>
                    <m:rPr/>
                    <w:rPr>
                      <w:rFonts w:hint="default" w:ascii="Cambria Math" w:hAnsi="Cambria Math" w:cs="Times New Roman"/>
                      <w:color w:val="111111"/>
                      <w:sz w:val="22"/>
                      <w:szCs w:val="21"/>
                    </w:rPr>
                    <m:t>rd</m:t>
                  </m:r>
                  <m:ctrlPr>
                    <w:rPr>
                      <w:rFonts w:ascii="Cambria Math" w:hAnsi="Cambria Math" w:cs="Times New Roman"/>
                      <w:b w:val="0"/>
                      <w:bCs/>
                      <w:i/>
                      <w:color w:val="111111"/>
                      <w:sz w:val="22"/>
                      <w:szCs w:val="21"/>
                    </w:rPr>
                  </m:ctrlPr>
                </m:sub>
              </m:sSub>
            </m:oMath>
            <w:r>
              <w:rPr>
                <w:rFonts w:ascii="Times New Roman" w:hAnsi="Times New Roman" w:cs="Times New Roman"/>
                <w:b w:val="0"/>
                <w:bCs/>
                <w:szCs w:val="32"/>
              </w:rPr>
              <w:t xml:space="preserve"> </w:t>
            </w:r>
          </w:p>
        </w:tc>
        <w:tc>
          <w:tcPr>
            <w:tcW w:w="6464" w:type="dxa"/>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w:t>
            </w:r>
            <w:r>
              <w:rPr>
                <w:rFonts w:ascii="Times New Roman" w:hAnsi="Times New Roman" w:cs="Times New Roman"/>
                <w:b w:val="0"/>
                <w:bCs/>
              </w:rPr>
              <w:t>基准区域内全年二氧化碳排放总量（tCO</w:t>
            </w:r>
            <w:r>
              <w:rPr>
                <w:rFonts w:ascii="Times New Roman" w:hAnsi="Times New Roman" w:cs="Times New Roman"/>
                <w:b w:val="0"/>
                <w:bCs/>
                <w:vertAlign w:val="subscript"/>
              </w:rPr>
              <w:t>2</w:t>
            </w:r>
            <w:r>
              <w:rPr>
                <w:rFonts w:ascii="Times New Roman" w:hAnsi="Times New Roman" w:cs="Times New Roman"/>
                <w:b w:val="0"/>
                <w:bCs/>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pPr>
              <w:wordWrap w:val="0"/>
              <w:autoSpaceDE w:val="0"/>
              <w:autoSpaceDN w:val="0"/>
              <w:jc w:val="right"/>
              <w:rPr>
                <w:rFonts w:ascii="Times New Roman" w:hAnsi="Times New Roman" w:eastAsia="宋体" w:cs="Times New Roman"/>
                <w:b w:val="0"/>
                <w:bCs/>
                <w:color w:val="111111"/>
                <w:sz w:val="22"/>
                <w:szCs w:val="21"/>
              </w:rPr>
            </w:pPr>
          </w:p>
        </w:tc>
        <w:tc>
          <w:tcPr>
            <w:tcW w:w="850" w:type="dxa"/>
            <w:vAlign w:val="center"/>
          </w:tcPr>
          <w:p>
            <w:pPr>
              <w:wordWrap w:val="0"/>
              <w:autoSpaceDE w:val="0"/>
              <w:autoSpaceDN w:val="0"/>
              <w:jc w:val="right"/>
              <w:rPr>
                <w:rFonts w:ascii="Times New Roman" w:hAnsi="Times New Roman" w:eastAsia="宋体" w:cs="Times New Roman"/>
                <w:b w:val="0"/>
                <w:bCs/>
                <w:color w:val="111111"/>
                <w:sz w:val="22"/>
                <w:szCs w:val="21"/>
              </w:rPr>
            </w:pPr>
            <m:oMath>
              <m:sSub>
                <m:sSubPr>
                  <m:ctrlPr>
                    <w:rPr>
                      <w:rFonts w:ascii="Cambria Math" w:hAnsi="Cambria Math" w:cs="Times New Roman"/>
                      <w:b w:val="0"/>
                      <w:bCs/>
                      <w:i/>
                      <w:color w:val="111111"/>
                      <w:sz w:val="22"/>
                      <w:szCs w:val="21"/>
                    </w:rPr>
                  </m:ctrlPr>
                </m:sSubPr>
                <m:e>
                  <m:r>
                    <m:rPr/>
                    <w:rPr>
                      <w:rFonts w:hint="default" w:ascii="Cambria Math" w:hAnsi="Cambria Math" w:cs="Times New Roman"/>
                      <w:color w:val="111111"/>
                      <w:sz w:val="22"/>
                      <w:szCs w:val="21"/>
                    </w:rPr>
                    <m:t>C</m:t>
                  </m:r>
                  <m:ctrlPr>
                    <w:rPr>
                      <w:rFonts w:ascii="Cambria Math" w:hAnsi="Cambria Math" w:cs="Times New Roman"/>
                      <w:b w:val="0"/>
                      <w:bCs/>
                      <w:i/>
                      <w:color w:val="111111"/>
                      <w:sz w:val="22"/>
                      <w:szCs w:val="21"/>
                    </w:rPr>
                  </m:ctrlPr>
                </m:e>
                <m:sub>
                  <m:r>
                    <m:rPr/>
                    <w:rPr>
                      <w:rFonts w:hint="default" w:ascii="Cambria Math" w:hAnsi="Cambria Math" w:cs="Times New Roman"/>
                      <w:color w:val="111111"/>
                      <w:sz w:val="22"/>
                      <w:szCs w:val="21"/>
                    </w:rPr>
                    <m:t>dd</m:t>
                  </m:r>
                  <m:ctrlPr>
                    <w:rPr>
                      <w:rFonts w:ascii="Cambria Math" w:hAnsi="Cambria Math" w:cs="Times New Roman"/>
                      <w:b w:val="0"/>
                      <w:bCs/>
                      <w:i/>
                      <w:color w:val="111111"/>
                      <w:sz w:val="22"/>
                      <w:szCs w:val="21"/>
                    </w:rPr>
                  </m:ctrlPr>
                </m:sub>
              </m:sSub>
            </m:oMath>
            <w:r>
              <w:rPr>
                <w:rFonts w:ascii="Times New Roman" w:hAnsi="Times New Roman" w:cs="Times New Roman"/>
                <w:b w:val="0"/>
                <w:bCs/>
                <w:szCs w:val="32"/>
              </w:rPr>
              <w:t xml:space="preserve"> </w:t>
            </w:r>
          </w:p>
        </w:tc>
        <w:tc>
          <w:tcPr>
            <w:tcW w:w="6464" w:type="dxa"/>
            <w:tcMar>
              <w:left w:w="0" w:type="dxa"/>
              <w:right w:w="0" w:type="dxa"/>
            </w:tcMar>
            <w:vAlign w:val="center"/>
          </w:tcPr>
          <w:p>
            <w:pPr>
              <w:autoSpaceDE w:val="0"/>
              <w:autoSpaceDN w:val="0"/>
              <w:ind w:left="420" w:hanging="420" w:hangingChars="200"/>
              <w:rPr>
                <w:rFonts w:ascii="Times New Roman" w:hAnsi="Times New Roman" w:cs="Times New Roman"/>
                <w:b w:val="0"/>
                <w:bCs/>
                <w:szCs w:val="32"/>
              </w:rPr>
            </w:pPr>
            <w:r>
              <w:rPr>
                <w:rFonts w:ascii="Times New Roman" w:hAnsi="Times New Roman" w:cs="Times New Roman"/>
                <w:b w:val="0"/>
                <w:bCs/>
                <w:szCs w:val="32"/>
              </w:rPr>
              <w:t>——</w:t>
            </w:r>
            <w:r>
              <w:rPr>
                <w:rFonts w:ascii="Times New Roman" w:hAnsi="Times New Roman" w:cs="Times New Roman"/>
                <w:b w:val="0"/>
                <w:bCs/>
              </w:rPr>
              <w:t>设计区域内全年二氧化碳排放总量（tCO</w:t>
            </w:r>
            <w:r>
              <w:rPr>
                <w:rFonts w:ascii="Times New Roman" w:hAnsi="Times New Roman" w:cs="Times New Roman"/>
                <w:b w:val="0"/>
                <w:bCs/>
                <w:vertAlign w:val="subscript"/>
              </w:rPr>
              <w:t>2</w:t>
            </w:r>
            <w:r>
              <w:rPr>
                <w:rFonts w:ascii="Times New Roman" w:hAnsi="Times New Roman" w:cs="Times New Roman"/>
                <w:b w:val="0"/>
                <w:bCs/>
              </w:rPr>
              <w:t>/a）。</w:t>
            </w:r>
          </w:p>
        </w:tc>
      </w:tr>
    </w:tbl>
    <w:p>
      <w:pPr>
        <w:widowControl/>
        <w:adjustRightInd/>
        <w:snapToGrid/>
        <w:jc w:val="left"/>
        <w:rPr>
          <w:rFonts w:ascii="Times New Roman" w:hAnsi="Times New Roman" w:cs="Times New Roman"/>
          <w:b w:val="0"/>
          <w:bCs/>
          <w:szCs w:val="32"/>
        </w:rPr>
      </w:pPr>
    </w:p>
    <w:p>
      <w:pPr>
        <w:widowControl/>
        <w:adjustRightInd/>
        <w:snapToGrid/>
        <w:jc w:val="left"/>
        <w:rPr>
          <w:rFonts w:ascii="Times New Roman" w:hAnsi="Times New Roman" w:cs="Times New Roman"/>
          <w:b w:val="0"/>
          <w:bCs/>
          <w:szCs w:val="32"/>
        </w:rPr>
      </w:pPr>
      <w:r>
        <w:rPr>
          <w:rFonts w:ascii="Times New Roman" w:hAnsi="Times New Roman" w:cs="Times New Roman"/>
          <w:b w:val="0"/>
          <w:bCs/>
          <w:szCs w:val="32"/>
        </w:rPr>
        <w:t>C.0.13 区域碳排放计算基础数据缺省值应根据表C.0.13 选取。</w:t>
      </w:r>
    </w:p>
    <w:p>
      <w:pPr>
        <w:widowControl/>
        <w:adjustRightInd/>
        <w:snapToGrid/>
        <w:spacing w:before="156" w:beforeLines="50"/>
        <w:jc w:val="center"/>
        <w:rPr>
          <w:rFonts w:ascii="Times New Roman" w:hAnsi="Times New Roman" w:cs="Times New Roman"/>
          <w:b w:val="0"/>
          <w:bCs/>
          <w:szCs w:val="32"/>
        </w:rPr>
      </w:pPr>
      <w:r>
        <w:rPr>
          <w:rFonts w:ascii="Times New Roman" w:hAnsi="Times New Roman" w:cs="Times New Roman"/>
          <w:b w:val="0"/>
          <w:bCs/>
          <w:szCs w:val="32"/>
        </w:rPr>
        <w:t>表C.0.13 区域碳排放计算基础数据缺省值</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0"/>
        <w:gridCol w:w="2477"/>
        <w:gridCol w:w="146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10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类别</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名称</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单位</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110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电力</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电力排放因子</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kgCO</w:t>
            </w:r>
            <w:r>
              <w:rPr>
                <w:rFonts w:ascii="Times New Roman" w:hAnsi="Times New Roman" w:cs="Times New Roman"/>
                <w:b w:val="0"/>
                <w:bCs/>
                <w:vertAlign w:val="subscript"/>
              </w:rPr>
              <w:t>2</w:t>
            </w:r>
            <w:r>
              <w:rPr>
                <w:rFonts w:ascii="Times New Roman" w:hAnsi="Times New Roman" w:cs="Times New Roman"/>
                <w:b w:val="0"/>
                <w:bCs/>
              </w:rPr>
              <w:t>/kWh</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1108" w:type="pct"/>
            <w:vMerge w:val="restar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建筑</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单位面积碳排放强度</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kgCO</w:t>
            </w:r>
            <w:r>
              <w:rPr>
                <w:rFonts w:ascii="Times New Roman" w:hAnsi="Times New Roman" w:cs="Times New Roman"/>
                <w:b w:val="0"/>
                <w:bCs/>
                <w:vertAlign w:val="subscript"/>
              </w:rPr>
              <w:t>2</w:t>
            </w:r>
            <w:r>
              <w:rPr>
                <w:rFonts w:ascii="Times New Roman" w:hAnsi="Times New Roman" w:cs="Times New Roman"/>
                <w:b w:val="0"/>
                <w:bCs/>
              </w:rPr>
              <w:t>/m</w:t>
            </w:r>
            <w:r>
              <w:rPr>
                <w:rFonts w:ascii="Times New Roman" w:hAnsi="Times New Roman" w:cs="Times New Roman"/>
                <w:b w:val="0"/>
                <w:bCs/>
                <w:vertAlign w:val="superscript"/>
              </w:rPr>
              <w:t>2</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满足</w:t>
            </w:r>
            <w:r>
              <w:rPr>
                <w:rFonts w:hint="eastAsia" w:ascii="Times New Roman" w:hAnsi="Times New Roman" w:cs="Times New Roman"/>
                <w:b w:val="0"/>
                <w:bCs/>
              </w:rPr>
              <w:t>现行强制性工程建设规范</w:t>
            </w:r>
            <w:r>
              <w:rPr>
                <w:rFonts w:ascii="Times New Roman" w:hAnsi="Times New Roman" w:cs="Times New Roman"/>
                <w:b w:val="0"/>
                <w:bCs/>
              </w:rPr>
              <w:t>《建筑节能与可再生能源利用通用规范》GB55015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1108" w:type="pct"/>
            <w:vMerge w:val="continue"/>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居住建筑人均面积</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/人</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108" w:type="pct"/>
            <w:vMerge w:val="continue"/>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办公建筑人均面积</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/人</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108" w:type="pct"/>
            <w:vMerge w:val="continue"/>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医院建筑人均面积</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/人</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108" w:type="pct"/>
            <w:vMerge w:val="continue"/>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商业建筑人均面积</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/人</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108" w:type="pct"/>
            <w:vMerge w:val="continue"/>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中小学人均面积</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/人</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1108" w:type="pct"/>
            <w:vMerge w:val="continue"/>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大学人均面积</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m</w:t>
            </w:r>
            <w:r>
              <w:rPr>
                <w:rFonts w:ascii="Times New Roman" w:hAnsi="Times New Roman" w:cs="Times New Roman"/>
                <w:b w:val="0"/>
                <w:bCs/>
                <w:vertAlign w:val="superscript"/>
              </w:rPr>
              <w:t>2</w:t>
            </w:r>
            <w:r>
              <w:rPr>
                <w:rFonts w:ascii="Times New Roman" w:hAnsi="Times New Roman" w:cs="Times New Roman"/>
                <w:b w:val="0"/>
                <w:bCs/>
              </w:rPr>
              <w:t>/人</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108" w:type="pct"/>
            <w:vMerge w:val="restar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交通</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区域电动汽车比例</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8" w:type="pct"/>
            <w:vMerge w:val="continue"/>
            <w:shd w:val="clear" w:color="auto" w:fill="auto"/>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单位里程油耗</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L/</w:t>
            </w:r>
            <w:r>
              <w:rPr>
                <w:rFonts w:ascii="Times New Roman" w:hAnsi="Times New Roman" w:cs="Times New Roman"/>
                <w:b w:val="0"/>
                <w:bCs/>
                <w:szCs w:val="21"/>
              </w:rPr>
              <w:t>100km</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8" w:type="pct"/>
            <w:vMerge w:val="continue"/>
            <w:shd w:val="clear" w:color="auto" w:fill="auto"/>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油耗碳排放因子</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kgCO</w:t>
            </w:r>
            <w:r>
              <w:rPr>
                <w:rFonts w:ascii="Times New Roman" w:hAnsi="Times New Roman" w:cs="Times New Roman"/>
                <w:b w:val="0"/>
                <w:bCs/>
                <w:vertAlign w:val="subscript"/>
              </w:rPr>
              <w:t>2</w:t>
            </w:r>
            <w:r>
              <w:rPr>
                <w:rFonts w:ascii="Times New Roman" w:hAnsi="Times New Roman" w:cs="Times New Roman"/>
                <w:b w:val="0"/>
                <w:bCs/>
              </w:rPr>
              <w:t>/ L</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8" w:type="pct"/>
            <w:vMerge w:val="continue"/>
            <w:shd w:val="clear" w:color="auto" w:fill="auto"/>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单位里程电耗</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kWh/</w:t>
            </w:r>
            <w:r>
              <w:rPr>
                <w:rFonts w:ascii="Times New Roman" w:hAnsi="Times New Roman" w:cs="Times New Roman"/>
                <w:b w:val="0"/>
                <w:bCs/>
                <w:szCs w:val="21"/>
              </w:rPr>
              <w:t>100km</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区域照明</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照明功率密度</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W/m</w:t>
            </w:r>
            <w:r>
              <w:rPr>
                <w:rFonts w:ascii="Times New Roman" w:hAnsi="Times New Roman" w:cs="Times New Roman"/>
                <w:b w:val="0"/>
                <w:bCs/>
                <w:vertAlign w:val="superscript"/>
              </w:rPr>
              <w:t>2</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8" w:type="pct"/>
            <w:vMerge w:val="restar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给排水</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人均日用水量</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L/人 d</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满足</w:t>
            </w:r>
            <w:r>
              <w:rPr>
                <w:rFonts w:hint="eastAsia" w:ascii="Times New Roman" w:hAnsi="Times New Roman" w:cs="Times New Roman"/>
                <w:b w:val="0"/>
                <w:bCs/>
              </w:rPr>
              <w:t>现行国家标准</w:t>
            </w:r>
            <w:r>
              <w:rPr>
                <w:rFonts w:ascii="Times New Roman" w:hAnsi="Times New Roman" w:cs="Times New Roman"/>
                <w:b w:val="0"/>
                <w:bCs/>
              </w:rPr>
              <w:t>《民用建筑节水设计标准》GB50555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1108" w:type="pct"/>
            <w:vMerge w:val="continue"/>
            <w:shd w:val="clear" w:color="auto" w:fill="auto"/>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给排水碳排放因子</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kgCO</w:t>
            </w:r>
            <w:r>
              <w:rPr>
                <w:rFonts w:ascii="Times New Roman" w:hAnsi="Times New Roman" w:cs="Times New Roman"/>
                <w:b w:val="0"/>
                <w:bCs/>
                <w:vertAlign w:val="subscript"/>
              </w:rPr>
              <w:t>2</w:t>
            </w:r>
            <w:r>
              <w:rPr>
                <w:rFonts w:ascii="Times New Roman" w:hAnsi="Times New Roman" w:cs="Times New Roman"/>
                <w:b w:val="0"/>
                <w:bCs/>
              </w:rPr>
              <w:t>/t</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1108" w:type="pct"/>
            <w:vMerge w:val="restar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废弃物</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人均日垃圾末端清运量</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kg/人 d</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trPr>
        <w:tc>
          <w:tcPr>
            <w:tcW w:w="1108" w:type="pct"/>
            <w:vMerge w:val="continue"/>
            <w:shd w:val="clear" w:color="auto" w:fill="auto"/>
            <w:vAlign w:val="center"/>
          </w:tcPr>
          <w:p>
            <w:pPr>
              <w:jc w:val="center"/>
              <w:rPr>
                <w:rFonts w:ascii="Times New Roman" w:hAnsi="Times New Roman" w:cs="Times New Roman"/>
                <w:b w:val="0"/>
                <w:bCs/>
              </w:rPr>
            </w:pP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废弃物碳排放因子</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kgCO</w:t>
            </w:r>
            <w:r>
              <w:rPr>
                <w:rFonts w:ascii="Times New Roman" w:hAnsi="Times New Roman" w:cs="Times New Roman"/>
                <w:b w:val="0"/>
                <w:bCs/>
                <w:vertAlign w:val="subscript"/>
              </w:rPr>
              <w:t>2</w:t>
            </w:r>
            <w:r>
              <w:rPr>
                <w:rFonts w:ascii="Times New Roman" w:hAnsi="Times New Roman" w:cs="Times New Roman"/>
                <w:b w:val="0"/>
                <w:bCs/>
              </w:rPr>
              <w:t xml:space="preserve">/kg </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10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碳汇</w:t>
            </w:r>
          </w:p>
        </w:tc>
        <w:tc>
          <w:tcPr>
            <w:tcW w:w="1452"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固碳能力</w:t>
            </w:r>
          </w:p>
        </w:tc>
        <w:tc>
          <w:tcPr>
            <w:tcW w:w="860"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t/公顷</w:t>
            </w:r>
          </w:p>
        </w:tc>
        <w:tc>
          <w:tcPr>
            <w:tcW w:w="1578" w:type="pct"/>
            <w:shd w:val="clear" w:color="auto" w:fill="auto"/>
            <w:tcMar>
              <w:top w:w="15" w:type="dxa"/>
              <w:left w:w="108" w:type="dxa"/>
              <w:bottom w:w="0" w:type="dxa"/>
              <w:right w:w="108" w:type="dxa"/>
            </w:tcMar>
            <w:vAlign w:val="center"/>
          </w:tcPr>
          <w:p>
            <w:pPr>
              <w:jc w:val="center"/>
              <w:rPr>
                <w:rFonts w:ascii="Times New Roman" w:hAnsi="Times New Roman" w:cs="Times New Roman"/>
                <w:b w:val="0"/>
                <w:bCs/>
              </w:rPr>
            </w:pPr>
            <w:r>
              <w:rPr>
                <w:rFonts w:ascii="Times New Roman" w:hAnsi="Times New Roman" w:cs="Times New Roman"/>
                <w:b w:val="0"/>
                <w:bCs/>
              </w:rPr>
              <w:t>6.44</w:t>
            </w:r>
          </w:p>
        </w:tc>
      </w:tr>
    </w:tbl>
    <w:p>
      <w:pPr>
        <w:keepNext/>
        <w:tabs>
          <w:tab w:val="left" w:pos="720"/>
          <w:tab w:val="left" w:pos="910"/>
          <w:tab w:val="left" w:pos="1190"/>
          <w:tab w:val="left" w:pos="2520"/>
          <w:tab w:val="left" w:pos="7020"/>
        </w:tabs>
        <w:adjustRightInd/>
        <w:snapToGrid/>
        <w:spacing w:before="156" w:beforeLines="50" w:after="156" w:afterLines="50" w:line="276" w:lineRule="auto"/>
        <w:jc w:val="center"/>
        <w:outlineLvl w:val="0"/>
        <w:rPr>
          <w:rFonts w:ascii="Times New Roman" w:hAnsi="Times New Roman" w:eastAsia="黑体" w:cs="Times New Roman"/>
          <w:b w:val="0"/>
          <w:bCs/>
          <w:kern w:val="0"/>
          <w:sz w:val="28"/>
          <w:szCs w:val="28"/>
        </w:rPr>
      </w:pPr>
      <w:bookmarkStart w:id="146" w:name="_Toc128988438"/>
    </w:p>
    <w:p>
      <w:pPr>
        <w:rPr>
          <w:rFonts w:ascii="Times New Roman" w:hAnsi="Times New Roman" w:eastAsia="黑体" w:cs="Times New Roman"/>
          <w:b w:val="0"/>
          <w:bCs/>
          <w:kern w:val="0"/>
          <w:sz w:val="28"/>
          <w:szCs w:val="28"/>
        </w:rPr>
      </w:pPr>
      <w:r>
        <w:rPr>
          <w:rFonts w:ascii="Times New Roman" w:hAnsi="Times New Roman" w:eastAsia="黑体" w:cs="Times New Roman"/>
          <w:b w:val="0"/>
          <w:bCs/>
          <w:kern w:val="0"/>
          <w:sz w:val="28"/>
          <w:szCs w:val="28"/>
        </w:rPr>
        <w:br w:type="page"/>
      </w:r>
    </w:p>
    <w:p>
      <w:pPr>
        <w:keepNext/>
        <w:tabs>
          <w:tab w:val="left" w:pos="720"/>
          <w:tab w:val="left" w:pos="910"/>
          <w:tab w:val="left" w:pos="1190"/>
          <w:tab w:val="left" w:pos="2520"/>
          <w:tab w:val="left" w:pos="7020"/>
        </w:tabs>
        <w:adjustRightInd/>
        <w:snapToGrid/>
        <w:spacing w:before="156" w:beforeLines="50" w:after="156" w:afterLines="50" w:line="276" w:lineRule="auto"/>
        <w:jc w:val="center"/>
        <w:outlineLvl w:val="0"/>
        <w:rPr>
          <w:rFonts w:ascii="Times New Roman" w:hAnsi="Times New Roman" w:eastAsia="黑体" w:cs="Times New Roman"/>
          <w:b w:val="0"/>
          <w:bCs/>
          <w:kern w:val="0"/>
          <w:sz w:val="28"/>
          <w:szCs w:val="28"/>
        </w:rPr>
      </w:pPr>
      <w:r>
        <w:rPr>
          <w:rFonts w:ascii="Times New Roman" w:hAnsi="Times New Roman" w:eastAsia="黑体" w:cs="Times New Roman"/>
          <w:b w:val="0"/>
          <w:bCs/>
          <w:kern w:val="0"/>
          <w:sz w:val="28"/>
          <w:szCs w:val="28"/>
        </w:rPr>
        <w:t>附录</w:t>
      </w:r>
      <w:r>
        <w:rPr>
          <w:rFonts w:ascii="Times New Roman" w:hAnsi="Times New Roman" w:eastAsia="黑体" w:cs="Times New Roman"/>
          <w:b w:val="0"/>
          <w:bCs/>
          <w:color w:val="000000" w:themeColor="text1"/>
          <w:kern w:val="0"/>
          <w:sz w:val="28"/>
          <w:szCs w:val="28"/>
          <w14:textFill>
            <w14:solidFill>
              <w14:schemeClr w14:val="tx1"/>
            </w14:solidFill>
          </w14:textFill>
        </w:rPr>
        <w:t>D</w:t>
      </w:r>
      <w:r>
        <w:rPr>
          <w:rFonts w:ascii="Times New Roman" w:hAnsi="Times New Roman" w:eastAsia="黑体" w:cs="Times New Roman"/>
          <w:b w:val="0"/>
          <w:bCs/>
          <w:kern w:val="0"/>
          <w:sz w:val="28"/>
          <w:szCs w:val="28"/>
        </w:rPr>
        <w:t>区域碳排放指标计算报告书</w:t>
      </w:r>
      <w:bookmarkEnd w:id="146"/>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1 项目基本信息表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项目名称</w:t>
            </w:r>
          </w:p>
        </w:tc>
        <w:tc>
          <w:tcPr>
            <w:tcW w:w="4885" w:type="dxa"/>
            <w:tcBorders>
              <w:top w:val="single" w:color="auto" w:sz="4" w:space="0"/>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项目所在地</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项目类型</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总用地面积</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总建筑面积</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容积率</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建筑密度</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区域总人数</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咨询单位</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咨询工程师</w:t>
            </w:r>
          </w:p>
        </w:tc>
        <w:tc>
          <w:tcPr>
            <w:tcW w:w="4885"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453" w:type="dxa"/>
            <w:tcBorders>
              <w:left w:val="single" w:color="auto" w:sz="4" w:space="0"/>
              <w:bottom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联系方式</w:t>
            </w:r>
          </w:p>
        </w:tc>
        <w:tc>
          <w:tcPr>
            <w:tcW w:w="4885" w:type="dxa"/>
            <w:tcBorders>
              <w:bottom w:val="single" w:color="auto" w:sz="4" w:space="0"/>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bl>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 设计区域各组成部分基本信息</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2.1 建筑</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（一）基本信息表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建筑功能类型</w:t>
            </w:r>
          </w:p>
        </w:tc>
        <w:tc>
          <w:tcPr>
            <w:tcW w:w="5026" w:type="dxa"/>
            <w:tcBorders>
              <w:top w:val="single" w:color="auto" w:sz="4" w:space="0"/>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本功能类型建筑面积</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本功能类型所含人口</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本功能类型建筑年用电量</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单位面积年用电量</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kWh/</w:t>
            </w: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（二）能源使用强度（设计建筑）</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9" w:type="dxa"/>
            <w:vMerge w:val="restart"/>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6804" w:type="dxa"/>
            <w:gridSpan w:val="4"/>
            <w:tcBorders>
              <w:tl2br w:val="nil"/>
              <w:tr2bl w:val="nil"/>
            </w:tcBorders>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能源使用强度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9" w:type="dxa"/>
            <w:vMerge w:val="continue"/>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电能</w:t>
            </w:r>
          </w:p>
        </w:tc>
        <w:tc>
          <w:tcPr>
            <w:tcW w:w="1701" w:type="dxa"/>
            <w:tcBorders>
              <w:tl2br w:val="nil"/>
              <w:tr2bl w:val="nil"/>
            </w:tcBorders>
            <w:shd w:val="clear" w:color="auto" w:fill="auto"/>
            <w:vAlign w:val="center"/>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天燃气</w:t>
            </w:r>
          </w:p>
        </w:tc>
        <w:tc>
          <w:tcPr>
            <w:tcW w:w="1701"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市政热力</w:t>
            </w:r>
          </w:p>
        </w:tc>
        <w:tc>
          <w:tcPr>
            <w:tcW w:w="1701" w:type="dxa"/>
            <w:tcBorders>
              <w:tl2br w:val="nil"/>
              <w:tr2bl w:val="nil"/>
            </w:tcBorders>
            <w:shd w:val="clear" w:color="auto" w:fill="auto"/>
            <w:vAlign w:val="center"/>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9" w:type="dxa"/>
            <w:vMerge w:val="continue"/>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kWh/(m</w:t>
            </w:r>
            <w:r>
              <w:rPr>
                <w:rFonts w:ascii="Times New Roman" w:hAnsi="Times New Roman" w:cs="Times New Roman"/>
                <w:b w:val="0"/>
                <w:bCs/>
                <w:sz w:val="18"/>
                <w:szCs w:val="18"/>
                <w:vertAlign w:val="superscript"/>
              </w:rPr>
              <w:t>2</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3</w:t>
            </w: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2</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1701"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MJ/(m</w:t>
            </w:r>
            <w:r>
              <w:rPr>
                <w:rFonts w:ascii="Times New Roman" w:hAnsi="Times New Roman" w:cs="Times New Roman"/>
                <w:b w:val="0"/>
                <w:bCs/>
                <w:sz w:val="18"/>
                <w:szCs w:val="18"/>
                <w:vertAlign w:val="superscript"/>
              </w:rPr>
              <w:t>2</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1701" w:type="dxa"/>
            <w:tcBorders>
              <w:tl2br w:val="nil"/>
              <w:tr2bl w:val="nil"/>
            </w:tcBorders>
            <w:shd w:val="clear" w:color="auto" w:fill="auto"/>
            <w:vAlign w:val="center"/>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2月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3月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4月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5月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6月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7月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8月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9月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10月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11月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12月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全年</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（三）能源使用强度（基准建筑）</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9" w:type="dxa"/>
            <w:vMerge w:val="restart"/>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6804" w:type="dxa"/>
            <w:gridSpan w:val="4"/>
            <w:tcBorders>
              <w:tl2br w:val="nil"/>
              <w:tr2bl w:val="nil"/>
            </w:tcBorders>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能源使用强度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9" w:type="dxa"/>
            <w:vMerge w:val="continue"/>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电能</w:t>
            </w:r>
          </w:p>
        </w:tc>
        <w:tc>
          <w:tcPr>
            <w:tcW w:w="1701" w:type="dxa"/>
            <w:tcBorders>
              <w:tl2br w:val="nil"/>
              <w:tr2bl w:val="nil"/>
            </w:tcBorders>
            <w:shd w:val="clear" w:color="auto" w:fill="auto"/>
            <w:vAlign w:val="center"/>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天燃气</w:t>
            </w:r>
          </w:p>
        </w:tc>
        <w:tc>
          <w:tcPr>
            <w:tcW w:w="1701"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市政热力</w:t>
            </w:r>
          </w:p>
        </w:tc>
        <w:tc>
          <w:tcPr>
            <w:tcW w:w="1701" w:type="dxa"/>
            <w:tcBorders>
              <w:tl2br w:val="nil"/>
              <w:tr2bl w:val="nil"/>
            </w:tcBorders>
            <w:shd w:val="clear" w:color="auto" w:fill="auto"/>
            <w:vAlign w:val="center"/>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9" w:type="dxa"/>
            <w:vMerge w:val="continue"/>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kWh/(m</w:t>
            </w:r>
            <w:r>
              <w:rPr>
                <w:rFonts w:ascii="Times New Roman" w:hAnsi="Times New Roman" w:cs="Times New Roman"/>
                <w:b w:val="0"/>
                <w:bCs/>
                <w:sz w:val="18"/>
                <w:szCs w:val="18"/>
                <w:vertAlign w:val="superscript"/>
              </w:rPr>
              <w:t>2</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3</w:t>
            </w: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2</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1701"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MJ/(m</w:t>
            </w:r>
            <w:r>
              <w:rPr>
                <w:rFonts w:ascii="Times New Roman" w:hAnsi="Times New Roman" w:cs="Times New Roman"/>
                <w:b w:val="0"/>
                <w:bCs/>
                <w:sz w:val="18"/>
                <w:szCs w:val="18"/>
                <w:vertAlign w:val="superscript"/>
              </w:rPr>
              <w:t>2</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1701" w:type="dxa"/>
            <w:tcBorders>
              <w:tl2br w:val="nil"/>
              <w:tr2bl w:val="nil"/>
            </w:tcBorders>
            <w:shd w:val="clear" w:color="auto" w:fill="auto"/>
            <w:vAlign w:val="center"/>
          </w:tcPr>
          <w:p>
            <w:pPr>
              <w:jc w:val="center"/>
              <w:outlineLvl w:val="2"/>
              <w:rPr>
                <w:rFonts w:ascii="Times New Roman" w:hAnsi="Times New Roman" w:eastAsia="华文中宋" w:cs="Times New Roman"/>
                <w:b w:val="0"/>
                <w:bCs/>
                <w:kern w:val="0"/>
                <w:szCs w:val="21"/>
              </w:rPr>
            </w:pPr>
            <w:r>
              <w:rPr>
                <w:rFonts w:ascii="Times New Roman" w:hAnsi="Times New Roman" w:cs="Times New Roman"/>
                <w:b w:val="0"/>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2月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3月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4月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5月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6月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7月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8月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9月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10月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11月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12月</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9" w:type="dxa"/>
            <w:tcBorders>
              <w:tl2br w:val="nil"/>
              <w:tr2bl w:val="nil"/>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全年</w:t>
            </w: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tcPr>
          <w:p>
            <w:pPr>
              <w:widowControl/>
              <w:jc w:val="center"/>
              <w:rPr>
                <w:rFonts w:ascii="Times New Roman" w:hAnsi="Times New Roman" w:eastAsia="华文中宋" w:cs="Times New Roman"/>
                <w:b w:val="0"/>
                <w:bCs/>
                <w:kern w:val="0"/>
                <w:szCs w:val="21"/>
              </w:rPr>
            </w:pPr>
          </w:p>
        </w:tc>
        <w:tc>
          <w:tcPr>
            <w:tcW w:w="1701" w:type="dxa"/>
            <w:tcBorders>
              <w:tl2br w:val="nil"/>
              <w:tr2bl w:val="nil"/>
            </w:tcBorders>
            <w:shd w:val="clear" w:color="auto" w:fill="auto"/>
            <w:vAlign w:val="center"/>
          </w:tcPr>
          <w:p>
            <w:pPr>
              <w:widowControl/>
              <w:jc w:val="center"/>
              <w:rPr>
                <w:rFonts w:ascii="Times New Roman" w:hAnsi="Times New Roman" w:eastAsia="华文中宋" w:cs="Times New Roman"/>
                <w:b w:val="0"/>
                <w:bCs/>
                <w:kern w:val="0"/>
                <w:szCs w:val="21"/>
              </w:rPr>
            </w:pPr>
          </w:p>
        </w:tc>
      </w:tr>
    </w:tbl>
    <w:p>
      <w:pPr>
        <w:autoSpaceDE w:val="0"/>
        <w:autoSpaceDN w:val="0"/>
        <w:spacing w:line="360" w:lineRule="auto"/>
        <w:rPr>
          <w:rFonts w:ascii="Times New Roman" w:hAnsi="Times New Roman" w:eastAsia="楷体" w:cs="Times New Roman"/>
          <w:b w:val="0"/>
          <w:bCs/>
          <w:szCs w:val="21"/>
        </w:rPr>
      </w:pPr>
      <w:r>
        <w:rPr>
          <w:rFonts w:ascii="Times New Roman" w:hAnsi="Times New Roman" w:eastAsia="楷体" w:cs="Times New Roman"/>
          <w:b w:val="0"/>
          <w:bCs/>
          <w:szCs w:val="21"/>
        </w:rPr>
        <w:t>注：1.能源使用强度不应扣除可再生能源发电量</w:t>
      </w:r>
    </w:p>
    <w:p>
      <w:pPr>
        <w:autoSpaceDE w:val="0"/>
        <w:autoSpaceDN w:val="0"/>
        <w:spacing w:line="360" w:lineRule="auto"/>
        <w:rPr>
          <w:rFonts w:ascii="Times New Roman" w:hAnsi="Times New Roman" w:eastAsia="楷体" w:cs="Times New Roman"/>
          <w:b w:val="0"/>
          <w:bCs/>
          <w:szCs w:val="21"/>
        </w:rPr>
      </w:pPr>
      <w:r>
        <w:rPr>
          <w:rFonts w:ascii="Times New Roman" w:hAnsi="Times New Roman" w:eastAsia="楷体" w:cs="Times New Roman"/>
          <w:b w:val="0"/>
          <w:bCs/>
          <w:szCs w:val="21"/>
        </w:rPr>
        <w:tab/>
      </w:r>
      <w:r>
        <w:rPr>
          <w:rFonts w:ascii="Times New Roman" w:hAnsi="Times New Roman" w:eastAsia="楷体" w:cs="Times New Roman"/>
          <w:b w:val="0"/>
          <w:bCs/>
          <w:szCs w:val="21"/>
        </w:rPr>
        <w:t>2.区域内涉及多种功能类型的，应在本表后按相同格式增加功能类型基本信息表</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2.2 市政</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2.2.1 市政照明基本信息</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（一）基本信息表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道路面积</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照明功率密度</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W/m</w:t>
            </w:r>
            <w:r>
              <w:rPr>
                <w:rFonts w:ascii="Times New Roman" w:hAnsi="Times New Roman" w:cs="Times New Roman"/>
                <w:b w:val="0"/>
                <w:bCs/>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年照明小时数</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市政照明节能措施</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bl>
    <w:p>
      <w:pPr>
        <w:autoSpaceDE w:val="0"/>
        <w:autoSpaceDN w:val="0"/>
        <w:spacing w:line="360" w:lineRule="auto"/>
        <w:rPr>
          <w:rFonts w:ascii="Times New Roman" w:hAnsi="Times New Roman" w:cs="Times New Roman"/>
          <w:b w:val="0"/>
          <w:bCs/>
          <w:szCs w:val="32"/>
        </w:rPr>
      </w:pPr>
      <w:r>
        <w:rPr>
          <w:rFonts w:ascii="Times New Roman" w:hAnsi="Times New Roman" w:eastAsia="楷体" w:cs="Times New Roman"/>
          <w:b w:val="0"/>
          <w:bCs/>
          <w:szCs w:val="21"/>
        </w:rPr>
        <w:t>注：区域内包含多条市政道路的，应在本表后按相同格式增加市政道路基本信息表</w:t>
      </w:r>
    </w:p>
    <w:p>
      <w:pPr>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2.2.2 市政给排水基本信息</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（二）市政给排水基本信息表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建筑功能类型</w:t>
            </w:r>
          </w:p>
        </w:tc>
        <w:tc>
          <w:tcPr>
            <w:tcW w:w="5026" w:type="dxa"/>
            <w:tcBorders>
              <w:top w:val="single" w:color="auto" w:sz="4" w:space="0"/>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本功能类型所含人口</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日人均用水量</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m</w:t>
            </w:r>
            <w:r>
              <w:rPr>
                <w:rFonts w:ascii="Times New Roman" w:hAnsi="Times New Roman" w:cs="Times New Roman"/>
                <w:b w:val="0"/>
                <w:bCs/>
                <w:sz w:val="18"/>
                <w:szCs w:val="18"/>
                <w:vertAlign w:val="superscript"/>
              </w:rPr>
              <w:t>3</w:t>
            </w:r>
            <w:r>
              <w:rPr>
                <w:rFonts w:ascii="Times New Roman" w:hAnsi="Times New Roman" w:cs="Times New Roman"/>
                <w:b w:val="0"/>
                <w:bCs/>
                <w:sz w:val="18"/>
                <w:szCs w:val="18"/>
              </w:rPr>
              <w:t>/(人</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节水措施</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市政供水、污水处理碳排放因子</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bl>
    <w:p>
      <w:pPr>
        <w:rPr>
          <w:rFonts w:ascii="Times New Roman" w:hAnsi="Times New Roman" w:cs="Times New Roman"/>
          <w:b w:val="0"/>
          <w:bCs/>
        </w:rPr>
      </w:pPr>
      <w:r>
        <w:rPr>
          <w:rFonts w:ascii="Times New Roman" w:hAnsi="Times New Roman" w:eastAsia="楷体" w:cs="Times New Roman"/>
          <w:b w:val="0"/>
          <w:bCs/>
          <w:szCs w:val="21"/>
        </w:rPr>
        <w:t>注：区域内涉及多种功能类型的，应在本表后按相同格式增加市政给排水基本信息表</w:t>
      </w:r>
    </w:p>
    <w:p>
      <w:pPr>
        <w:rPr>
          <w:rFonts w:ascii="Times New Roman" w:hAnsi="Times New Roman" w:cs="Times New Roman"/>
          <w:b w:val="0"/>
          <w:bCs/>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2.2.3 废弃物处理基本信息</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（三）废弃物处理基本信息表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建筑功能类型</w:t>
            </w:r>
          </w:p>
        </w:tc>
        <w:tc>
          <w:tcPr>
            <w:tcW w:w="5026" w:type="dxa"/>
            <w:tcBorders>
              <w:top w:val="single" w:color="auto" w:sz="4" w:space="0"/>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本功能类型所含人口</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日人均生活垃圾清运量</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kg/(人</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减少生活垃圾清运量</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的相应措施</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垃圾处理碳排放因子</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垃圾处理碳排放因子下降</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的相应措施</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bl>
    <w:p>
      <w:pPr>
        <w:rPr>
          <w:rFonts w:ascii="Times New Roman" w:hAnsi="Times New Roman" w:eastAsia="楷体" w:cs="Times New Roman"/>
          <w:b w:val="0"/>
          <w:bCs/>
          <w:szCs w:val="21"/>
        </w:rPr>
      </w:pPr>
      <w:r>
        <w:rPr>
          <w:rFonts w:ascii="Times New Roman" w:hAnsi="Times New Roman" w:eastAsia="楷体" w:cs="Times New Roman"/>
          <w:b w:val="0"/>
          <w:bCs/>
          <w:szCs w:val="21"/>
        </w:rPr>
        <w:t>注：区域内涉及多种功能类型的，应在本表后按相同格式增加生活垃圾处理基本信息表</w:t>
      </w:r>
    </w:p>
    <w:p>
      <w:pPr>
        <w:rPr>
          <w:rFonts w:ascii="Times New Roman" w:hAnsi="Times New Roman" w:cs="Times New Roman"/>
          <w:b w:val="0"/>
          <w:bCs/>
        </w:rPr>
      </w:pPr>
    </w:p>
    <w:p>
      <w:pPr>
        <w:rPr>
          <w:rFonts w:ascii="Times New Roman" w:hAnsi="Times New Roman" w:cs="Times New Roman"/>
          <w:b w:val="0"/>
          <w:bCs/>
          <w:szCs w:val="32"/>
        </w:rPr>
      </w:pPr>
      <w:r>
        <w:rPr>
          <w:rFonts w:ascii="Times New Roman" w:hAnsi="Times New Roman" w:cs="Times New Roman"/>
          <w:b w:val="0"/>
          <w:bCs/>
          <w:szCs w:val="32"/>
        </w:rPr>
        <w:t>2.3 区域内其他能源消耗</w:t>
      </w:r>
    </w:p>
    <w:tbl>
      <w:tblPr>
        <w:tblStyle w:val="43"/>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1701"/>
        <w:gridCol w:w="141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能源消耗</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设备、设施名称</w:t>
            </w:r>
          </w:p>
        </w:tc>
        <w:tc>
          <w:tcPr>
            <w:tcW w:w="1417"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能源消耗类型</w:t>
            </w:r>
          </w:p>
        </w:tc>
        <w:tc>
          <w:tcPr>
            <w:tcW w:w="1134"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单位</w:t>
            </w: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年能源消耗量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bottom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项目1</w:t>
            </w:r>
          </w:p>
        </w:tc>
        <w:tc>
          <w:tcPr>
            <w:tcW w:w="1701" w:type="dxa"/>
            <w:tcBorders>
              <w:top w:val="single" w:color="auto" w:sz="4" w:space="0"/>
              <w:bottom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417"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134"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bottom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项目2</w:t>
            </w:r>
          </w:p>
        </w:tc>
        <w:tc>
          <w:tcPr>
            <w:tcW w:w="1701" w:type="dxa"/>
            <w:tcBorders>
              <w:top w:val="single" w:color="auto" w:sz="4" w:space="0"/>
              <w:bottom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417"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134"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w:t>
            </w:r>
          </w:p>
        </w:tc>
        <w:tc>
          <w:tcPr>
            <w:tcW w:w="1701" w:type="dxa"/>
            <w:tcBorders>
              <w:top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417"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134"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r>
    </w:tbl>
    <w:p>
      <w:pPr>
        <w:rPr>
          <w:rFonts w:ascii="Times New Roman" w:hAnsi="Times New Roman" w:cs="Times New Roman"/>
          <w:b w:val="0"/>
          <w:bCs/>
        </w:rPr>
      </w:pPr>
    </w:p>
    <w:p>
      <w:pPr>
        <w:rPr>
          <w:rFonts w:ascii="Times New Roman" w:hAnsi="Times New Roman" w:cs="Times New Roman"/>
          <w:b w:val="0"/>
          <w:bCs/>
          <w:szCs w:val="32"/>
        </w:rPr>
      </w:pPr>
      <w:r>
        <w:rPr>
          <w:rFonts w:ascii="Times New Roman" w:hAnsi="Times New Roman" w:cs="Times New Roman"/>
          <w:b w:val="0"/>
          <w:bCs/>
          <w:szCs w:val="32"/>
        </w:rPr>
        <w:t>2.4 区域内可再生能源发电量</w:t>
      </w:r>
    </w:p>
    <w:p>
      <w:pPr>
        <w:rPr>
          <w:rFonts w:ascii="Times New Roman" w:hAnsi="Times New Roman" w:cs="Times New Roman"/>
          <w:b w:val="0"/>
          <w:bCs/>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227"/>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gridSpan w:val="2"/>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设备1</w:t>
            </w: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设备2</w:t>
            </w: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gridSpan w:val="2"/>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可再生能源发电设备名称</w:t>
            </w:r>
          </w:p>
        </w:tc>
        <w:tc>
          <w:tcPr>
            <w:tcW w:w="1701" w:type="dxa"/>
            <w:tcBorders>
              <w:top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gridSpan w:val="2"/>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设备安装位置</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gridSpan w:val="2"/>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设备装机容量（MW）</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restart"/>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可再生能源月发电量（MWh）</w:t>
            </w: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2月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3月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4月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5月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6月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7月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8月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9月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10月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11月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26" w:type="dxa"/>
            <w:vMerge w:val="continue"/>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227"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12月</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gridSpan w:val="2"/>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可再生能源年发电总量（MWh）</w:t>
            </w:r>
          </w:p>
        </w:tc>
        <w:tc>
          <w:tcPr>
            <w:tcW w:w="1701"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right w:val="single" w:color="auto" w:sz="4" w:space="0"/>
            </w:tcBorders>
            <w:vAlign w:val="center"/>
          </w:tcPr>
          <w:p>
            <w:pPr>
              <w:jc w:val="center"/>
              <w:outlineLvl w:val="2"/>
              <w:rPr>
                <w:rFonts w:ascii="Times New Roman" w:hAnsi="Times New Roman" w:cs="Times New Roman"/>
                <w:b w:val="0"/>
                <w:bCs/>
                <w:sz w:val="18"/>
                <w:szCs w:val="18"/>
              </w:rPr>
            </w:pPr>
          </w:p>
        </w:tc>
      </w:tr>
    </w:tbl>
    <w:p>
      <w:pPr>
        <w:rPr>
          <w:rFonts w:ascii="Times New Roman" w:hAnsi="Times New Roman" w:eastAsia="楷体" w:cs="Times New Roman"/>
          <w:b w:val="0"/>
          <w:bCs/>
          <w:szCs w:val="21"/>
        </w:rPr>
      </w:pPr>
      <w:r>
        <w:rPr>
          <w:rFonts w:ascii="Times New Roman" w:hAnsi="Times New Roman" w:eastAsia="楷体" w:cs="Times New Roman"/>
          <w:b w:val="0"/>
          <w:bCs/>
          <w:szCs w:val="21"/>
        </w:rPr>
        <w:t>注：相同类型且具有相同运行状态但安装位置不同的可再生能源发电设备可合并填写</w:t>
      </w:r>
    </w:p>
    <w:p>
      <w:pPr>
        <w:rPr>
          <w:rFonts w:ascii="Times New Roman" w:hAnsi="Times New Roman" w:cs="Times New Roman"/>
          <w:b w:val="0"/>
          <w:bCs/>
        </w:rPr>
      </w:pPr>
    </w:p>
    <w:p>
      <w:pPr>
        <w:rPr>
          <w:rFonts w:ascii="Times New Roman" w:hAnsi="Times New Roman" w:cs="Times New Roman"/>
          <w:b w:val="0"/>
          <w:bCs/>
          <w:szCs w:val="32"/>
        </w:rPr>
      </w:pPr>
      <w:r>
        <w:rPr>
          <w:rFonts w:ascii="Times New Roman" w:hAnsi="Times New Roman" w:cs="Times New Roman"/>
          <w:b w:val="0"/>
          <w:bCs/>
          <w:szCs w:val="32"/>
        </w:rPr>
        <w:t>2.5 区域内绿地基本信息</w:t>
      </w: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绿地（一）基本信息</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5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绿地种类</w:t>
            </w:r>
          </w:p>
        </w:tc>
        <w:tc>
          <w:tcPr>
            <w:tcW w:w="5026" w:type="dxa"/>
            <w:tcBorders>
              <w:top w:val="single" w:color="auto" w:sz="4" w:space="0"/>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绿地面积</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 w:val="18"/>
                <w:szCs w:val="18"/>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单位面积碳汇能力</w:t>
            </w:r>
          </w:p>
        </w:tc>
        <w:tc>
          <w:tcPr>
            <w:tcW w:w="5026" w:type="dxa"/>
            <w:tcBorders>
              <w:right w:val="single" w:color="auto" w:sz="4" w:space="0"/>
            </w:tcBorders>
            <w:shd w:val="clear" w:color="auto" w:fill="auto"/>
            <w:vAlign w:val="center"/>
          </w:tcPr>
          <w:p>
            <w:pPr>
              <w:jc w:val="right"/>
              <w:outlineLvl w:val="2"/>
              <w:rPr>
                <w:rFonts w:ascii="Times New Roman" w:hAnsi="Times New Roman" w:cs="Times New Roman"/>
                <w:b w:val="0"/>
                <w:bCs/>
                <w:sz w:val="18"/>
                <w:szCs w:val="18"/>
              </w:rPr>
            </w:pPr>
            <w:r>
              <w:rPr>
                <w:rFonts w:ascii="Times New Roman" w:hAnsi="Times New Roman" w:cs="Times New Roman"/>
                <w:b w:val="0"/>
                <w:bCs/>
                <w:szCs w:val="32"/>
              </w:rPr>
              <w:t>tCO</w:t>
            </w:r>
            <w:r>
              <w:rPr>
                <w:rFonts w:ascii="Times New Roman" w:hAnsi="Times New Roman" w:cs="Times New Roman"/>
                <w:b w:val="0"/>
                <w:bCs/>
                <w:szCs w:val="32"/>
                <w:vertAlign w:val="subscript"/>
              </w:rPr>
              <w:t>2</w:t>
            </w:r>
            <w:r>
              <w:rPr>
                <w:rFonts w:ascii="Times New Roman" w:hAnsi="Times New Roman" w:cs="Times New Roman"/>
                <w:b w:val="0"/>
                <w:bCs/>
                <w:szCs w:val="32"/>
              </w:rPr>
              <w:t>/(公顷</w:t>
            </w:r>
            <w:r>
              <w:rPr>
                <w:rFonts w:ascii="Times New Roman" w:hAnsi="Times New Roman" w:cs="Times New Roman"/>
                <w:b w:val="0"/>
                <w:bCs/>
                <w:szCs w:val="32"/>
              </w:rPr>
              <w:sym w:font="Wingdings" w:char="F09E"/>
            </w:r>
            <w:r>
              <w:rPr>
                <w:rFonts w:ascii="Times New Roman" w:hAnsi="Times New Roman" w:cs="Times New Roman"/>
                <w:b w:val="0"/>
                <w:bCs/>
                <w:szCs w:val="32"/>
              </w:rPr>
              <w:t>a)</w:t>
            </w:r>
          </w:p>
        </w:tc>
      </w:tr>
    </w:tbl>
    <w:p>
      <w:pPr>
        <w:rPr>
          <w:rFonts w:ascii="Times New Roman" w:hAnsi="Times New Roman" w:eastAsia="楷体" w:cs="Times New Roman"/>
          <w:b w:val="0"/>
          <w:bCs/>
          <w:szCs w:val="21"/>
        </w:rPr>
      </w:pPr>
      <w:r>
        <w:rPr>
          <w:rFonts w:ascii="Times New Roman" w:hAnsi="Times New Roman" w:eastAsia="楷体" w:cs="Times New Roman"/>
          <w:b w:val="0"/>
          <w:bCs/>
          <w:szCs w:val="21"/>
        </w:rPr>
        <w:t>注：区域内涉及多种绿地种类的，应在本表后按相同格式增加绿地基本信息表</w:t>
      </w:r>
    </w:p>
    <w:p>
      <w:pPr>
        <w:rPr>
          <w:rFonts w:ascii="Times New Roman" w:hAnsi="Times New Roman" w:eastAsia="楷体" w:cs="Times New Roman"/>
          <w:b w:val="0"/>
          <w:bCs/>
          <w:szCs w:val="21"/>
        </w:rPr>
      </w:pPr>
    </w:p>
    <w:p>
      <w:pPr>
        <w:rPr>
          <w:rFonts w:ascii="Times New Roman" w:hAnsi="Times New Roman" w:cs="Times New Roman"/>
          <w:b w:val="0"/>
          <w:bCs/>
          <w:szCs w:val="32"/>
        </w:rPr>
      </w:pPr>
      <w:r>
        <w:rPr>
          <w:rFonts w:ascii="Times New Roman" w:hAnsi="Times New Roman" w:cs="Times New Roman"/>
          <w:b w:val="0"/>
          <w:bCs/>
          <w:szCs w:val="32"/>
        </w:rPr>
        <w:t>2.6 区域向外部输送的能源消耗</w:t>
      </w:r>
    </w:p>
    <w:tbl>
      <w:tblPr>
        <w:tblStyle w:val="43"/>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1701"/>
        <w:gridCol w:w="1417"/>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能源消耗</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设备、设施名称</w:t>
            </w:r>
          </w:p>
        </w:tc>
        <w:tc>
          <w:tcPr>
            <w:tcW w:w="1417"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能源消耗类型</w:t>
            </w:r>
          </w:p>
        </w:tc>
        <w:tc>
          <w:tcPr>
            <w:tcW w:w="1134"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单位</w:t>
            </w: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年能源消耗量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bottom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项目1</w:t>
            </w:r>
          </w:p>
        </w:tc>
        <w:tc>
          <w:tcPr>
            <w:tcW w:w="1701" w:type="dxa"/>
            <w:tcBorders>
              <w:top w:val="single" w:color="auto" w:sz="4" w:space="0"/>
              <w:bottom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417"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134"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bottom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项目2</w:t>
            </w:r>
          </w:p>
        </w:tc>
        <w:tc>
          <w:tcPr>
            <w:tcW w:w="1701" w:type="dxa"/>
            <w:tcBorders>
              <w:top w:val="single" w:color="auto" w:sz="4" w:space="0"/>
              <w:bottom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417"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134"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bottom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453" w:type="dxa"/>
            <w:tcBorders>
              <w:top w:val="single" w:color="auto" w:sz="4" w:space="0"/>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w:t>
            </w:r>
          </w:p>
        </w:tc>
        <w:tc>
          <w:tcPr>
            <w:tcW w:w="1701" w:type="dxa"/>
            <w:tcBorders>
              <w:top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417"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134"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c>
          <w:tcPr>
            <w:tcW w:w="1701" w:type="dxa"/>
            <w:tcBorders>
              <w:top w:val="single" w:color="auto" w:sz="4" w:space="0"/>
              <w:right w:val="single" w:color="auto" w:sz="4" w:space="0"/>
            </w:tcBorders>
            <w:vAlign w:val="center"/>
          </w:tcPr>
          <w:p>
            <w:pPr>
              <w:jc w:val="center"/>
              <w:outlineLvl w:val="2"/>
              <w:rPr>
                <w:rFonts w:ascii="Times New Roman" w:hAnsi="Times New Roman" w:cs="Times New Roman"/>
                <w:b w:val="0"/>
                <w:bCs/>
                <w:sz w:val="18"/>
                <w:szCs w:val="18"/>
              </w:rPr>
            </w:pPr>
          </w:p>
        </w:tc>
      </w:tr>
    </w:tbl>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3 区域碳排放量计算结果</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2264"/>
        <w:gridCol w:w="1509"/>
        <w:gridCol w:w="1509"/>
        <w:gridCol w:w="1509"/>
        <w:gridCol w:w="1510"/>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73" w:hRule="atLeast"/>
          <w:jc w:val="center"/>
        </w:trPr>
        <w:tc>
          <w:tcPr>
            <w:tcW w:w="2264" w:type="dxa"/>
            <w:vMerge w:val="restart"/>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项目</w:t>
            </w:r>
          </w:p>
        </w:tc>
        <w:tc>
          <w:tcPr>
            <w:tcW w:w="3018" w:type="dxa"/>
            <w:gridSpan w:val="2"/>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设计区域</w:t>
            </w:r>
          </w:p>
        </w:tc>
        <w:tc>
          <w:tcPr>
            <w:tcW w:w="3019" w:type="dxa"/>
            <w:gridSpan w:val="2"/>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基准区域</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73" w:hRule="atLeast"/>
          <w:jc w:val="center"/>
        </w:trPr>
        <w:tc>
          <w:tcPr>
            <w:tcW w:w="2264" w:type="dxa"/>
            <w:vMerge w:val="continue"/>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总碳排放</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tCO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/a</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区域人均碳排放量</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kgCO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/(人</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总碳排放</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tCO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/a</w:t>
            </w: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区域人均碳排放量</w:t>
            </w:r>
          </w:p>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kgCO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/(人</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建筑碳排放</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交通碳排放</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市政照明碳排放</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市政给排水碳排放</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生活垃圾处理碳排放</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其他能源消耗碳排放</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可再生能源发电碳减排</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20"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区域内碳汇</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20"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区域向外部输送能源产生的碳排放</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20" w:hRule="atLeast"/>
          <w:jc w:val="center"/>
        </w:trPr>
        <w:tc>
          <w:tcPr>
            <w:tcW w:w="2264" w:type="dxa"/>
            <w:tcBorders>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区域碳排放量</w:t>
            </w: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09" w:type="dxa"/>
            <w:tcBorders>
              <w:left w:val="single" w:color="auto" w:sz="4" w:space="0"/>
              <w:righ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c>
          <w:tcPr>
            <w:tcW w:w="1510" w:type="dxa"/>
            <w:tcBorders>
              <w:left w:val="single" w:color="auto" w:sz="4" w:space="0"/>
            </w:tcBorders>
            <w:shd w:val="clear" w:color="auto" w:fill="auto"/>
            <w:vAlign w:val="center"/>
          </w:tcPr>
          <w:p>
            <w:pPr>
              <w:jc w:val="center"/>
              <w:outlineLvl w:val="2"/>
              <w:rPr>
                <w:rFonts w:ascii="Times New Roman" w:hAnsi="Times New Roman" w:cs="Times New Roman"/>
                <w:b w:val="0"/>
                <w:bCs/>
                <w:sz w:val="18"/>
                <w:szCs w:val="18"/>
              </w:rPr>
            </w:pPr>
          </w:p>
        </w:tc>
      </w:tr>
    </w:tbl>
    <w:p>
      <w:pPr>
        <w:rPr>
          <w:rFonts w:ascii="Times New Roman" w:hAnsi="Times New Roman" w:eastAsia="楷体" w:cs="Times New Roman"/>
          <w:b w:val="0"/>
          <w:bCs/>
          <w:szCs w:val="21"/>
        </w:rPr>
      </w:pPr>
    </w:p>
    <w:p>
      <w:pPr>
        <w:autoSpaceDE w:val="0"/>
        <w:autoSpaceDN w:val="0"/>
        <w:spacing w:line="360" w:lineRule="auto"/>
        <w:rPr>
          <w:rFonts w:ascii="Times New Roman" w:hAnsi="Times New Roman" w:cs="Times New Roman"/>
          <w:b w:val="0"/>
          <w:bCs/>
          <w:szCs w:val="32"/>
        </w:rPr>
      </w:pPr>
      <w:r>
        <w:rPr>
          <w:rFonts w:ascii="Times New Roman" w:hAnsi="Times New Roman" w:cs="Times New Roman"/>
          <w:b w:val="0"/>
          <w:bCs/>
          <w:szCs w:val="32"/>
        </w:rPr>
        <w:t>4 区域碳排放基数指标审查</w:t>
      </w:r>
    </w:p>
    <w:tbl>
      <w:tblPr>
        <w:tblStyle w:val="43"/>
        <w:tblW w:w="86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3346"/>
        <w:gridCol w:w="1022"/>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基准区域净碳排放量（tCO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/a）</w:t>
            </w:r>
          </w:p>
        </w:tc>
        <w:tc>
          <w:tcPr>
            <w:tcW w:w="5809" w:type="dxa"/>
            <w:gridSpan w:val="3"/>
            <w:tcBorders>
              <w:tl2br w:val="nil"/>
              <w:tr2bl w:val="nil"/>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设计区域净碳排放量（tCO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/a）</w:t>
            </w:r>
          </w:p>
        </w:tc>
        <w:tc>
          <w:tcPr>
            <w:tcW w:w="5809" w:type="dxa"/>
            <w:gridSpan w:val="3"/>
            <w:tcBorders>
              <w:tl2br w:val="nil"/>
              <w:tr2bl w:val="nil"/>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区域总人数（人）</w:t>
            </w:r>
          </w:p>
        </w:tc>
        <w:tc>
          <w:tcPr>
            <w:tcW w:w="5809" w:type="dxa"/>
            <w:gridSpan w:val="3"/>
            <w:tcBorders>
              <w:tl2br w:val="nil"/>
              <w:tr2bl w:val="nil"/>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外部绿色电力或碳排放权交易抵消量（tCO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/a）</w:t>
            </w:r>
          </w:p>
        </w:tc>
        <w:tc>
          <w:tcPr>
            <w:tcW w:w="5809" w:type="dxa"/>
            <w:gridSpan w:val="3"/>
            <w:tcBorders>
              <w:tl2br w:val="nil"/>
              <w:tr2bl w:val="nil"/>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区域碳排放指标项</w:t>
            </w:r>
          </w:p>
        </w:tc>
        <w:tc>
          <w:tcPr>
            <w:tcW w:w="3346"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设计值</w:t>
            </w:r>
          </w:p>
        </w:tc>
        <w:tc>
          <w:tcPr>
            <w:tcW w:w="1022"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指标值</w:t>
            </w:r>
          </w:p>
        </w:tc>
        <w:tc>
          <w:tcPr>
            <w:tcW w:w="1441"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区域人均碳排放量kgCO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/(人</w:t>
            </w:r>
            <w:r>
              <w:rPr>
                <w:rFonts w:ascii="Times New Roman" w:hAnsi="Times New Roman" w:cs="Times New Roman"/>
                <w:b w:val="0"/>
                <w:bCs/>
                <w:sz w:val="18"/>
                <w:szCs w:val="18"/>
              </w:rPr>
              <w:sym w:font="Wingdings" w:char="F09E"/>
            </w:r>
            <w:r>
              <w:rPr>
                <w:rFonts w:ascii="Times New Roman" w:hAnsi="Times New Roman" w:cs="Times New Roman"/>
                <w:b w:val="0"/>
                <w:bCs/>
                <w:sz w:val="18"/>
                <w:szCs w:val="18"/>
              </w:rPr>
              <w:t>a)</w:t>
            </w:r>
          </w:p>
        </w:tc>
        <w:tc>
          <w:tcPr>
            <w:tcW w:w="3346" w:type="dxa"/>
            <w:tcBorders>
              <w:tl2br w:val="nil"/>
              <w:tr2bl w:val="nil"/>
            </w:tcBorders>
            <w:vAlign w:val="center"/>
          </w:tcPr>
          <w:p>
            <w:pPr>
              <w:jc w:val="center"/>
              <w:outlineLvl w:val="2"/>
              <w:rPr>
                <w:rFonts w:ascii="Times New Roman" w:hAnsi="Times New Roman" w:cs="Times New Roman"/>
                <w:b w:val="0"/>
                <w:bCs/>
                <w:sz w:val="18"/>
                <w:szCs w:val="18"/>
              </w:rPr>
            </w:pPr>
          </w:p>
        </w:tc>
        <w:tc>
          <w:tcPr>
            <w:tcW w:w="1022" w:type="dxa"/>
            <w:tcBorders>
              <w:tl2br w:val="nil"/>
              <w:tr2bl w:val="nil"/>
            </w:tcBorders>
            <w:vAlign w:val="center"/>
          </w:tcPr>
          <w:p>
            <w:pPr>
              <w:jc w:val="center"/>
              <w:outlineLvl w:val="2"/>
              <w:rPr>
                <w:rFonts w:ascii="Times New Roman" w:hAnsi="Times New Roman" w:cs="Times New Roman"/>
                <w:b w:val="0"/>
                <w:bCs/>
                <w:sz w:val="18"/>
                <w:szCs w:val="18"/>
              </w:rPr>
            </w:pPr>
          </w:p>
        </w:tc>
        <w:tc>
          <w:tcPr>
            <w:tcW w:w="1441" w:type="dxa"/>
            <w:tcBorders>
              <w:tl2br w:val="nil"/>
              <w:tr2bl w:val="nil"/>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区域降碳率（%）</w:t>
            </w:r>
          </w:p>
        </w:tc>
        <w:tc>
          <w:tcPr>
            <w:tcW w:w="3346" w:type="dxa"/>
            <w:tcBorders>
              <w:tl2br w:val="nil"/>
              <w:tr2bl w:val="nil"/>
            </w:tcBorders>
            <w:vAlign w:val="center"/>
          </w:tcPr>
          <w:p>
            <w:pPr>
              <w:jc w:val="center"/>
              <w:outlineLvl w:val="2"/>
              <w:rPr>
                <w:rFonts w:ascii="Times New Roman" w:hAnsi="Times New Roman" w:cs="Times New Roman"/>
                <w:b w:val="0"/>
                <w:bCs/>
                <w:sz w:val="18"/>
                <w:szCs w:val="18"/>
              </w:rPr>
            </w:pPr>
          </w:p>
        </w:tc>
        <w:tc>
          <w:tcPr>
            <w:tcW w:w="1022" w:type="dxa"/>
            <w:tcBorders>
              <w:tl2br w:val="nil"/>
              <w:tr2bl w:val="nil"/>
            </w:tcBorders>
            <w:vAlign w:val="center"/>
          </w:tcPr>
          <w:p>
            <w:pPr>
              <w:jc w:val="center"/>
              <w:outlineLvl w:val="2"/>
              <w:rPr>
                <w:rFonts w:ascii="Times New Roman" w:hAnsi="Times New Roman" w:cs="Times New Roman"/>
                <w:b w:val="0"/>
                <w:bCs/>
                <w:sz w:val="18"/>
                <w:szCs w:val="18"/>
              </w:rPr>
            </w:pPr>
          </w:p>
        </w:tc>
        <w:tc>
          <w:tcPr>
            <w:tcW w:w="1441" w:type="dxa"/>
            <w:tcBorders>
              <w:tl2br w:val="nil"/>
              <w:tr2bl w:val="nil"/>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区域总碳排放（tCO</w:t>
            </w:r>
            <w:r>
              <w:rPr>
                <w:rFonts w:ascii="Times New Roman" w:hAnsi="Times New Roman" w:cs="Times New Roman"/>
                <w:b w:val="0"/>
                <w:bCs/>
                <w:sz w:val="18"/>
                <w:szCs w:val="18"/>
                <w:vertAlign w:val="subscript"/>
              </w:rPr>
              <w:t>2</w:t>
            </w:r>
            <w:r>
              <w:rPr>
                <w:rFonts w:ascii="Times New Roman" w:hAnsi="Times New Roman" w:cs="Times New Roman"/>
                <w:b w:val="0"/>
                <w:bCs/>
                <w:sz w:val="18"/>
                <w:szCs w:val="18"/>
              </w:rPr>
              <w:t>/a）</w:t>
            </w:r>
          </w:p>
        </w:tc>
        <w:tc>
          <w:tcPr>
            <w:tcW w:w="5809" w:type="dxa"/>
            <w:gridSpan w:val="3"/>
            <w:tcBorders>
              <w:tl2br w:val="nil"/>
              <w:tr2bl w:val="nil"/>
            </w:tcBorders>
            <w:vAlign w:val="center"/>
          </w:tcPr>
          <w:p>
            <w:pPr>
              <w:jc w:val="center"/>
              <w:outlineLvl w:val="2"/>
              <w:rPr>
                <w:rFonts w:ascii="Times New Roman" w:hAnsi="Times New Roman" w:cs="Times New Roman"/>
                <w:b w:val="0"/>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4" w:type="dxa"/>
            <w:tcBorders>
              <w:tl2br w:val="nil"/>
              <w:tr2bl w:val="nil"/>
            </w:tcBorders>
            <w:vAlign w:val="center"/>
          </w:tcPr>
          <w:p>
            <w:pPr>
              <w:jc w:val="center"/>
              <w:outlineLvl w:val="2"/>
              <w:rPr>
                <w:rFonts w:ascii="Times New Roman" w:hAnsi="Times New Roman" w:cs="Times New Roman"/>
                <w:b w:val="0"/>
                <w:bCs/>
                <w:sz w:val="18"/>
                <w:szCs w:val="18"/>
              </w:rPr>
            </w:pPr>
            <w:r>
              <w:rPr>
                <w:rFonts w:ascii="Times New Roman" w:hAnsi="Times New Roman" w:cs="Times New Roman"/>
                <w:b w:val="0"/>
                <w:bCs/>
                <w:sz w:val="18"/>
                <w:szCs w:val="18"/>
              </w:rPr>
              <w:t>结论</w:t>
            </w:r>
          </w:p>
        </w:tc>
        <w:tc>
          <w:tcPr>
            <w:tcW w:w="5809" w:type="dxa"/>
            <w:gridSpan w:val="3"/>
            <w:tcBorders>
              <w:tl2br w:val="nil"/>
              <w:tr2bl w:val="nil"/>
            </w:tcBorders>
            <w:vAlign w:val="center"/>
          </w:tcPr>
          <w:p>
            <w:pPr>
              <w:jc w:val="center"/>
              <w:outlineLvl w:val="2"/>
              <w:rPr>
                <w:rFonts w:ascii="Times New Roman" w:hAnsi="Times New Roman" w:cs="Times New Roman"/>
                <w:b w:val="0"/>
                <w:bCs/>
                <w:sz w:val="18"/>
                <w:szCs w:val="18"/>
              </w:rPr>
            </w:pPr>
          </w:p>
        </w:tc>
      </w:tr>
    </w:tbl>
    <w:p>
      <w:pPr>
        <w:spacing w:line="360" w:lineRule="auto"/>
        <w:rPr>
          <w:rFonts w:ascii="Times New Roman" w:hAnsi="Times New Roman" w:eastAsia="楷体" w:cs="Times New Roman"/>
          <w:b w:val="0"/>
          <w:bCs/>
          <w:color w:val="111111"/>
          <w:szCs w:val="21"/>
        </w:rPr>
      </w:pPr>
    </w:p>
    <w:p>
      <w:pPr>
        <w:spacing w:line="360" w:lineRule="auto"/>
        <w:rPr>
          <w:rFonts w:ascii="Times New Roman" w:hAnsi="Times New Roman" w:eastAsia="楷体" w:cs="Times New Roman"/>
          <w:b w:val="0"/>
          <w:bCs/>
          <w:color w:val="111111"/>
          <w:szCs w:val="21"/>
        </w:rPr>
        <w:sectPr>
          <w:pgSz w:w="11906" w:h="16838"/>
          <w:pgMar w:top="1440" w:right="1797" w:bottom="1440" w:left="1797" w:header="851" w:footer="992" w:gutter="0"/>
          <w:cols w:space="425" w:num="1"/>
          <w:docGrid w:type="lines" w:linePitch="312" w:charSpace="0"/>
        </w:sectPr>
      </w:pPr>
    </w:p>
    <w:p>
      <w:pPr>
        <w:keepNext/>
        <w:tabs>
          <w:tab w:val="left" w:pos="720"/>
          <w:tab w:val="left" w:pos="910"/>
          <w:tab w:val="left" w:pos="1190"/>
          <w:tab w:val="left" w:pos="2520"/>
          <w:tab w:val="left" w:pos="7020"/>
        </w:tabs>
        <w:adjustRightInd/>
        <w:snapToGrid/>
        <w:spacing w:before="156" w:beforeLines="50" w:after="156" w:afterLines="50" w:line="276" w:lineRule="auto"/>
        <w:jc w:val="center"/>
        <w:outlineLvl w:val="0"/>
        <w:rPr>
          <w:rFonts w:ascii="Times New Roman" w:hAnsi="Times New Roman" w:eastAsia="黑体" w:cs="Times New Roman"/>
          <w:b w:val="0"/>
          <w:bCs/>
          <w:kern w:val="0"/>
          <w:sz w:val="28"/>
          <w:szCs w:val="28"/>
        </w:rPr>
      </w:pPr>
      <w:bookmarkStart w:id="147" w:name="_Toc128988439"/>
      <w:r>
        <w:rPr>
          <w:rFonts w:ascii="Times New Roman" w:hAnsi="Times New Roman" w:eastAsia="黑体" w:cs="Times New Roman"/>
          <w:b w:val="0"/>
          <w:bCs/>
          <w:kern w:val="0"/>
          <w:sz w:val="28"/>
          <w:szCs w:val="28"/>
        </w:rPr>
        <w:t>引用标准名录</w:t>
      </w:r>
      <w:bookmarkEnd w:id="147"/>
    </w:p>
    <w:p>
      <w:pPr>
        <w:rPr>
          <w:rFonts w:ascii="Times New Roman" w:hAnsi="Times New Roman" w:cs="Times New Roman"/>
          <w:b w:val="0"/>
          <w:bCs/>
        </w:rPr>
      </w:pP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《民用建筑热工设计规范》GB50176</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《民用建筑节水设计标准》GB50555</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《民用建筑供暖通风与空气调节设计规范》GB50736</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《可再生能源建筑应用工程评价标准》GB/T 50801</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《近零能耗建筑技术标准》GB/T 51350</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《建筑碳排放计算标准》GB/T51366</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《建筑节能与可再生能源利用通用规范》GB55015</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《电梯自动扶梯和自动人行道的能量性能 第2部分 电梯的能量计算与分级》GB/T30559.2</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《外窗热工缺陷现场测试方法》GB/T 39684</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《建筑垃圾处理技术标准》CJJ/T 134</w:t>
      </w:r>
    </w:p>
    <w:p>
      <w:pPr>
        <w:pStyle w:val="71"/>
        <w:numPr>
          <w:ilvl w:val="0"/>
          <w:numId w:val="11"/>
        </w:numPr>
        <w:spacing w:line="360" w:lineRule="auto"/>
        <w:ind w:firstLineChars="0"/>
        <w:rPr>
          <w:rFonts w:ascii="Times New Roman" w:hAnsi="Times New Roman" w:eastAsia="宋体" w:cs="Times New Roman"/>
          <w:b w:val="0"/>
          <w:bCs/>
          <w:color w:val="111111"/>
          <w:szCs w:val="21"/>
        </w:rPr>
      </w:pPr>
      <w:r>
        <w:rPr>
          <w:rFonts w:ascii="Times New Roman" w:hAnsi="Times New Roman" w:eastAsia="宋体" w:cs="Times New Roman"/>
          <w:b w:val="0"/>
          <w:bCs/>
          <w:color w:val="111111"/>
          <w:szCs w:val="21"/>
        </w:rPr>
        <w:t>《建筑节能气象参数标准》JGJ/T 346</w:t>
      </w:r>
    </w:p>
    <w:p>
      <w:pPr>
        <w:pStyle w:val="71"/>
        <w:ind w:firstLine="0" w:firstLineChars="0"/>
        <w:rPr>
          <w:rFonts w:ascii="Times New Roman" w:hAnsi="Times New Roman" w:eastAsia="楷体" w:cs="Times New Roman"/>
          <w:b w:val="0"/>
          <w:bCs/>
          <w:color w:val="111111"/>
          <w:szCs w:val="21"/>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MS Gothic">
    <w:altName w:val="MS Mincho"/>
    <w:panose1 w:val="020B0609070205080204"/>
    <w:charset w:val="80"/>
    <w:family w:val="modern"/>
    <w:pitch w:val="default"/>
    <w:sig w:usb0="00000000" w:usb1="00000000" w:usb2="08000012" w:usb3="00000000" w:csb0="4002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Times New Roman" w:hAnsi="Times New Roman" w:cs="Times New Roman"/>
      </w:rP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93479"/>
    </w:sdtPr>
    <w:sdtContent>
      <w:p>
        <w:pPr>
          <w:pStyle w:val="26"/>
          <w:jc w:val="center"/>
        </w:pPr>
        <w:r>
          <w:fldChar w:fldCharType="begin"/>
        </w:r>
        <w:r>
          <w:instrText xml:space="preserve">PAGE   \* MERGEFORMAT</w:instrText>
        </w:r>
        <w:r>
          <w:fldChar w:fldCharType="separate"/>
        </w:r>
        <w:r>
          <w:rPr>
            <w:lang w:val="zh-CN"/>
          </w:rPr>
          <w:t>64</w:t>
        </w:r>
        <w: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131FF"/>
    <w:multiLevelType w:val="multilevel"/>
    <w:tmpl w:val="0B7131FF"/>
    <w:lvl w:ilvl="0" w:tentative="0">
      <w:start w:val="1"/>
      <w:numFmt w:val="bullet"/>
      <w:pStyle w:val="239"/>
      <w:lvlText w:val=""/>
      <w:lvlJc w:val="left"/>
      <w:pPr>
        <w:ind w:left="1080" w:hanging="360"/>
      </w:pPr>
      <w:rPr>
        <w:rFonts w:hint="default" w:ascii="Symbol" w:hAnsi="Symbo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5800476"/>
    <w:multiLevelType w:val="multilevel"/>
    <w:tmpl w:val="15800476"/>
    <w:lvl w:ilvl="0" w:tentative="0">
      <w:start w:val="1"/>
      <w:numFmt w:val="lowerLetter"/>
      <w:pStyle w:val="21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21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22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16F438DB"/>
    <w:multiLevelType w:val="multilevel"/>
    <w:tmpl w:val="16F438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C91163"/>
    <w:multiLevelType w:val="multilevel"/>
    <w:tmpl w:val="1FC91163"/>
    <w:lvl w:ilvl="0" w:tentative="0">
      <w:start w:val="1"/>
      <w:numFmt w:val="decimal"/>
      <w:pStyle w:val="211"/>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2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12"/>
      <w:suff w:val="nothing"/>
      <w:lvlText w:val="%1.%2.%3　"/>
      <w:lvlJc w:val="left"/>
      <w:pPr>
        <w:ind w:left="2127" w:firstLine="0"/>
      </w:pPr>
      <w:rPr>
        <w:rFonts w:hint="eastAsia" w:ascii="黑体" w:hAnsi="Times New Roman" w:eastAsia="黑体"/>
        <w:b w:val="0"/>
        <w:i w:val="0"/>
        <w:sz w:val="21"/>
      </w:rPr>
    </w:lvl>
    <w:lvl w:ilvl="3" w:tentative="0">
      <w:start w:val="1"/>
      <w:numFmt w:val="decimal"/>
      <w:pStyle w:val="213"/>
      <w:suff w:val="nothing"/>
      <w:lvlText w:val="%1.%2.%3.%4　"/>
      <w:lvlJc w:val="left"/>
      <w:pPr>
        <w:ind w:left="0" w:firstLine="0"/>
      </w:pPr>
      <w:rPr>
        <w:rFonts w:hint="eastAsia" w:ascii="黑体" w:hAnsi="Times New Roman" w:eastAsia="黑体"/>
        <w:b w:val="0"/>
        <w:i w:val="0"/>
        <w:sz w:val="21"/>
      </w:rPr>
    </w:lvl>
    <w:lvl w:ilvl="4" w:tentative="0">
      <w:start w:val="1"/>
      <w:numFmt w:val="decimal"/>
      <w:pStyle w:val="214"/>
      <w:suff w:val="nothing"/>
      <w:lvlText w:val="%1.%2.%3.%4.%5　"/>
      <w:lvlJc w:val="left"/>
      <w:pPr>
        <w:ind w:left="0" w:firstLine="0"/>
      </w:pPr>
      <w:rPr>
        <w:rFonts w:hint="eastAsia" w:ascii="黑体" w:hAnsi="Times New Roman" w:eastAsia="黑体"/>
        <w:b w:val="0"/>
        <w:i w:val="0"/>
        <w:sz w:val="21"/>
      </w:rPr>
    </w:lvl>
    <w:lvl w:ilvl="5" w:tentative="0">
      <w:start w:val="1"/>
      <w:numFmt w:val="decimal"/>
      <w:pStyle w:val="21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3012116"/>
    <w:multiLevelType w:val="multilevel"/>
    <w:tmpl w:val="23012116"/>
    <w:lvl w:ilvl="0" w:tentative="0">
      <w:start w:val="1"/>
      <w:numFmt w:val="decimal"/>
      <w:pStyle w:val="78"/>
      <w:lvlText w:val="%1 "/>
      <w:lvlJc w:val="left"/>
      <w:pPr>
        <w:ind w:left="420" w:hanging="420"/>
      </w:pPr>
      <w:rPr>
        <w:rFonts w:hint="eastAsia" w:ascii="黑体" w:hAnsi="黑体" w:eastAsia="黑体"/>
        <w:b w:val="0"/>
        <w:i w:val="0"/>
        <w:sz w:val="24"/>
      </w:rPr>
    </w:lvl>
    <w:lvl w:ilvl="1" w:tentative="0">
      <w:start w:val="1"/>
      <w:numFmt w:val="decimal"/>
      <w:lvlText w:val="（%2）"/>
      <w:lvlJc w:val="left"/>
      <w:pPr>
        <w:ind w:left="856" w:hanging="720"/>
      </w:pPr>
      <w:rPr>
        <w:rFonts w:hint="default"/>
      </w:r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5">
    <w:nsid w:val="231B75FB"/>
    <w:multiLevelType w:val="multilevel"/>
    <w:tmpl w:val="231B75FB"/>
    <w:lvl w:ilvl="0" w:tentative="0">
      <w:start w:val="7"/>
      <w:numFmt w:val="decimal"/>
      <w:pStyle w:val="236"/>
      <w:lvlText w:val="%1"/>
      <w:lvlJc w:val="left"/>
      <w:pPr>
        <w:ind w:left="432" w:hanging="432"/>
      </w:pPr>
      <w:rPr>
        <w:rFonts w:hint="eastAsia"/>
      </w:rPr>
    </w:lvl>
    <w:lvl w:ilvl="1" w:tentative="0">
      <w:start w:val="1"/>
      <w:numFmt w:val="decimal"/>
      <w:pStyle w:val="237"/>
      <w:lvlText w:val="%1.%2"/>
      <w:lvlJc w:val="left"/>
      <w:pPr>
        <w:ind w:left="3837" w:hanging="576"/>
      </w:pPr>
      <w:rPr>
        <w:rFonts w:hint="eastAsia"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282E2E9C"/>
    <w:multiLevelType w:val="multilevel"/>
    <w:tmpl w:val="282E2E9C"/>
    <w:lvl w:ilvl="0" w:tentative="0">
      <w:start w:val="1"/>
      <w:numFmt w:val="decimal"/>
      <w:pStyle w:val="257"/>
      <w:lvlText w:val="图%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3D15FB7"/>
    <w:multiLevelType w:val="multilevel"/>
    <w:tmpl w:val="43D15FB7"/>
    <w:lvl w:ilvl="0" w:tentative="0">
      <w:start w:val="10"/>
      <w:numFmt w:val="decimal"/>
      <w:pStyle w:val="165"/>
      <w:lvlText w:val="%1"/>
      <w:lvlJc w:val="left"/>
      <w:pPr>
        <w:tabs>
          <w:tab w:val="left" w:pos="480"/>
        </w:tabs>
        <w:ind w:left="480" w:hanging="480"/>
      </w:pPr>
      <w:rPr>
        <w:rFonts w:hint="default"/>
      </w:rPr>
    </w:lvl>
    <w:lvl w:ilvl="1" w:tentative="0">
      <w:start w:val="4"/>
      <w:numFmt w:val="decimal"/>
      <w:lvlText w:val="%1.%2"/>
      <w:lvlJc w:val="left"/>
      <w:pPr>
        <w:tabs>
          <w:tab w:val="left" w:pos="1110"/>
        </w:tabs>
        <w:ind w:left="1110" w:hanging="480"/>
      </w:pPr>
      <w:rPr>
        <w:rFonts w:hint="default"/>
      </w:rPr>
    </w:lvl>
    <w:lvl w:ilvl="2" w:tentative="0">
      <w:start w:val="1"/>
      <w:numFmt w:val="decimal"/>
      <w:lvlText w:val="%1.%2.%3"/>
      <w:lvlJc w:val="left"/>
      <w:pPr>
        <w:tabs>
          <w:tab w:val="left" w:pos="1980"/>
        </w:tabs>
        <w:ind w:left="1980" w:hanging="720"/>
      </w:pPr>
      <w:rPr>
        <w:rFonts w:hint="default"/>
      </w:rPr>
    </w:lvl>
    <w:lvl w:ilvl="3" w:tentative="0">
      <w:start w:val="1"/>
      <w:numFmt w:val="decimal"/>
      <w:lvlText w:val="%1.%2.%3.%4"/>
      <w:lvlJc w:val="left"/>
      <w:pPr>
        <w:tabs>
          <w:tab w:val="left" w:pos="2970"/>
        </w:tabs>
        <w:ind w:left="2970" w:hanging="1080"/>
      </w:pPr>
      <w:rPr>
        <w:rFonts w:hint="default"/>
      </w:rPr>
    </w:lvl>
    <w:lvl w:ilvl="4" w:tentative="0">
      <w:start w:val="1"/>
      <w:numFmt w:val="decimal"/>
      <w:lvlText w:val="%1.%2.%3.%4.%5"/>
      <w:lvlJc w:val="left"/>
      <w:pPr>
        <w:tabs>
          <w:tab w:val="left" w:pos="3600"/>
        </w:tabs>
        <w:ind w:left="3600" w:hanging="1080"/>
      </w:pPr>
      <w:rPr>
        <w:rFonts w:hint="default"/>
      </w:rPr>
    </w:lvl>
    <w:lvl w:ilvl="5" w:tentative="0">
      <w:start w:val="1"/>
      <w:numFmt w:val="decimal"/>
      <w:lvlText w:val="%1.%2.%3.%4.%5.%6"/>
      <w:lvlJc w:val="left"/>
      <w:pPr>
        <w:tabs>
          <w:tab w:val="left" w:pos="4590"/>
        </w:tabs>
        <w:ind w:left="4590" w:hanging="1440"/>
      </w:pPr>
      <w:rPr>
        <w:rFonts w:hint="default"/>
      </w:rPr>
    </w:lvl>
    <w:lvl w:ilvl="6" w:tentative="0">
      <w:start w:val="1"/>
      <w:numFmt w:val="decimal"/>
      <w:lvlText w:val="%1.%2.%3.%4.%5.%6.%7"/>
      <w:lvlJc w:val="left"/>
      <w:pPr>
        <w:tabs>
          <w:tab w:val="left" w:pos="5220"/>
        </w:tabs>
        <w:ind w:left="5220" w:hanging="1440"/>
      </w:pPr>
      <w:rPr>
        <w:rFonts w:hint="default"/>
      </w:rPr>
    </w:lvl>
    <w:lvl w:ilvl="7" w:tentative="0">
      <w:start w:val="1"/>
      <w:numFmt w:val="decimal"/>
      <w:lvlText w:val="%1.%2.%3.%4.%5.%6.%7.%8"/>
      <w:lvlJc w:val="left"/>
      <w:pPr>
        <w:tabs>
          <w:tab w:val="left" w:pos="6210"/>
        </w:tabs>
        <w:ind w:left="6210" w:hanging="1800"/>
      </w:pPr>
      <w:rPr>
        <w:rFonts w:hint="default"/>
      </w:rPr>
    </w:lvl>
    <w:lvl w:ilvl="8" w:tentative="0">
      <w:start w:val="1"/>
      <w:numFmt w:val="decimal"/>
      <w:lvlText w:val="%1.%2.%3.%4.%5.%6.%7.%8.%9"/>
      <w:lvlJc w:val="left"/>
      <w:pPr>
        <w:tabs>
          <w:tab w:val="left" w:pos="7200"/>
        </w:tabs>
        <w:ind w:left="7200" w:hanging="2160"/>
      </w:pPr>
      <w:rPr>
        <w:rFonts w:hint="default"/>
      </w:rPr>
    </w:lvl>
  </w:abstractNum>
  <w:abstractNum w:abstractNumId="8">
    <w:nsid w:val="60B55DC2"/>
    <w:multiLevelType w:val="multilevel"/>
    <w:tmpl w:val="60B55DC2"/>
    <w:lvl w:ilvl="0" w:tentative="0">
      <w:start w:val="1"/>
      <w:numFmt w:val="upperLetter"/>
      <w:pStyle w:val="242"/>
      <w:lvlText w:val="%1"/>
      <w:lvlJc w:val="left"/>
      <w:pPr>
        <w:tabs>
          <w:tab w:val="left" w:pos="0"/>
        </w:tabs>
        <w:ind w:left="0" w:hanging="425"/>
      </w:pPr>
      <w:rPr>
        <w:rFonts w:hint="eastAsia"/>
      </w:rPr>
    </w:lvl>
    <w:lvl w:ilvl="1" w:tentative="0">
      <w:start w:val="1"/>
      <w:numFmt w:val="decimal"/>
      <w:pStyle w:val="24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24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4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49"/>
      <w:suff w:val="nothing"/>
      <w:lvlText w:val="%1.%2.%3　"/>
      <w:lvlJc w:val="left"/>
      <w:pPr>
        <w:ind w:left="0" w:firstLine="0"/>
      </w:pPr>
      <w:rPr>
        <w:rFonts w:hint="eastAsia" w:ascii="黑体" w:hAnsi="Times New Roman" w:eastAsia="黑体"/>
        <w:b w:val="0"/>
        <w:i w:val="0"/>
        <w:sz w:val="21"/>
      </w:rPr>
    </w:lvl>
    <w:lvl w:ilvl="3" w:tentative="0">
      <w:start w:val="1"/>
      <w:numFmt w:val="decimal"/>
      <w:pStyle w:val="244"/>
      <w:suff w:val="nothing"/>
      <w:lvlText w:val="%1.%2.%3.%4　"/>
      <w:lvlJc w:val="left"/>
      <w:pPr>
        <w:ind w:left="0" w:firstLine="0"/>
      </w:pPr>
      <w:rPr>
        <w:rFonts w:hint="eastAsia" w:ascii="黑体" w:hAnsi="Times New Roman" w:eastAsia="黑体"/>
        <w:b w:val="0"/>
        <w:i w:val="0"/>
        <w:sz w:val="21"/>
      </w:rPr>
    </w:lvl>
    <w:lvl w:ilvl="4" w:tentative="0">
      <w:start w:val="1"/>
      <w:numFmt w:val="decimal"/>
      <w:pStyle w:val="245"/>
      <w:suff w:val="nothing"/>
      <w:lvlText w:val="%1.%2.%3.%4.%5　"/>
      <w:lvlJc w:val="left"/>
      <w:pPr>
        <w:ind w:left="0" w:firstLine="0"/>
      </w:pPr>
      <w:rPr>
        <w:rFonts w:hint="eastAsia" w:ascii="黑体" w:hAnsi="Times New Roman" w:eastAsia="黑体"/>
        <w:b w:val="0"/>
        <w:i w:val="0"/>
        <w:sz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DBF04F4"/>
    <w:multiLevelType w:val="multilevel"/>
    <w:tmpl w:val="6DBF04F4"/>
    <w:lvl w:ilvl="0" w:tentative="0">
      <w:start w:val="1"/>
      <w:numFmt w:val="none"/>
      <w:pStyle w:val="216"/>
      <w:suff w:val="nothing"/>
      <w:lvlText w:val="%1注："/>
      <w:lvlJc w:val="left"/>
      <w:pPr>
        <w:ind w:left="363" w:hanging="363"/>
      </w:pPr>
      <w:rPr>
        <w:rFonts w:hint="eastAsia" w:ascii="黑体" w:hAnsi="Times New Roman" w:eastAsia="黑体"/>
        <w:b/>
        <w:i w:val="0"/>
        <w:sz w:val="18"/>
      </w:rPr>
    </w:lvl>
    <w:lvl w:ilvl="1" w:tentative="0">
      <w:start w:val="1"/>
      <w:numFmt w:val="lowerLetter"/>
      <w:lvlText w:val="%2)"/>
      <w:lvlJc w:val="left"/>
      <w:pPr>
        <w:tabs>
          <w:tab w:val="left" w:pos="777"/>
        </w:tabs>
        <w:ind w:left="363" w:hanging="363"/>
      </w:pPr>
      <w:rPr>
        <w:rFonts w:hint="eastAsia"/>
      </w:rPr>
    </w:lvl>
    <w:lvl w:ilvl="2" w:tentative="0">
      <w:start w:val="1"/>
      <w:numFmt w:val="lowerRoman"/>
      <w:lvlText w:val="%3."/>
      <w:lvlJc w:val="right"/>
      <w:pPr>
        <w:tabs>
          <w:tab w:val="left" w:pos="777"/>
        </w:tabs>
        <w:ind w:left="363" w:hanging="363"/>
      </w:pPr>
      <w:rPr>
        <w:rFonts w:hint="eastAsia"/>
      </w:rPr>
    </w:lvl>
    <w:lvl w:ilvl="3" w:tentative="0">
      <w:start w:val="1"/>
      <w:numFmt w:val="decimal"/>
      <w:lvlText w:val="%4."/>
      <w:lvlJc w:val="left"/>
      <w:pPr>
        <w:tabs>
          <w:tab w:val="left" w:pos="777"/>
        </w:tabs>
        <w:ind w:left="363" w:hanging="363"/>
      </w:pPr>
      <w:rPr>
        <w:rFonts w:hint="eastAsia"/>
      </w:rPr>
    </w:lvl>
    <w:lvl w:ilvl="4" w:tentative="0">
      <w:start w:val="1"/>
      <w:numFmt w:val="lowerLetter"/>
      <w:lvlText w:val="%5)"/>
      <w:lvlJc w:val="left"/>
      <w:pPr>
        <w:tabs>
          <w:tab w:val="left" w:pos="777"/>
        </w:tabs>
        <w:ind w:left="363" w:hanging="363"/>
      </w:pPr>
      <w:rPr>
        <w:rFonts w:hint="eastAsia"/>
      </w:rPr>
    </w:lvl>
    <w:lvl w:ilvl="5" w:tentative="0">
      <w:start w:val="1"/>
      <w:numFmt w:val="lowerRoman"/>
      <w:lvlText w:val="%6."/>
      <w:lvlJc w:val="right"/>
      <w:pPr>
        <w:tabs>
          <w:tab w:val="left" w:pos="777"/>
        </w:tabs>
        <w:ind w:left="363" w:hanging="363"/>
      </w:pPr>
      <w:rPr>
        <w:rFonts w:hint="eastAsia"/>
      </w:rPr>
    </w:lvl>
    <w:lvl w:ilvl="6" w:tentative="0">
      <w:start w:val="1"/>
      <w:numFmt w:val="decimal"/>
      <w:lvlText w:val="%7."/>
      <w:lvlJc w:val="left"/>
      <w:pPr>
        <w:tabs>
          <w:tab w:val="left" w:pos="777"/>
        </w:tabs>
        <w:ind w:left="363" w:hanging="363"/>
      </w:pPr>
      <w:rPr>
        <w:rFonts w:hint="eastAsia"/>
      </w:rPr>
    </w:lvl>
    <w:lvl w:ilvl="7" w:tentative="0">
      <w:start w:val="1"/>
      <w:numFmt w:val="lowerLetter"/>
      <w:lvlText w:val="%8)"/>
      <w:lvlJc w:val="left"/>
      <w:pPr>
        <w:tabs>
          <w:tab w:val="left" w:pos="777"/>
        </w:tabs>
        <w:ind w:left="363" w:hanging="363"/>
      </w:pPr>
      <w:rPr>
        <w:rFonts w:hint="eastAsia"/>
      </w:rPr>
    </w:lvl>
    <w:lvl w:ilvl="8" w:tentative="0">
      <w:start w:val="1"/>
      <w:numFmt w:val="lowerRoman"/>
      <w:lvlText w:val="%9."/>
      <w:lvlJc w:val="right"/>
      <w:pPr>
        <w:tabs>
          <w:tab w:val="left" w:pos="777"/>
        </w:tabs>
        <w:ind w:left="363" w:hanging="363"/>
      </w:pPr>
      <w:rPr>
        <w:rFonts w:hint="eastAsia"/>
      </w:rPr>
    </w:lvl>
  </w:abstractNum>
  <w:num w:numId="1">
    <w:abstractNumId w:val="4"/>
  </w:num>
  <w:num w:numId="2">
    <w:abstractNumId w:val="7"/>
  </w:num>
  <w:num w:numId="3">
    <w:abstractNumId w:val="3"/>
  </w:num>
  <w:num w:numId="4">
    <w:abstractNumId w:val="10"/>
  </w:num>
  <w:num w:numId="5">
    <w:abstractNumId w:val="1"/>
  </w:num>
  <w:num w:numId="6">
    <w:abstractNumId w:val="5"/>
  </w:num>
  <w:num w:numId="7">
    <w:abstractNumId w:val="0"/>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ZTk4OWZmZTI2ZDdiNzlhY2RjNmYxYjc2MWU3YjAifQ=="/>
    <w:docVar w:name="KSO_WPS_MARK_KEY" w:val="7f38cfac-cbaf-4c24-8aec-4440f5328614"/>
  </w:docVars>
  <w:rsids>
    <w:rsidRoot w:val="00CD6EC9"/>
    <w:rsid w:val="000006F9"/>
    <w:rsid w:val="00000C41"/>
    <w:rsid w:val="00000F9C"/>
    <w:rsid w:val="0000139A"/>
    <w:rsid w:val="00001565"/>
    <w:rsid w:val="00001AC1"/>
    <w:rsid w:val="00002200"/>
    <w:rsid w:val="00002230"/>
    <w:rsid w:val="000023D3"/>
    <w:rsid w:val="000025AD"/>
    <w:rsid w:val="00002F2D"/>
    <w:rsid w:val="00003D13"/>
    <w:rsid w:val="00003FCD"/>
    <w:rsid w:val="000044E4"/>
    <w:rsid w:val="000046EA"/>
    <w:rsid w:val="0000589D"/>
    <w:rsid w:val="00005A6E"/>
    <w:rsid w:val="00005D68"/>
    <w:rsid w:val="00006719"/>
    <w:rsid w:val="00006BAF"/>
    <w:rsid w:val="00010B59"/>
    <w:rsid w:val="00010D26"/>
    <w:rsid w:val="00010D6B"/>
    <w:rsid w:val="00010E60"/>
    <w:rsid w:val="00010F5E"/>
    <w:rsid w:val="00012C56"/>
    <w:rsid w:val="00014327"/>
    <w:rsid w:val="00014FD7"/>
    <w:rsid w:val="000154E1"/>
    <w:rsid w:val="00015771"/>
    <w:rsid w:val="00016102"/>
    <w:rsid w:val="000169D9"/>
    <w:rsid w:val="0001712A"/>
    <w:rsid w:val="00017464"/>
    <w:rsid w:val="0001763E"/>
    <w:rsid w:val="00020A77"/>
    <w:rsid w:val="00020D7A"/>
    <w:rsid w:val="0002279D"/>
    <w:rsid w:val="0002460B"/>
    <w:rsid w:val="0002696E"/>
    <w:rsid w:val="00027700"/>
    <w:rsid w:val="00027EA7"/>
    <w:rsid w:val="000312D1"/>
    <w:rsid w:val="00033ABF"/>
    <w:rsid w:val="00033BB8"/>
    <w:rsid w:val="00033CD0"/>
    <w:rsid w:val="00033E0E"/>
    <w:rsid w:val="00034889"/>
    <w:rsid w:val="00034CF7"/>
    <w:rsid w:val="00035594"/>
    <w:rsid w:val="0003623E"/>
    <w:rsid w:val="000369D8"/>
    <w:rsid w:val="00036A98"/>
    <w:rsid w:val="00036CE7"/>
    <w:rsid w:val="00036FA9"/>
    <w:rsid w:val="000407E0"/>
    <w:rsid w:val="000413EA"/>
    <w:rsid w:val="00043D5D"/>
    <w:rsid w:val="00045F3E"/>
    <w:rsid w:val="00047457"/>
    <w:rsid w:val="00047811"/>
    <w:rsid w:val="000501F8"/>
    <w:rsid w:val="00050374"/>
    <w:rsid w:val="0005095C"/>
    <w:rsid w:val="00051186"/>
    <w:rsid w:val="00051558"/>
    <w:rsid w:val="000516A6"/>
    <w:rsid w:val="000523E9"/>
    <w:rsid w:val="00052800"/>
    <w:rsid w:val="000544D5"/>
    <w:rsid w:val="00055A8D"/>
    <w:rsid w:val="00057A71"/>
    <w:rsid w:val="00057C28"/>
    <w:rsid w:val="000605C7"/>
    <w:rsid w:val="000606A2"/>
    <w:rsid w:val="000630C8"/>
    <w:rsid w:val="00064850"/>
    <w:rsid w:val="00065311"/>
    <w:rsid w:val="000663E5"/>
    <w:rsid w:val="0007057A"/>
    <w:rsid w:val="00071BC3"/>
    <w:rsid w:val="000725A1"/>
    <w:rsid w:val="000749CD"/>
    <w:rsid w:val="00074C93"/>
    <w:rsid w:val="00076A28"/>
    <w:rsid w:val="00076C30"/>
    <w:rsid w:val="00076F3F"/>
    <w:rsid w:val="000771AF"/>
    <w:rsid w:val="000772B5"/>
    <w:rsid w:val="00077414"/>
    <w:rsid w:val="00077C69"/>
    <w:rsid w:val="000808A8"/>
    <w:rsid w:val="00081796"/>
    <w:rsid w:val="000833C0"/>
    <w:rsid w:val="00083DE5"/>
    <w:rsid w:val="00084590"/>
    <w:rsid w:val="00084662"/>
    <w:rsid w:val="0008499B"/>
    <w:rsid w:val="00084F08"/>
    <w:rsid w:val="00085197"/>
    <w:rsid w:val="0008523D"/>
    <w:rsid w:val="0008592A"/>
    <w:rsid w:val="00085A2B"/>
    <w:rsid w:val="00085D5E"/>
    <w:rsid w:val="000863BC"/>
    <w:rsid w:val="000865DC"/>
    <w:rsid w:val="000876AF"/>
    <w:rsid w:val="000876BF"/>
    <w:rsid w:val="00087823"/>
    <w:rsid w:val="00087ECB"/>
    <w:rsid w:val="00090946"/>
    <w:rsid w:val="00090B6A"/>
    <w:rsid w:val="00090F51"/>
    <w:rsid w:val="00090F73"/>
    <w:rsid w:val="00091F9C"/>
    <w:rsid w:val="00093510"/>
    <w:rsid w:val="00093687"/>
    <w:rsid w:val="000939FF"/>
    <w:rsid w:val="00093CC6"/>
    <w:rsid w:val="00094AA8"/>
    <w:rsid w:val="00094ED2"/>
    <w:rsid w:val="000963EE"/>
    <w:rsid w:val="00096B6E"/>
    <w:rsid w:val="0009728F"/>
    <w:rsid w:val="000A0329"/>
    <w:rsid w:val="000A0577"/>
    <w:rsid w:val="000A16A6"/>
    <w:rsid w:val="000A1BB4"/>
    <w:rsid w:val="000A2285"/>
    <w:rsid w:val="000A3F93"/>
    <w:rsid w:val="000A4181"/>
    <w:rsid w:val="000A5927"/>
    <w:rsid w:val="000A5DBA"/>
    <w:rsid w:val="000A60A0"/>
    <w:rsid w:val="000A6259"/>
    <w:rsid w:val="000A65D1"/>
    <w:rsid w:val="000A6BB0"/>
    <w:rsid w:val="000A79DE"/>
    <w:rsid w:val="000B0DEA"/>
    <w:rsid w:val="000B22E7"/>
    <w:rsid w:val="000B236B"/>
    <w:rsid w:val="000B340C"/>
    <w:rsid w:val="000B3B4A"/>
    <w:rsid w:val="000B4514"/>
    <w:rsid w:val="000B59CE"/>
    <w:rsid w:val="000B6641"/>
    <w:rsid w:val="000B667D"/>
    <w:rsid w:val="000B693E"/>
    <w:rsid w:val="000B7312"/>
    <w:rsid w:val="000B78A7"/>
    <w:rsid w:val="000C0ABF"/>
    <w:rsid w:val="000C16C7"/>
    <w:rsid w:val="000C1711"/>
    <w:rsid w:val="000C2126"/>
    <w:rsid w:val="000C4480"/>
    <w:rsid w:val="000C4906"/>
    <w:rsid w:val="000C4C60"/>
    <w:rsid w:val="000C6674"/>
    <w:rsid w:val="000C7AB9"/>
    <w:rsid w:val="000C7CDB"/>
    <w:rsid w:val="000D0431"/>
    <w:rsid w:val="000D08AF"/>
    <w:rsid w:val="000D144D"/>
    <w:rsid w:val="000D1E40"/>
    <w:rsid w:val="000D26AB"/>
    <w:rsid w:val="000D3502"/>
    <w:rsid w:val="000D3B94"/>
    <w:rsid w:val="000D57F0"/>
    <w:rsid w:val="000D5BAA"/>
    <w:rsid w:val="000D6E7D"/>
    <w:rsid w:val="000D73F5"/>
    <w:rsid w:val="000E1A12"/>
    <w:rsid w:val="000E1B03"/>
    <w:rsid w:val="000E25FD"/>
    <w:rsid w:val="000E26C2"/>
    <w:rsid w:val="000E3608"/>
    <w:rsid w:val="000E38F6"/>
    <w:rsid w:val="000E3E43"/>
    <w:rsid w:val="000E4C4D"/>
    <w:rsid w:val="000E5B41"/>
    <w:rsid w:val="000E5E17"/>
    <w:rsid w:val="000E66BB"/>
    <w:rsid w:val="000E75B5"/>
    <w:rsid w:val="000E7628"/>
    <w:rsid w:val="000E79E6"/>
    <w:rsid w:val="000F3255"/>
    <w:rsid w:val="000F4DAC"/>
    <w:rsid w:val="000F5218"/>
    <w:rsid w:val="000F589B"/>
    <w:rsid w:val="000F6983"/>
    <w:rsid w:val="000F7740"/>
    <w:rsid w:val="0010012E"/>
    <w:rsid w:val="0010066B"/>
    <w:rsid w:val="001008CD"/>
    <w:rsid w:val="00101FF8"/>
    <w:rsid w:val="00102DE9"/>
    <w:rsid w:val="00103765"/>
    <w:rsid w:val="00104352"/>
    <w:rsid w:val="00106E7D"/>
    <w:rsid w:val="001079DF"/>
    <w:rsid w:val="00110464"/>
    <w:rsid w:val="00110589"/>
    <w:rsid w:val="0011191D"/>
    <w:rsid w:val="00112488"/>
    <w:rsid w:val="00112678"/>
    <w:rsid w:val="00112C98"/>
    <w:rsid w:val="0011310A"/>
    <w:rsid w:val="00113892"/>
    <w:rsid w:val="001139B3"/>
    <w:rsid w:val="00113FA0"/>
    <w:rsid w:val="00114E15"/>
    <w:rsid w:val="0011515F"/>
    <w:rsid w:val="00115466"/>
    <w:rsid w:val="001155D6"/>
    <w:rsid w:val="0011594E"/>
    <w:rsid w:val="00115C49"/>
    <w:rsid w:val="00116D8E"/>
    <w:rsid w:val="00117073"/>
    <w:rsid w:val="00117203"/>
    <w:rsid w:val="00117850"/>
    <w:rsid w:val="001201EF"/>
    <w:rsid w:val="0012096C"/>
    <w:rsid w:val="001212ED"/>
    <w:rsid w:val="00121E65"/>
    <w:rsid w:val="00122145"/>
    <w:rsid w:val="001224DA"/>
    <w:rsid w:val="00122A11"/>
    <w:rsid w:val="001238DB"/>
    <w:rsid w:val="00124BD4"/>
    <w:rsid w:val="00124D1F"/>
    <w:rsid w:val="00126887"/>
    <w:rsid w:val="00130A11"/>
    <w:rsid w:val="00130B2C"/>
    <w:rsid w:val="00131AC3"/>
    <w:rsid w:val="00131BD7"/>
    <w:rsid w:val="001320FB"/>
    <w:rsid w:val="00132528"/>
    <w:rsid w:val="00132655"/>
    <w:rsid w:val="00132711"/>
    <w:rsid w:val="00132FC3"/>
    <w:rsid w:val="00133281"/>
    <w:rsid w:val="001352B6"/>
    <w:rsid w:val="00135908"/>
    <w:rsid w:val="0013594D"/>
    <w:rsid w:val="00135966"/>
    <w:rsid w:val="00137C33"/>
    <w:rsid w:val="00140466"/>
    <w:rsid w:val="00140685"/>
    <w:rsid w:val="00140C61"/>
    <w:rsid w:val="00140F30"/>
    <w:rsid w:val="00141149"/>
    <w:rsid w:val="00142D7E"/>
    <w:rsid w:val="00143216"/>
    <w:rsid w:val="0014387B"/>
    <w:rsid w:val="001441F1"/>
    <w:rsid w:val="001444DD"/>
    <w:rsid w:val="00144970"/>
    <w:rsid w:val="00145550"/>
    <w:rsid w:val="0014573D"/>
    <w:rsid w:val="00145901"/>
    <w:rsid w:val="00145B9F"/>
    <w:rsid w:val="00146744"/>
    <w:rsid w:val="00147489"/>
    <w:rsid w:val="00147B9B"/>
    <w:rsid w:val="00150D7C"/>
    <w:rsid w:val="001518F6"/>
    <w:rsid w:val="0015243A"/>
    <w:rsid w:val="0015377D"/>
    <w:rsid w:val="001543A8"/>
    <w:rsid w:val="00154593"/>
    <w:rsid w:val="00155088"/>
    <w:rsid w:val="00155AA7"/>
    <w:rsid w:val="00156A69"/>
    <w:rsid w:val="00156CF6"/>
    <w:rsid w:val="00157724"/>
    <w:rsid w:val="001578EE"/>
    <w:rsid w:val="0016041C"/>
    <w:rsid w:val="00160FA7"/>
    <w:rsid w:val="001610B4"/>
    <w:rsid w:val="001612C0"/>
    <w:rsid w:val="00162226"/>
    <w:rsid w:val="00162833"/>
    <w:rsid w:val="00162DD3"/>
    <w:rsid w:val="001635B3"/>
    <w:rsid w:val="001639AB"/>
    <w:rsid w:val="00163D2C"/>
    <w:rsid w:val="0016451F"/>
    <w:rsid w:val="00164969"/>
    <w:rsid w:val="00164FB5"/>
    <w:rsid w:val="00165432"/>
    <w:rsid w:val="00165CC2"/>
    <w:rsid w:val="00166089"/>
    <w:rsid w:val="001661CC"/>
    <w:rsid w:val="001662B2"/>
    <w:rsid w:val="00170025"/>
    <w:rsid w:val="001716DB"/>
    <w:rsid w:val="00171865"/>
    <w:rsid w:val="0017245A"/>
    <w:rsid w:val="00172506"/>
    <w:rsid w:val="0017396F"/>
    <w:rsid w:val="00174E49"/>
    <w:rsid w:val="00175648"/>
    <w:rsid w:val="0017566F"/>
    <w:rsid w:val="00177469"/>
    <w:rsid w:val="0017796B"/>
    <w:rsid w:val="00181415"/>
    <w:rsid w:val="00182355"/>
    <w:rsid w:val="00182D0F"/>
    <w:rsid w:val="00182E15"/>
    <w:rsid w:val="00182F58"/>
    <w:rsid w:val="001846F1"/>
    <w:rsid w:val="00185888"/>
    <w:rsid w:val="00186261"/>
    <w:rsid w:val="00186C22"/>
    <w:rsid w:val="00190C93"/>
    <w:rsid w:val="00191E87"/>
    <w:rsid w:val="00192D23"/>
    <w:rsid w:val="001937BA"/>
    <w:rsid w:val="00193B73"/>
    <w:rsid w:val="00195AC1"/>
    <w:rsid w:val="00195FD6"/>
    <w:rsid w:val="0019611D"/>
    <w:rsid w:val="001961AC"/>
    <w:rsid w:val="00196339"/>
    <w:rsid w:val="00196F9B"/>
    <w:rsid w:val="0019749E"/>
    <w:rsid w:val="001A0E6B"/>
    <w:rsid w:val="001A0E9D"/>
    <w:rsid w:val="001A1B5B"/>
    <w:rsid w:val="001A2DA0"/>
    <w:rsid w:val="001A32F5"/>
    <w:rsid w:val="001A3399"/>
    <w:rsid w:val="001A3B58"/>
    <w:rsid w:val="001A3EE5"/>
    <w:rsid w:val="001A475C"/>
    <w:rsid w:val="001A5405"/>
    <w:rsid w:val="001A6A47"/>
    <w:rsid w:val="001A7097"/>
    <w:rsid w:val="001B010F"/>
    <w:rsid w:val="001B094B"/>
    <w:rsid w:val="001B0CF9"/>
    <w:rsid w:val="001B109D"/>
    <w:rsid w:val="001B1157"/>
    <w:rsid w:val="001B162E"/>
    <w:rsid w:val="001B24DC"/>
    <w:rsid w:val="001B26E4"/>
    <w:rsid w:val="001B2DE7"/>
    <w:rsid w:val="001B452D"/>
    <w:rsid w:val="001B476F"/>
    <w:rsid w:val="001B4B36"/>
    <w:rsid w:val="001B4C49"/>
    <w:rsid w:val="001B4F69"/>
    <w:rsid w:val="001B5333"/>
    <w:rsid w:val="001B5627"/>
    <w:rsid w:val="001B7E3D"/>
    <w:rsid w:val="001C04FC"/>
    <w:rsid w:val="001C0E60"/>
    <w:rsid w:val="001C1052"/>
    <w:rsid w:val="001C29FF"/>
    <w:rsid w:val="001C2AD0"/>
    <w:rsid w:val="001C3A23"/>
    <w:rsid w:val="001C43AA"/>
    <w:rsid w:val="001C4BD5"/>
    <w:rsid w:val="001C5ECC"/>
    <w:rsid w:val="001C6357"/>
    <w:rsid w:val="001C70B6"/>
    <w:rsid w:val="001C7187"/>
    <w:rsid w:val="001C7F1E"/>
    <w:rsid w:val="001D1D7E"/>
    <w:rsid w:val="001D2076"/>
    <w:rsid w:val="001D3179"/>
    <w:rsid w:val="001D357A"/>
    <w:rsid w:val="001D385C"/>
    <w:rsid w:val="001D3938"/>
    <w:rsid w:val="001D3D6A"/>
    <w:rsid w:val="001D408F"/>
    <w:rsid w:val="001D48A8"/>
    <w:rsid w:val="001D5332"/>
    <w:rsid w:val="001D54F9"/>
    <w:rsid w:val="001D5DB0"/>
    <w:rsid w:val="001D5FC1"/>
    <w:rsid w:val="001D6DD8"/>
    <w:rsid w:val="001D740F"/>
    <w:rsid w:val="001D7A94"/>
    <w:rsid w:val="001E0BFC"/>
    <w:rsid w:val="001E155B"/>
    <w:rsid w:val="001E1E1C"/>
    <w:rsid w:val="001E3074"/>
    <w:rsid w:val="001E47E1"/>
    <w:rsid w:val="001E5B27"/>
    <w:rsid w:val="001E6440"/>
    <w:rsid w:val="001E7848"/>
    <w:rsid w:val="001F0875"/>
    <w:rsid w:val="001F1A60"/>
    <w:rsid w:val="001F1BDE"/>
    <w:rsid w:val="001F1CE6"/>
    <w:rsid w:val="001F229C"/>
    <w:rsid w:val="001F2C82"/>
    <w:rsid w:val="001F363A"/>
    <w:rsid w:val="001F38F9"/>
    <w:rsid w:val="001F39C6"/>
    <w:rsid w:val="001F3AD8"/>
    <w:rsid w:val="001F4BE3"/>
    <w:rsid w:val="001F4F7F"/>
    <w:rsid w:val="001F5AF1"/>
    <w:rsid w:val="001F5DC1"/>
    <w:rsid w:val="001F70D8"/>
    <w:rsid w:val="001F774E"/>
    <w:rsid w:val="00200E2B"/>
    <w:rsid w:val="002019C0"/>
    <w:rsid w:val="00204824"/>
    <w:rsid w:val="0020496E"/>
    <w:rsid w:val="002050C1"/>
    <w:rsid w:val="002056FD"/>
    <w:rsid w:val="00205DA5"/>
    <w:rsid w:val="002075D5"/>
    <w:rsid w:val="0021081D"/>
    <w:rsid w:val="00210E65"/>
    <w:rsid w:val="002115DC"/>
    <w:rsid w:val="00211892"/>
    <w:rsid w:val="002133BA"/>
    <w:rsid w:val="0021397B"/>
    <w:rsid w:val="00214752"/>
    <w:rsid w:val="00214988"/>
    <w:rsid w:val="00214D7F"/>
    <w:rsid w:val="00215A6C"/>
    <w:rsid w:val="0021652F"/>
    <w:rsid w:val="00216A23"/>
    <w:rsid w:val="00217B57"/>
    <w:rsid w:val="00221B4D"/>
    <w:rsid w:val="002226B2"/>
    <w:rsid w:val="0022331D"/>
    <w:rsid w:val="00224676"/>
    <w:rsid w:val="00224FFF"/>
    <w:rsid w:val="00225C9E"/>
    <w:rsid w:val="002268BE"/>
    <w:rsid w:val="00226FDF"/>
    <w:rsid w:val="00227E92"/>
    <w:rsid w:val="00230CA2"/>
    <w:rsid w:val="002316D6"/>
    <w:rsid w:val="002319F6"/>
    <w:rsid w:val="0023217B"/>
    <w:rsid w:val="00232E3C"/>
    <w:rsid w:val="002335CC"/>
    <w:rsid w:val="00233A57"/>
    <w:rsid w:val="00234A98"/>
    <w:rsid w:val="00235097"/>
    <w:rsid w:val="002357E7"/>
    <w:rsid w:val="00235CF7"/>
    <w:rsid w:val="00236A64"/>
    <w:rsid w:val="00236D39"/>
    <w:rsid w:val="0023721A"/>
    <w:rsid w:val="00240BDF"/>
    <w:rsid w:val="002412B2"/>
    <w:rsid w:val="00241FE0"/>
    <w:rsid w:val="00242A33"/>
    <w:rsid w:val="00243780"/>
    <w:rsid w:val="00243C59"/>
    <w:rsid w:val="0024524A"/>
    <w:rsid w:val="0024537C"/>
    <w:rsid w:val="00245F61"/>
    <w:rsid w:val="002460EF"/>
    <w:rsid w:val="0024673F"/>
    <w:rsid w:val="00246C16"/>
    <w:rsid w:val="002501DA"/>
    <w:rsid w:val="00250F13"/>
    <w:rsid w:val="00251087"/>
    <w:rsid w:val="00252079"/>
    <w:rsid w:val="0025217B"/>
    <w:rsid w:val="002528CB"/>
    <w:rsid w:val="002534B3"/>
    <w:rsid w:val="00254490"/>
    <w:rsid w:val="00254560"/>
    <w:rsid w:val="002561BA"/>
    <w:rsid w:val="002563CD"/>
    <w:rsid w:val="00256809"/>
    <w:rsid w:val="00256BF5"/>
    <w:rsid w:val="00256CFC"/>
    <w:rsid w:val="0025789D"/>
    <w:rsid w:val="002611CF"/>
    <w:rsid w:val="002616D2"/>
    <w:rsid w:val="00261E34"/>
    <w:rsid w:val="00261E80"/>
    <w:rsid w:val="002626F7"/>
    <w:rsid w:val="002635F5"/>
    <w:rsid w:val="002653B2"/>
    <w:rsid w:val="00265C21"/>
    <w:rsid w:val="00265D31"/>
    <w:rsid w:val="00265DF3"/>
    <w:rsid w:val="00266F2A"/>
    <w:rsid w:val="0026715B"/>
    <w:rsid w:val="00267657"/>
    <w:rsid w:val="00267FA8"/>
    <w:rsid w:val="0027063C"/>
    <w:rsid w:val="00270A6B"/>
    <w:rsid w:val="002717C4"/>
    <w:rsid w:val="0027183D"/>
    <w:rsid w:val="00271A27"/>
    <w:rsid w:val="00271E78"/>
    <w:rsid w:val="00272B04"/>
    <w:rsid w:val="0027428B"/>
    <w:rsid w:val="00275297"/>
    <w:rsid w:val="0027569E"/>
    <w:rsid w:val="00277399"/>
    <w:rsid w:val="002773E4"/>
    <w:rsid w:val="002775C7"/>
    <w:rsid w:val="00277EA0"/>
    <w:rsid w:val="00277FD4"/>
    <w:rsid w:val="0028109C"/>
    <w:rsid w:val="00284A27"/>
    <w:rsid w:val="002865ED"/>
    <w:rsid w:val="00286638"/>
    <w:rsid w:val="00287458"/>
    <w:rsid w:val="0028748E"/>
    <w:rsid w:val="00287A31"/>
    <w:rsid w:val="00287AC7"/>
    <w:rsid w:val="0029059F"/>
    <w:rsid w:val="00290801"/>
    <w:rsid w:val="002911EE"/>
    <w:rsid w:val="002914A4"/>
    <w:rsid w:val="0029184E"/>
    <w:rsid w:val="002929CA"/>
    <w:rsid w:val="0029392E"/>
    <w:rsid w:val="00294060"/>
    <w:rsid w:val="00294CAE"/>
    <w:rsid w:val="00295995"/>
    <w:rsid w:val="00295A86"/>
    <w:rsid w:val="002968C6"/>
    <w:rsid w:val="00297313"/>
    <w:rsid w:val="00297478"/>
    <w:rsid w:val="0029752A"/>
    <w:rsid w:val="00297DE4"/>
    <w:rsid w:val="002A0151"/>
    <w:rsid w:val="002A023C"/>
    <w:rsid w:val="002A0421"/>
    <w:rsid w:val="002A18E9"/>
    <w:rsid w:val="002A1F2E"/>
    <w:rsid w:val="002A2EED"/>
    <w:rsid w:val="002A3523"/>
    <w:rsid w:val="002A381E"/>
    <w:rsid w:val="002A403B"/>
    <w:rsid w:val="002A51E5"/>
    <w:rsid w:val="002A5E89"/>
    <w:rsid w:val="002A6CDD"/>
    <w:rsid w:val="002A72BD"/>
    <w:rsid w:val="002A75A2"/>
    <w:rsid w:val="002A7B68"/>
    <w:rsid w:val="002B052D"/>
    <w:rsid w:val="002B0DA6"/>
    <w:rsid w:val="002B16A4"/>
    <w:rsid w:val="002B17C3"/>
    <w:rsid w:val="002B1CE1"/>
    <w:rsid w:val="002B27B4"/>
    <w:rsid w:val="002B31B8"/>
    <w:rsid w:val="002B3A62"/>
    <w:rsid w:val="002B4178"/>
    <w:rsid w:val="002B4409"/>
    <w:rsid w:val="002B4C2B"/>
    <w:rsid w:val="002B55AC"/>
    <w:rsid w:val="002B5E0C"/>
    <w:rsid w:val="002B61F2"/>
    <w:rsid w:val="002B6268"/>
    <w:rsid w:val="002B7200"/>
    <w:rsid w:val="002B74D9"/>
    <w:rsid w:val="002B7904"/>
    <w:rsid w:val="002C05DB"/>
    <w:rsid w:val="002C0F5A"/>
    <w:rsid w:val="002C1C1E"/>
    <w:rsid w:val="002C4AA0"/>
    <w:rsid w:val="002C5A58"/>
    <w:rsid w:val="002C675C"/>
    <w:rsid w:val="002C6EB0"/>
    <w:rsid w:val="002D05FC"/>
    <w:rsid w:val="002D08F9"/>
    <w:rsid w:val="002D0F99"/>
    <w:rsid w:val="002D1D10"/>
    <w:rsid w:val="002D2199"/>
    <w:rsid w:val="002D28DE"/>
    <w:rsid w:val="002D326E"/>
    <w:rsid w:val="002D3331"/>
    <w:rsid w:val="002D704F"/>
    <w:rsid w:val="002D7464"/>
    <w:rsid w:val="002D75C2"/>
    <w:rsid w:val="002E0482"/>
    <w:rsid w:val="002E0D31"/>
    <w:rsid w:val="002E28F0"/>
    <w:rsid w:val="002E2F23"/>
    <w:rsid w:val="002E3191"/>
    <w:rsid w:val="002E3824"/>
    <w:rsid w:val="002E3AC4"/>
    <w:rsid w:val="002E4FFC"/>
    <w:rsid w:val="002E5452"/>
    <w:rsid w:val="002E550D"/>
    <w:rsid w:val="002E594C"/>
    <w:rsid w:val="002E6015"/>
    <w:rsid w:val="002E6338"/>
    <w:rsid w:val="002E7082"/>
    <w:rsid w:val="002E721B"/>
    <w:rsid w:val="002E7668"/>
    <w:rsid w:val="002E7F25"/>
    <w:rsid w:val="002F2531"/>
    <w:rsid w:val="002F2B6C"/>
    <w:rsid w:val="002F50E0"/>
    <w:rsid w:val="002F6CAF"/>
    <w:rsid w:val="002F6EB7"/>
    <w:rsid w:val="002F73CD"/>
    <w:rsid w:val="002F7541"/>
    <w:rsid w:val="003001E9"/>
    <w:rsid w:val="00301BD0"/>
    <w:rsid w:val="00301F7F"/>
    <w:rsid w:val="00301FA3"/>
    <w:rsid w:val="00302451"/>
    <w:rsid w:val="003025AA"/>
    <w:rsid w:val="00304452"/>
    <w:rsid w:val="00304E32"/>
    <w:rsid w:val="00305ACB"/>
    <w:rsid w:val="00306000"/>
    <w:rsid w:val="00306507"/>
    <w:rsid w:val="003065B8"/>
    <w:rsid w:val="00306BFC"/>
    <w:rsid w:val="00307FF9"/>
    <w:rsid w:val="0031088F"/>
    <w:rsid w:val="00311615"/>
    <w:rsid w:val="0031187B"/>
    <w:rsid w:val="00311C9F"/>
    <w:rsid w:val="00312EA6"/>
    <w:rsid w:val="00313BC4"/>
    <w:rsid w:val="003161DE"/>
    <w:rsid w:val="00316634"/>
    <w:rsid w:val="003171E6"/>
    <w:rsid w:val="00317504"/>
    <w:rsid w:val="00317A99"/>
    <w:rsid w:val="0032059E"/>
    <w:rsid w:val="003214C8"/>
    <w:rsid w:val="003215C5"/>
    <w:rsid w:val="0032236C"/>
    <w:rsid w:val="00322A58"/>
    <w:rsid w:val="00322DED"/>
    <w:rsid w:val="003238D2"/>
    <w:rsid w:val="003241B0"/>
    <w:rsid w:val="0032712C"/>
    <w:rsid w:val="00327431"/>
    <w:rsid w:val="0032772C"/>
    <w:rsid w:val="00330287"/>
    <w:rsid w:val="0033141D"/>
    <w:rsid w:val="00335384"/>
    <w:rsid w:val="0033538F"/>
    <w:rsid w:val="00335680"/>
    <w:rsid w:val="003356BF"/>
    <w:rsid w:val="0033571D"/>
    <w:rsid w:val="00335853"/>
    <w:rsid w:val="00336401"/>
    <w:rsid w:val="00336C34"/>
    <w:rsid w:val="00337354"/>
    <w:rsid w:val="0033786C"/>
    <w:rsid w:val="00337B11"/>
    <w:rsid w:val="00337C52"/>
    <w:rsid w:val="00340C3B"/>
    <w:rsid w:val="003414CE"/>
    <w:rsid w:val="00341A67"/>
    <w:rsid w:val="00342093"/>
    <w:rsid w:val="003420AC"/>
    <w:rsid w:val="0034244E"/>
    <w:rsid w:val="00343E83"/>
    <w:rsid w:val="003448A6"/>
    <w:rsid w:val="00346916"/>
    <w:rsid w:val="00346DE1"/>
    <w:rsid w:val="00350007"/>
    <w:rsid w:val="003507FE"/>
    <w:rsid w:val="0035180B"/>
    <w:rsid w:val="0035246F"/>
    <w:rsid w:val="00352DF2"/>
    <w:rsid w:val="003531B2"/>
    <w:rsid w:val="00353B71"/>
    <w:rsid w:val="00354B56"/>
    <w:rsid w:val="00354D65"/>
    <w:rsid w:val="00354F2A"/>
    <w:rsid w:val="003550BA"/>
    <w:rsid w:val="0035525B"/>
    <w:rsid w:val="00355294"/>
    <w:rsid w:val="003578C7"/>
    <w:rsid w:val="00360546"/>
    <w:rsid w:val="00361973"/>
    <w:rsid w:val="00361F8E"/>
    <w:rsid w:val="00363A28"/>
    <w:rsid w:val="00363C8D"/>
    <w:rsid w:val="003641EF"/>
    <w:rsid w:val="00364AEE"/>
    <w:rsid w:val="00365770"/>
    <w:rsid w:val="003665B7"/>
    <w:rsid w:val="00367829"/>
    <w:rsid w:val="003719B1"/>
    <w:rsid w:val="00371A1A"/>
    <w:rsid w:val="00371F11"/>
    <w:rsid w:val="00372C81"/>
    <w:rsid w:val="00372F16"/>
    <w:rsid w:val="00373239"/>
    <w:rsid w:val="00373581"/>
    <w:rsid w:val="00374260"/>
    <w:rsid w:val="00374718"/>
    <w:rsid w:val="00375132"/>
    <w:rsid w:val="003751EF"/>
    <w:rsid w:val="003751F8"/>
    <w:rsid w:val="00376103"/>
    <w:rsid w:val="003768B7"/>
    <w:rsid w:val="00376F0C"/>
    <w:rsid w:val="003773DA"/>
    <w:rsid w:val="00377AB4"/>
    <w:rsid w:val="00380186"/>
    <w:rsid w:val="0038137A"/>
    <w:rsid w:val="003821E8"/>
    <w:rsid w:val="00382399"/>
    <w:rsid w:val="0038242A"/>
    <w:rsid w:val="00382951"/>
    <w:rsid w:val="003831E2"/>
    <w:rsid w:val="0038463A"/>
    <w:rsid w:val="003848FF"/>
    <w:rsid w:val="00385ACB"/>
    <w:rsid w:val="00386823"/>
    <w:rsid w:val="00387211"/>
    <w:rsid w:val="003874AF"/>
    <w:rsid w:val="003878C8"/>
    <w:rsid w:val="00387C66"/>
    <w:rsid w:val="00390F63"/>
    <w:rsid w:val="00391369"/>
    <w:rsid w:val="00391A0D"/>
    <w:rsid w:val="00391C33"/>
    <w:rsid w:val="00392236"/>
    <w:rsid w:val="00392B22"/>
    <w:rsid w:val="00393530"/>
    <w:rsid w:val="00393F7F"/>
    <w:rsid w:val="00394167"/>
    <w:rsid w:val="0039517E"/>
    <w:rsid w:val="00395CF2"/>
    <w:rsid w:val="00396F55"/>
    <w:rsid w:val="003974EB"/>
    <w:rsid w:val="00397850"/>
    <w:rsid w:val="00397999"/>
    <w:rsid w:val="00397A14"/>
    <w:rsid w:val="003A08CA"/>
    <w:rsid w:val="003A0FE1"/>
    <w:rsid w:val="003A1583"/>
    <w:rsid w:val="003A34CC"/>
    <w:rsid w:val="003A3B0A"/>
    <w:rsid w:val="003A3C7E"/>
    <w:rsid w:val="003A539E"/>
    <w:rsid w:val="003A74B0"/>
    <w:rsid w:val="003A7772"/>
    <w:rsid w:val="003A7B9B"/>
    <w:rsid w:val="003B064D"/>
    <w:rsid w:val="003B0B41"/>
    <w:rsid w:val="003B11E9"/>
    <w:rsid w:val="003B1204"/>
    <w:rsid w:val="003B123E"/>
    <w:rsid w:val="003B173D"/>
    <w:rsid w:val="003B1D1A"/>
    <w:rsid w:val="003B25B8"/>
    <w:rsid w:val="003B2CC1"/>
    <w:rsid w:val="003B2E0E"/>
    <w:rsid w:val="003B2ED2"/>
    <w:rsid w:val="003B2F84"/>
    <w:rsid w:val="003B3D55"/>
    <w:rsid w:val="003B3DC3"/>
    <w:rsid w:val="003B421B"/>
    <w:rsid w:val="003B5CF0"/>
    <w:rsid w:val="003B622D"/>
    <w:rsid w:val="003B67F5"/>
    <w:rsid w:val="003B730C"/>
    <w:rsid w:val="003C1058"/>
    <w:rsid w:val="003C1D20"/>
    <w:rsid w:val="003C1F9C"/>
    <w:rsid w:val="003C232A"/>
    <w:rsid w:val="003C263C"/>
    <w:rsid w:val="003C2A52"/>
    <w:rsid w:val="003C358D"/>
    <w:rsid w:val="003C3C20"/>
    <w:rsid w:val="003C4497"/>
    <w:rsid w:val="003C4519"/>
    <w:rsid w:val="003C4C55"/>
    <w:rsid w:val="003C5205"/>
    <w:rsid w:val="003C54B8"/>
    <w:rsid w:val="003C567A"/>
    <w:rsid w:val="003C7238"/>
    <w:rsid w:val="003C7A08"/>
    <w:rsid w:val="003D0CCE"/>
    <w:rsid w:val="003D14E2"/>
    <w:rsid w:val="003D2E0A"/>
    <w:rsid w:val="003D427A"/>
    <w:rsid w:val="003D4532"/>
    <w:rsid w:val="003D48FC"/>
    <w:rsid w:val="003D4DC5"/>
    <w:rsid w:val="003D50DB"/>
    <w:rsid w:val="003D522E"/>
    <w:rsid w:val="003D5A0B"/>
    <w:rsid w:val="003D68E9"/>
    <w:rsid w:val="003D6C25"/>
    <w:rsid w:val="003D6D27"/>
    <w:rsid w:val="003D6E67"/>
    <w:rsid w:val="003D7235"/>
    <w:rsid w:val="003D7612"/>
    <w:rsid w:val="003E142E"/>
    <w:rsid w:val="003E1674"/>
    <w:rsid w:val="003E1E15"/>
    <w:rsid w:val="003E1EDA"/>
    <w:rsid w:val="003E2995"/>
    <w:rsid w:val="003E301C"/>
    <w:rsid w:val="003E307C"/>
    <w:rsid w:val="003E32C8"/>
    <w:rsid w:val="003E3AAC"/>
    <w:rsid w:val="003E3F4B"/>
    <w:rsid w:val="003E5CAE"/>
    <w:rsid w:val="003E686C"/>
    <w:rsid w:val="003E697B"/>
    <w:rsid w:val="003E6985"/>
    <w:rsid w:val="003E6FC6"/>
    <w:rsid w:val="003E7561"/>
    <w:rsid w:val="003E7C68"/>
    <w:rsid w:val="003F0112"/>
    <w:rsid w:val="003F1689"/>
    <w:rsid w:val="003F1CB0"/>
    <w:rsid w:val="003F22E9"/>
    <w:rsid w:val="003F2825"/>
    <w:rsid w:val="003F385C"/>
    <w:rsid w:val="003F388C"/>
    <w:rsid w:val="003F4956"/>
    <w:rsid w:val="003F5955"/>
    <w:rsid w:val="003F6A6C"/>
    <w:rsid w:val="003F72E8"/>
    <w:rsid w:val="003F7964"/>
    <w:rsid w:val="003F7997"/>
    <w:rsid w:val="003F7FCA"/>
    <w:rsid w:val="004026B2"/>
    <w:rsid w:val="004030E8"/>
    <w:rsid w:val="00404AEE"/>
    <w:rsid w:val="00406E84"/>
    <w:rsid w:val="004075AD"/>
    <w:rsid w:val="0041317C"/>
    <w:rsid w:val="004138F4"/>
    <w:rsid w:val="00413A63"/>
    <w:rsid w:val="0041411C"/>
    <w:rsid w:val="004141CC"/>
    <w:rsid w:val="0041483C"/>
    <w:rsid w:val="00414C89"/>
    <w:rsid w:val="00414D52"/>
    <w:rsid w:val="00415DE2"/>
    <w:rsid w:val="00417FC7"/>
    <w:rsid w:val="00420891"/>
    <w:rsid w:val="00421AC2"/>
    <w:rsid w:val="004220C1"/>
    <w:rsid w:val="00422308"/>
    <w:rsid w:val="004234B0"/>
    <w:rsid w:val="00423D46"/>
    <w:rsid w:val="00423FAA"/>
    <w:rsid w:val="004246ED"/>
    <w:rsid w:val="004248E4"/>
    <w:rsid w:val="00424CAA"/>
    <w:rsid w:val="00425116"/>
    <w:rsid w:val="0042620E"/>
    <w:rsid w:val="00427A82"/>
    <w:rsid w:val="00431037"/>
    <w:rsid w:val="004315D7"/>
    <w:rsid w:val="0043217F"/>
    <w:rsid w:val="00432207"/>
    <w:rsid w:val="00432DDD"/>
    <w:rsid w:val="00432F62"/>
    <w:rsid w:val="00433748"/>
    <w:rsid w:val="004350BB"/>
    <w:rsid w:val="00435A67"/>
    <w:rsid w:val="00436065"/>
    <w:rsid w:val="00436449"/>
    <w:rsid w:val="00436564"/>
    <w:rsid w:val="00440281"/>
    <w:rsid w:val="004402EE"/>
    <w:rsid w:val="00440304"/>
    <w:rsid w:val="00440E37"/>
    <w:rsid w:val="00441CA5"/>
    <w:rsid w:val="00441E49"/>
    <w:rsid w:val="0044474C"/>
    <w:rsid w:val="00445C38"/>
    <w:rsid w:val="004463E4"/>
    <w:rsid w:val="00446C71"/>
    <w:rsid w:val="00446EB6"/>
    <w:rsid w:val="004478C5"/>
    <w:rsid w:val="00447D09"/>
    <w:rsid w:val="00450B44"/>
    <w:rsid w:val="004519CA"/>
    <w:rsid w:val="00451A98"/>
    <w:rsid w:val="004524AE"/>
    <w:rsid w:val="00452674"/>
    <w:rsid w:val="004526C7"/>
    <w:rsid w:val="004537C1"/>
    <w:rsid w:val="004537D3"/>
    <w:rsid w:val="0045451A"/>
    <w:rsid w:val="00456B9E"/>
    <w:rsid w:val="00460E71"/>
    <w:rsid w:val="00461168"/>
    <w:rsid w:val="004614C8"/>
    <w:rsid w:val="00462559"/>
    <w:rsid w:val="00463340"/>
    <w:rsid w:val="004637D3"/>
    <w:rsid w:val="00464CE7"/>
    <w:rsid w:val="00464D78"/>
    <w:rsid w:val="004673DB"/>
    <w:rsid w:val="00467BA1"/>
    <w:rsid w:val="004700B4"/>
    <w:rsid w:val="004706C2"/>
    <w:rsid w:val="00470719"/>
    <w:rsid w:val="00472712"/>
    <w:rsid w:val="0047462B"/>
    <w:rsid w:val="00474949"/>
    <w:rsid w:val="00474EA0"/>
    <w:rsid w:val="00475491"/>
    <w:rsid w:val="00475BFB"/>
    <w:rsid w:val="00477A06"/>
    <w:rsid w:val="0048243D"/>
    <w:rsid w:val="004824A9"/>
    <w:rsid w:val="00482F50"/>
    <w:rsid w:val="00483C8E"/>
    <w:rsid w:val="00484AFF"/>
    <w:rsid w:val="00484E3B"/>
    <w:rsid w:val="00484F2A"/>
    <w:rsid w:val="00485109"/>
    <w:rsid w:val="0048787C"/>
    <w:rsid w:val="00487DE9"/>
    <w:rsid w:val="004900D3"/>
    <w:rsid w:val="004902BA"/>
    <w:rsid w:val="00490728"/>
    <w:rsid w:val="004913C0"/>
    <w:rsid w:val="00491AD5"/>
    <w:rsid w:val="00491BAA"/>
    <w:rsid w:val="00492695"/>
    <w:rsid w:val="004943BC"/>
    <w:rsid w:val="00495633"/>
    <w:rsid w:val="00496018"/>
    <w:rsid w:val="00496573"/>
    <w:rsid w:val="00496A5D"/>
    <w:rsid w:val="00496D44"/>
    <w:rsid w:val="00496FDE"/>
    <w:rsid w:val="00497FAC"/>
    <w:rsid w:val="004A036F"/>
    <w:rsid w:val="004A0585"/>
    <w:rsid w:val="004A1097"/>
    <w:rsid w:val="004A1BB2"/>
    <w:rsid w:val="004A1FF6"/>
    <w:rsid w:val="004A20C8"/>
    <w:rsid w:val="004A2514"/>
    <w:rsid w:val="004A589A"/>
    <w:rsid w:val="004A5AA5"/>
    <w:rsid w:val="004A68D2"/>
    <w:rsid w:val="004A7CE2"/>
    <w:rsid w:val="004A7FDF"/>
    <w:rsid w:val="004B0347"/>
    <w:rsid w:val="004B06AA"/>
    <w:rsid w:val="004B18D6"/>
    <w:rsid w:val="004B21DD"/>
    <w:rsid w:val="004B2289"/>
    <w:rsid w:val="004B54DA"/>
    <w:rsid w:val="004B61B7"/>
    <w:rsid w:val="004B6AC2"/>
    <w:rsid w:val="004B6E1D"/>
    <w:rsid w:val="004B6E28"/>
    <w:rsid w:val="004C03C5"/>
    <w:rsid w:val="004C0F1F"/>
    <w:rsid w:val="004C0FC0"/>
    <w:rsid w:val="004C13DD"/>
    <w:rsid w:val="004C20FC"/>
    <w:rsid w:val="004C48D6"/>
    <w:rsid w:val="004C5D75"/>
    <w:rsid w:val="004C6325"/>
    <w:rsid w:val="004C6C47"/>
    <w:rsid w:val="004C7ACB"/>
    <w:rsid w:val="004C7BFC"/>
    <w:rsid w:val="004D1346"/>
    <w:rsid w:val="004D19D7"/>
    <w:rsid w:val="004D22BF"/>
    <w:rsid w:val="004D28DD"/>
    <w:rsid w:val="004D42D3"/>
    <w:rsid w:val="004D46F2"/>
    <w:rsid w:val="004D4A24"/>
    <w:rsid w:val="004D5CCD"/>
    <w:rsid w:val="004D674A"/>
    <w:rsid w:val="004D6930"/>
    <w:rsid w:val="004D6A68"/>
    <w:rsid w:val="004D6DEE"/>
    <w:rsid w:val="004D6FCC"/>
    <w:rsid w:val="004D721F"/>
    <w:rsid w:val="004E066C"/>
    <w:rsid w:val="004E0B81"/>
    <w:rsid w:val="004E0E64"/>
    <w:rsid w:val="004E119C"/>
    <w:rsid w:val="004E15B8"/>
    <w:rsid w:val="004E17D8"/>
    <w:rsid w:val="004E2798"/>
    <w:rsid w:val="004E2890"/>
    <w:rsid w:val="004E344D"/>
    <w:rsid w:val="004E40D9"/>
    <w:rsid w:val="004E4489"/>
    <w:rsid w:val="004E488D"/>
    <w:rsid w:val="004E4C5F"/>
    <w:rsid w:val="004E6195"/>
    <w:rsid w:val="004E7736"/>
    <w:rsid w:val="004F0358"/>
    <w:rsid w:val="004F05B9"/>
    <w:rsid w:val="004F258F"/>
    <w:rsid w:val="004F2FC5"/>
    <w:rsid w:val="004F3149"/>
    <w:rsid w:val="004F31F1"/>
    <w:rsid w:val="004F3736"/>
    <w:rsid w:val="004F3C3B"/>
    <w:rsid w:val="004F3C3E"/>
    <w:rsid w:val="004F50A0"/>
    <w:rsid w:val="004F5368"/>
    <w:rsid w:val="004F5B8D"/>
    <w:rsid w:val="004F611C"/>
    <w:rsid w:val="004F6CCA"/>
    <w:rsid w:val="004F7348"/>
    <w:rsid w:val="0050038F"/>
    <w:rsid w:val="005003A8"/>
    <w:rsid w:val="005019E6"/>
    <w:rsid w:val="00501A4C"/>
    <w:rsid w:val="00501E3B"/>
    <w:rsid w:val="00502304"/>
    <w:rsid w:val="005023C3"/>
    <w:rsid w:val="005032BF"/>
    <w:rsid w:val="00504EE2"/>
    <w:rsid w:val="00506D1F"/>
    <w:rsid w:val="00506EF0"/>
    <w:rsid w:val="00507016"/>
    <w:rsid w:val="0051028F"/>
    <w:rsid w:val="00510912"/>
    <w:rsid w:val="00510F37"/>
    <w:rsid w:val="0051168E"/>
    <w:rsid w:val="00511CC8"/>
    <w:rsid w:val="00512593"/>
    <w:rsid w:val="00512B75"/>
    <w:rsid w:val="0051368B"/>
    <w:rsid w:val="0051530A"/>
    <w:rsid w:val="005156A7"/>
    <w:rsid w:val="005159CB"/>
    <w:rsid w:val="00517628"/>
    <w:rsid w:val="0052008D"/>
    <w:rsid w:val="00520924"/>
    <w:rsid w:val="00521374"/>
    <w:rsid w:val="00521FC6"/>
    <w:rsid w:val="0052399E"/>
    <w:rsid w:val="00524788"/>
    <w:rsid w:val="005250CA"/>
    <w:rsid w:val="00525344"/>
    <w:rsid w:val="00525746"/>
    <w:rsid w:val="00525E3D"/>
    <w:rsid w:val="00526473"/>
    <w:rsid w:val="005308C8"/>
    <w:rsid w:val="00530B05"/>
    <w:rsid w:val="0053129C"/>
    <w:rsid w:val="0053184B"/>
    <w:rsid w:val="0053197E"/>
    <w:rsid w:val="005319EF"/>
    <w:rsid w:val="0053231B"/>
    <w:rsid w:val="005328EC"/>
    <w:rsid w:val="00532B7F"/>
    <w:rsid w:val="00532D6D"/>
    <w:rsid w:val="0053307F"/>
    <w:rsid w:val="0053317D"/>
    <w:rsid w:val="00533529"/>
    <w:rsid w:val="00534044"/>
    <w:rsid w:val="0053668B"/>
    <w:rsid w:val="00536844"/>
    <w:rsid w:val="00536C2B"/>
    <w:rsid w:val="00536EDC"/>
    <w:rsid w:val="005374BD"/>
    <w:rsid w:val="005375FE"/>
    <w:rsid w:val="005426B0"/>
    <w:rsid w:val="005436FF"/>
    <w:rsid w:val="00543A53"/>
    <w:rsid w:val="00543B4C"/>
    <w:rsid w:val="00545094"/>
    <w:rsid w:val="005464D4"/>
    <w:rsid w:val="00547918"/>
    <w:rsid w:val="00550659"/>
    <w:rsid w:val="00550882"/>
    <w:rsid w:val="00551748"/>
    <w:rsid w:val="00552958"/>
    <w:rsid w:val="00552C4A"/>
    <w:rsid w:val="00554D2A"/>
    <w:rsid w:val="0055655F"/>
    <w:rsid w:val="00556EA1"/>
    <w:rsid w:val="00557C18"/>
    <w:rsid w:val="00560E2B"/>
    <w:rsid w:val="005617ED"/>
    <w:rsid w:val="00562356"/>
    <w:rsid w:val="00562E31"/>
    <w:rsid w:val="00563CDB"/>
    <w:rsid w:val="00563E0C"/>
    <w:rsid w:val="00563FFE"/>
    <w:rsid w:val="00564F59"/>
    <w:rsid w:val="005663D7"/>
    <w:rsid w:val="005706BC"/>
    <w:rsid w:val="00572037"/>
    <w:rsid w:val="005747AD"/>
    <w:rsid w:val="00574BF4"/>
    <w:rsid w:val="00575A26"/>
    <w:rsid w:val="00576C18"/>
    <w:rsid w:val="005775E1"/>
    <w:rsid w:val="00577B77"/>
    <w:rsid w:val="00580854"/>
    <w:rsid w:val="00580861"/>
    <w:rsid w:val="005818C0"/>
    <w:rsid w:val="00581BFD"/>
    <w:rsid w:val="00582C4A"/>
    <w:rsid w:val="005832FB"/>
    <w:rsid w:val="005834AC"/>
    <w:rsid w:val="00584042"/>
    <w:rsid w:val="00584590"/>
    <w:rsid w:val="00584AA7"/>
    <w:rsid w:val="00585459"/>
    <w:rsid w:val="00585839"/>
    <w:rsid w:val="00586389"/>
    <w:rsid w:val="00586390"/>
    <w:rsid w:val="00586477"/>
    <w:rsid w:val="005876B2"/>
    <w:rsid w:val="0059021A"/>
    <w:rsid w:val="00590907"/>
    <w:rsid w:val="00590D70"/>
    <w:rsid w:val="00591C86"/>
    <w:rsid w:val="005923EA"/>
    <w:rsid w:val="00592468"/>
    <w:rsid w:val="005935F1"/>
    <w:rsid w:val="00593CB3"/>
    <w:rsid w:val="005947BF"/>
    <w:rsid w:val="005953BC"/>
    <w:rsid w:val="00595E94"/>
    <w:rsid w:val="0059704E"/>
    <w:rsid w:val="005970CD"/>
    <w:rsid w:val="00597217"/>
    <w:rsid w:val="005973BC"/>
    <w:rsid w:val="00597F23"/>
    <w:rsid w:val="005A026C"/>
    <w:rsid w:val="005A076C"/>
    <w:rsid w:val="005A079A"/>
    <w:rsid w:val="005A1434"/>
    <w:rsid w:val="005A17C4"/>
    <w:rsid w:val="005A211C"/>
    <w:rsid w:val="005A2EA1"/>
    <w:rsid w:val="005A423F"/>
    <w:rsid w:val="005A4A3F"/>
    <w:rsid w:val="005A50E7"/>
    <w:rsid w:val="005A5590"/>
    <w:rsid w:val="005A57F0"/>
    <w:rsid w:val="005A587E"/>
    <w:rsid w:val="005A7548"/>
    <w:rsid w:val="005A781A"/>
    <w:rsid w:val="005A7B9D"/>
    <w:rsid w:val="005B19F0"/>
    <w:rsid w:val="005B1A74"/>
    <w:rsid w:val="005B22D1"/>
    <w:rsid w:val="005B2577"/>
    <w:rsid w:val="005B2669"/>
    <w:rsid w:val="005B3D62"/>
    <w:rsid w:val="005B449D"/>
    <w:rsid w:val="005B64C7"/>
    <w:rsid w:val="005B65C8"/>
    <w:rsid w:val="005B6860"/>
    <w:rsid w:val="005B6D6A"/>
    <w:rsid w:val="005B78E1"/>
    <w:rsid w:val="005B7DD3"/>
    <w:rsid w:val="005C054E"/>
    <w:rsid w:val="005C1825"/>
    <w:rsid w:val="005C2036"/>
    <w:rsid w:val="005C2CE1"/>
    <w:rsid w:val="005C2D97"/>
    <w:rsid w:val="005C3545"/>
    <w:rsid w:val="005C4894"/>
    <w:rsid w:val="005C4990"/>
    <w:rsid w:val="005C54ED"/>
    <w:rsid w:val="005C659B"/>
    <w:rsid w:val="005C6633"/>
    <w:rsid w:val="005C68A7"/>
    <w:rsid w:val="005C6F70"/>
    <w:rsid w:val="005C7934"/>
    <w:rsid w:val="005D0742"/>
    <w:rsid w:val="005D1308"/>
    <w:rsid w:val="005D1450"/>
    <w:rsid w:val="005D24A5"/>
    <w:rsid w:val="005D2517"/>
    <w:rsid w:val="005D2972"/>
    <w:rsid w:val="005D35C9"/>
    <w:rsid w:val="005D3B27"/>
    <w:rsid w:val="005D3CA9"/>
    <w:rsid w:val="005D3D28"/>
    <w:rsid w:val="005D48E0"/>
    <w:rsid w:val="005D5BD9"/>
    <w:rsid w:val="005D5E7A"/>
    <w:rsid w:val="005D5F99"/>
    <w:rsid w:val="005D615C"/>
    <w:rsid w:val="005D617B"/>
    <w:rsid w:val="005D6A79"/>
    <w:rsid w:val="005D749F"/>
    <w:rsid w:val="005D75E0"/>
    <w:rsid w:val="005E03AC"/>
    <w:rsid w:val="005E074C"/>
    <w:rsid w:val="005E0BB5"/>
    <w:rsid w:val="005E234B"/>
    <w:rsid w:val="005E2A2D"/>
    <w:rsid w:val="005E42D0"/>
    <w:rsid w:val="005E4302"/>
    <w:rsid w:val="005E4CFD"/>
    <w:rsid w:val="005E5A74"/>
    <w:rsid w:val="005E764E"/>
    <w:rsid w:val="005F0890"/>
    <w:rsid w:val="005F0A4F"/>
    <w:rsid w:val="005F0BED"/>
    <w:rsid w:val="005F1AEC"/>
    <w:rsid w:val="005F1D1C"/>
    <w:rsid w:val="005F247A"/>
    <w:rsid w:val="005F2B46"/>
    <w:rsid w:val="005F3D00"/>
    <w:rsid w:val="005F4AB8"/>
    <w:rsid w:val="005F567D"/>
    <w:rsid w:val="005F56CA"/>
    <w:rsid w:val="005F589B"/>
    <w:rsid w:val="005F59B4"/>
    <w:rsid w:val="005F6001"/>
    <w:rsid w:val="005F6AD3"/>
    <w:rsid w:val="005F6E88"/>
    <w:rsid w:val="005F748B"/>
    <w:rsid w:val="005F75F3"/>
    <w:rsid w:val="005F776A"/>
    <w:rsid w:val="005F7C54"/>
    <w:rsid w:val="0060066D"/>
    <w:rsid w:val="006021BD"/>
    <w:rsid w:val="00602973"/>
    <w:rsid w:val="0060424A"/>
    <w:rsid w:val="0060512B"/>
    <w:rsid w:val="00605DBF"/>
    <w:rsid w:val="006062B5"/>
    <w:rsid w:val="006066B2"/>
    <w:rsid w:val="00606B83"/>
    <w:rsid w:val="00607610"/>
    <w:rsid w:val="00607D49"/>
    <w:rsid w:val="006104D4"/>
    <w:rsid w:val="0061091C"/>
    <w:rsid w:val="006117D5"/>
    <w:rsid w:val="00611A92"/>
    <w:rsid w:val="00612C0A"/>
    <w:rsid w:val="00613358"/>
    <w:rsid w:val="006135AB"/>
    <w:rsid w:val="0061380F"/>
    <w:rsid w:val="00613F15"/>
    <w:rsid w:val="006140D1"/>
    <w:rsid w:val="0061479E"/>
    <w:rsid w:val="00615007"/>
    <w:rsid w:val="00615143"/>
    <w:rsid w:val="0061527F"/>
    <w:rsid w:val="00615337"/>
    <w:rsid w:val="00615FC9"/>
    <w:rsid w:val="00617083"/>
    <w:rsid w:val="006179CA"/>
    <w:rsid w:val="00621DBA"/>
    <w:rsid w:val="00622CC9"/>
    <w:rsid w:val="00623C8A"/>
    <w:rsid w:val="00626FF6"/>
    <w:rsid w:val="00630404"/>
    <w:rsid w:val="0063108D"/>
    <w:rsid w:val="00631270"/>
    <w:rsid w:val="00631491"/>
    <w:rsid w:val="00631579"/>
    <w:rsid w:val="00631F5B"/>
    <w:rsid w:val="006320E1"/>
    <w:rsid w:val="00632EF8"/>
    <w:rsid w:val="00634842"/>
    <w:rsid w:val="006350B2"/>
    <w:rsid w:val="006360ED"/>
    <w:rsid w:val="006364AA"/>
    <w:rsid w:val="00637919"/>
    <w:rsid w:val="00641146"/>
    <w:rsid w:val="006413AC"/>
    <w:rsid w:val="0064256B"/>
    <w:rsid w:val="006426CD"/>
    <w:rsid w:val="00642936"/>
    <w:rsid w:val="00642C9B"/>
    <w:rsid w:val="0064389D"/>
    <w:rsid w:val="006440D3"/>
    <w:rsid w:val="00644DBC"/>
    <w:rsid w:val="00645AE8"/>
    <w:rsid w:val="00646734"/>
    <w:rsid w:val="0064684A"/>
    <w:rsid w:val="006468CD"/>
    <w:rsid w:val="00646B3C"/>
    <w:rsid w:val="00647512"/>
    <w:rsid w:val="00650F86"/>
    <w:rsid w:val="0065180E"/>
    <w:rsid w:val="00653459"/>
    <w:rsid w:val="00654B8B"/>
    <w:rsid w:val="00654D36"/>
    <w:rsid w:val="006559EB"/>
    <w:rsid w:val="00655C63"/>
    <w:rsid w:val="00655DFA"/>
    <w:rsid w:val="00656A7A"/>
    <w:rsid w:val="00657C3D"/>
    <w:rsid w:val="006610A6"/>
    <w:rsid w:val="00661418"/>
    <w:rsid w:val="00661B7A"/>
    <w:rsid w:val="00661DC2"/>
    <w:rsid w:val="006628C2"/>
    <w:rsid w:val="00662B70"/>
    <w:rsid w:val="006639B4"/>
    <w:rsid w:val="00664137"/>
    <w:rsid w:val="00664440"/>
    <w:rsid w:val="006644E6"/>
    <w:rsid w:val="00664C17"/>
    <w:rsid w:val="00664FC7"/>
    <w:rsid w:val="00666108"/>
    <w:rsid w:val="006662D8"/>
    <w:rsid w:val="0066630A"/>
    <w:rsid w:val="00666B43"/>
    <w:rsid w:val="00666CAB"/>
    <w:rsid w:val="00666F0E"/>
    <w:rsid w:val="006673E5"/>
    <w:rsid w:val="00667920"/>
    <w:rsid w:val="00667DAE"/>
    <w:rsid w:val="006701A7"/>
    <w:rsid w:val="00670255"/>
    <w:rsid w:val="006703BA"/>
    <w:rsid w:val="00670ADE"/>
    <w:rsid w:val="00670B6D"/>
    <w:rsid w:val="00671765"/>
    <w:rsid w:val="00671FDC"/>
    <w:rsid w:val="006724DF"/>
    <w:rsid w:val="0067322D"/>
    <w:rsid w:val="00673B15"/>
    <w:rsid w:val="00673CEC"/>
    <w:rsid w:val="00674BFF"/>
    <w:rsid w:val="00674FC7"/>
    <w:rsid w:val="0067554F"/>
    <w:rsid w:val="00676970"/>
    <w:rsid w:val="00677306"/>
    <w:rsid w:val="00677784"/>
    <w:rsid w:val="00677C72"/>
    <w:rsid w:val="00677D3B"/>
    <w:rsid w:val="006806E0"/>
    <w:rsid w:val="00680941"/>
    <w:rsid w:val="00681FA5"/>
    <w:rsid w:val="00682789"/>
    <w:rsid w:val="00682A07"/>
    <w:rsid w:val="006850DA"/>
    <w:rsid w:val="0068519B"/>
    <w:rsid w:val="00686320"/>
    <w:rsid w:val="00687C70"/>
    <w:rsid w:val="006908FA"/>
    <w:rsid w:val="00690B21"/>
    <w:rsid w:val="00691A54"/>
    <w:rsid w:val="00691E91"/>
    <w:rsid w:val="00691F27"/>
    <w:rsid w:val="00692B2A"/>
    <w:rsid w:val="00692E8C"/>
    <w:rsid w:val="0069317A"/>
    <w:rsid w:val="00693E48"/>
    <w:rsid w:val="0069664F"/>
    <w:rsid w:val="00697024"/>
    <w:rsid w:val="00697650"/>
    <w:rsid w:val="00697F9E"/>
    <w:rsid w:val="006A14AB"/>
    <w:rsid w:val="006A18A6"/>
    <w:rsid w:val="006A18DD"/>
    <w:rsid w:val="006A2425"/>
    <w:rsid w:val="006A2ACD"/>
    <w:rsid w:val="006A2DFB"/>
    <w:rsid w:val="006A4D92"/>
    <w:rsid w:val="006A4E93"/>
    <w:rsid w:val="006A6575"/>
    <w:rsid w:val="006A6BEE"/>
    <w:rsid w:val="006B03FE"/>
    <w:rsid w:val="006B05E2"/>
    <w:rsid w:val="006B08EE"/>
    <w:rsid w:val="006B0FFD"/>
    <w:rsid w:val="006B15D5"/>
    <w:rsid w:val="006B1F1D"/>
    <w:rsid w:val="006B395D"/>
    <w:rsid w:val="006B3F37"/>
    <w:rsid w:val="006B5060"/>
    <w:rsid w:val="006B5F5C"/>
    <w:rsid w:val="006B7857"/>
    <w:rsid w:val="006C067F"/>
    <w:rsid w:val="006C163D"/>
    <w:rsid w:val="006C24B1"/>
    <w:rsid w:val="006C300C"/>
    <w:rsid w:val="006C4D6A"/>
    <w:rsid w:val="006C62F6"/>
    <w:rsid w:val="006C6FE5"/>
    <w:rsid w:val="006C756F"/>
    <w:rsid w:val="006D01F3"/>
    <w:rsid w:val="006D0D50"/>
    <w:rsid w:val="006D2C4E"/>
    <w:rsid w:val="006D30FC"/>
    <w:rsid w:val="006D3614"/>
    <w:rsid w:val="006D53A5"/>
    <w:rsid w:val="006D5E32"/>
    <w:rsid w:val="006D6C4E"/>
    <w:rsid w:val="006D7019"/>
    <w:rsid w:val="006D7EEC"/>
    <w:rsid w:val="006E1960"/>
    <w:rsid w:val="006E1DA3"/>
    <w:rsid w:val="006E2E9C"/>
    <w:rsid w:val="006E40CF"/>
    <w:rsid w:val="006E52BD"/>
    <w:rsid w:val="006E5569"/>
    <w:rsid w:val="006E787C"/>
    <w:rsid w:val="006E7B83"/>
    <w:rsid w:val="006F0800"/>
    <w:rsid w:val="006F11C3"/>
    <w:rsid w:val="006F2F87"/>
    <w:rsid w:val="006F37C2"/>
    <w:rsid w:val="006F411C"/>
    <w:rsid w:val="006F79FB"/>
    <w:rsid w:val="006F7AEC"/>
    <w:rsid w:val="006F7F66"/>
    <w:rsid w:val="00700DD8"/>
    <w:rsid w:val="00700F76"/>
    <w:rsid w:val="00702503"/>
    <w:rsid w:val="007026C1"/>
    <w:rsid w:val="00702A36"/>
    <w:rsid w:val="00702A88"/>
    <w:rsid w:val="00702DB8"/>
    <w:rsid w:val="0070653C"/>
    <w:rsid w:val="007067AA"/>
    <w:rsid w:val="00707736"/>
    <w:rsid w:val="00707A05"/>
    <w:rsid w:val="00707A5D"/>
    <w:rsid w:val="00707C30"/>
    <w:rsid w:val="00707EF0"/>
    <w:rsid w:val="007107CF"/>
    <w:rsid w:val="007112A1"/>
    <w:rsid w:val="007115B9"/>
    <w:rsid w:val="00711AFB"/>
    <w:rsid w:val="0071201F"/>
    <w:rsid w:val="007123CC"/>
    <w:rsid w:val="007132C2"/>
    <w:rsid w:val="00713955"/>
    <w:rsid w:val="007140E5"/>
    <w:rsid w:val="007161C3"/>
    <w:rsid w:val="00716A2A"/>
    <w:rsid w:val="00717F3E"/>
    <w:rsid w:val="0072121F"/>
    <w:rsid w:val="00721765"/>
    <w:rsid w:val="00722186"/>
    <w:rsid w:val="007222B5"/>
    <w:rsid w:val="00722800"/>
    <w:rsid w:val="00722E30"/>
    <w:rsid w:val="0072312D"/>
    <w:rsid w:val="007234DE"/>
    <w:rsid w:val="00723FBD"/>
    <w:rsid w:val="00724F0A"/>
    <w:rsid w:val="007265B3"/>
    <w:rsid w:val="007267DC"/>
    <w:rsid w:val="007273A3"/>
    <w:rsid w:val="00730C1B"/>
    <w:rsid w:val="00731783"/>
    <w:rsid w:val="0073316F"/>
    <w:rsid w:val="0073335B"/>
    <w:rsid w:val="007342DE"/>
    <w:rsid w:val="00734E0C"/>
    <w:rsid w:val="007352CA"/>
    <w:rsid w:val="007354D8"/>
    <w:rsid w:val="00735C8A"/>
    <w:rsid w:val="0073640B"/>
    <w:rsid w:val="007364E5"/>
    <w:rsid w:val="00736B35"/>
    <w:rsid w:val="00736C21"/>
    <w:rsid w:val="00736FAC"/>
    <w:rsid w:val="00740D74"/>
    <w:rsid w:val="00741E8F"/>
    <w:rsid w:val="007429E5"/>
    <w:rsid w:val="0074328A"/>
    <w:rsid w:val="007433A2"/>
    <w:rsid w:val="007435E5"/>
    <w:rsid w:val="00743A6D"/>
    <w:rsid w:val="00743B22"/>
    <w:rsid w:val="00744434"/>
    <w:rsid w:val="0074669C"/>
    <w:rsid w:val="00746714"/>
    <w:rsid w:val="00750AE7"/>
    <w:rsid w:val="00750F11"/>
    <w:rsid w:val="00751753"/>
    <w:rsid w:val="00751B13"/>
    <w:rsid w:val="00752344"/>
    <w:rsid w:val="0075288E"/>
    <w:rsid w:val="00752B50"/>
    <w:rsid w:val="00754840"/>
    <w:rsid w:val="00754B92"/>
    <w:rsid w:val="00754DAD"/>
    <w:rsid w:val="00755F5C"/>
    <w:rsid w:val="007563B2"/>
    <w:rsid w:val="00756FAB"/>
    <w:rsid w:val="00757CB9"/>
    <w:rsid w:val="00760598"/>
    <w:rsid w:val="00762E03"/>
    <w:rsid w:val="00763821"/>
    <w:rsid w:val="00765C04"/>
    <w:rsid w:val="007664F3"/>
    <w:rsid w:val="007673D3"/>
    <w:rsid w:val="00767947"/>
    <w:rsid w:val="00770A89"/>
    <w:rsid w:val="00770CAA"/>
    <w:rsid w:val="00771AE3"/>
    <w:rsid w:val="00774486"/>
    <w:rsid w:val="007754CB"/>
    <w:rsid w:val="00776DDF"/>
    <w:rsid w:val="00776F06"/>
    <w:rsid w:val="007779F1"/>
    <w:rsid w:val="00780C14"/>
    <w:rsid w:val="00781A0D"/>
    <w:rsid w:val="00781D23"/>
    <w:rsid w:val="00783315"/>
    <w:rsid w:val="00783991"/>
    <w:rsid w:val="007845E0"/>
    <w:rsid w:val="00785968"/>
    <w:rsid w:val="007871CD"/>
    <w:rsid w:val="007878F5"/>
    <w:rsid w:val="00787AFE"/>
    <w:rsid w:val="00790435"/>
    <w:rsid w:val="00790817"/>
    <w:rsid w:val="007914CF"/>
    <w:rsid w:val="007915F7"/>
    <w:rsid w:val="00791FDE"/>
    <w:rsid w:val="0079282A"/>
    <w:rsid w:val="007929ED"/>
    <w:rsid w:val="00792BEE"/>
    <w:rsid w:val="00793E6A"/>
    <w:rsid w:val="00793EAB"/>
    <w:rsid w:val="00793F73"/>
    <w:rsid w:val="00794923"/>
    <w:rsid w:val="00794ED8"/>
    <w:rsid w:val="00795B03"/>
    <w:rsid w:val="007963C0"/>
    <w:rsid w:val="007966D3"/>
    <w:rsid w:val="007970EE"/>
    <w:rsid w:val="0079770F"/>
    <w:rsid w:val="00797952"/>
    <w:rsid w:val="00797BEB"/>
    <w:rsid w:val="007A00E8"/>
    <w:rsid w:val="007A016D"/>
    <w:rsid w:val="007A01A3"/>
    <w:rsid w:val="007A035C"/>
    <w:rsid w:val="007A0AE3"/>
    <w:rsid w:val="007A0E61"/>
    <w:rsid w:val="007A165E"/>
    <w:rsid w:val="007A1674"/>
    <w:rsid w:val="007A1E1A"/>
    <w:rsid w:val="007A26B1"/>
    <w:rsid w:val="007A2C7A"/>
    <w:rsid w:val="007A34FF"/>
    <w:rsid w:val="007A50E5"/>
    <w:rsid w:val="007A5451"/>
    <w:rsid w:val="007A5452"/>
    <w:rsid w:val="007A5496"/>
    <w:rsid w:val="007A6AA8"/>
    <w:rsid w:val="007A733D"/>
    <w:rsid w:val="007B01C0"/>
    <w:rsid w:val="007B0E2E"/>
    <w:rsid w:val="007B15DA"/>
    <w:rsid w:val="007B1AA6"/>
    <w:rsid w:val="007B1D72"/>
    <w:rsid w:val="007B2326"/>
    <w:rsid w:val="007B2843"/>
    <w:rsid w:val="007B2B0D"/>
    <w:rsid w:val="007B3C2E"/>
    <w:rsid w:val="007B4ABB"/>
    <w:rsid w:val="007B579F"/>
    <w:rsid w:val="007B6B56"/>
    <w:rsid w:val="007B7386"/>
    <w:rsid w:val="007B7BB0"/>
    <w:rsid w:val="007B7C3B"/>
    <w:rsid w:val="007C01D8"/>
    <w:rsid w:val="007C0C6F"/>
    <w:rsid w:val="007C2095"/>
    <w:rsid w:val="007C2A6F"/>
    <w:rsid w:val="007C3493"/>
    <w:rsid w:val="007C3C4A"/>
    <w:rsid w:val="007C4DAD"/>
    <w:rsid w:val="007C5982"/>
    <w:rsid w:val="007C5E63"/>
    <w:rsid w:val="007C685E"/>
    <w:rsid w:val="007C68D9"/>
    <w:rsid w:val="007C6DDF"/>
    <w:rsid w:val="007C77D2"/>
    <w:rsid w:val="007C7F60"/>
    <w:rsid w:val="007D39C7"/>
    <w:rsid w:val="007D4624"/>
    <w:rsid w:val="007D508A"/>
    <w:rsid w:val="007D59B2"/>
    <w:rsid w:val="007D5C9D"/>
    <w:rsid w:val="007D6065"/>
    <w:rsid w:val="007D6BBD"/>
    <w:rsid w:val="007E02E0"/>
    <w:rsid w:val="007E0723"/>
    <w:rsid w:val="007E280E"/>
    <w:rsid w:val="007E34E7"/>
    <w:rsid w:val="007E3894"/>
    <w:rsid w:val="007E40DF"/>
    <w:rsid w:val="007E552B"/>
    <w:rsid w:val="007E55A7"/>
    <w:rsid w:val="007E57B8"/>
    <w:rsid w:val="007E5AE5"/>
    <w:rsid w:val="007E5C48"/>
    <w:rsid w:val="007E7E97"/>
    <w:rsid w:val="007F19B0"/>
    <w:rsid w:val="007F1B6A"/>
    <w:rsid w:val="007F2FE7"/>
    <w:rsid w:val="007F3292"/>
    <w:rsid w:val="007F4487"/>
    <w:rsid w:val="007F45EB"/>
    <w:rsid w:val="007F5E7C"/>
    <w:rsid w:val="007F6088"/>
    <w:rsid w:val="007F6366"/>
    <w:rsid w:val="007F6B1B"/>
    <w:rsid w:val="007F715E"/>
    <w:rsid w:val="007F7BE3"/>
    <w:rsid w:val="00800C2B"/>
    <w:rsid w:val="008020B0"/>
    <w:rsid w:val="0080295D"/>
    <w:rsid w:val="00803322"/>
    <w:rsid w:val="00803408"/>
    <w:rsid w:val="00803FE2"/>
    <w:rsid w:val="00804319"/>
    <w:rsid w:val="008048F4"/>
    <w:rsid w:val="00804BA2"/>
    <w:rsid w:val="00804F72"/>
    <w:rsid w:val="00805D4F"/>
    <w:rsid w:val="00806B18"/>
    <w:rsid w:val="00806E4F"/>
    <w:rsid w:val="00811E86"/>
    <w:rsid w:val="008132C7"/>
    <w:rsid w:val="008149B0"/>
    <w:rsid w:val="00815AC7"/>
    <w:rsid w:val="00815D0D"/>
    <w:rsid w:val="00816118"/>
    <w:rsid w:val="00816C43"/>
    <w:rsid w:val="008176A0"/>
    <w:rsid w:val="0081789E"/>
    <w:rsid w:val="00817AE9"/>
    <w:rsid w:val="00821B03"/>
    <w:rsid w:val="00821D22"/>
    <w:rsid w:val="00822028"/>
    <w:rsid w:val="0082278B"/>
    <w:rsid w:val="00822EAD"/>
    <w:rsid w:val="00823C56"/>
    <w:rsid w:val="008247FE"/>
    <w:rsid w:val="008253F2"/>
    <w:rsid w:val="0082578B"/>
    <w:rsid w:val="00826491"/>
    <w:rsid w:val="008277E5"/>
    <w:rsid w:val="00827B8C"/>
    <w:rsid w:val="00827E5A"/>
    <w:rsid w:val="00831103"/>
    <w:rsid w:val="0083188C"/>
    <w:rsid w:val="00831F9D"/>
    <w:rsid w:val="00832609"/>
    <w:rsid w:val="008327B5"/>
    <w:rsid w:val="00832A9E"/>
    <w:rsid w:val="0083360F"/>
    <w:rsid w:val="00833740"/>
    <w:rsid w:val="00833BFD"/>
    <w:rsid w:val="00834EFC"/>
    <w:rsid w:val="0083533E"/>
    <w:rsid w:val="00835960"/>
    <w:rsid w:val="00835BB5"/>
    <w:rsid w:val="00836565"/>
    <w:rsid w:val="00836975"/>
    <w:rsid w:val="00837559"/>
    <w:rsid w:val="00837D28"/>
    <w:rsid w:val="00837D37"/>
    <w:rsid w:val="0084012A"/>
    <w:rsid w:val="008411FD"/>
    <w:rsid w:val="0084123A"/>
    <w:rsid w:val="00841393"/>
    <w:rsid w:val="00842CD5"/>
    <w:rsid w:val="00843419"/>
    <w:rsid w:val="0084640B"/>
    <w:rsid w:val="00846792"/>
    <w:rsid w:val="00847058"/>
    <w:rsid w:val="008474A8"/>
    <w:rsid w:val="008478CB"/>
    <w:rsid w:val="00847ABB"/>
    <w:rsid w:val="00850825"/>
    <w:rsid w:val="00850FD2"/>
    <w:rsid w:val="00851A03"/>
    <w:rsid w:val="008525B8"/>
    <w:rsid w:val="008532E5"/>
    <w:rsid w:val="008564EE"/>
    <w:rsid w:val="008565D3"/>
    <w:rsid w:val="0085702F"/>
    <w:rsid w:val="00860E1E"/>
    <w:rsid w:val="00863060"/>
    <w:rsid w:val="00863079"/>
    <w:rsid w:val="008631B0"/>
    <w:rsid w:val="00863F5D"/>
    <w:rsid w:val="00864D62"/>
    <w:rsid w:val="00864F02"/>
    <w:rsid w:val="008657BE"/>
    <w:rsid w:val="00865C73"/>
    <w:rsid w:val="008662FC"/>
    <w:rsid w:val="00866497"/>
    <w:rsid w:val="008667D7"/>
    <w:rsid w:val="008669D2"/>
    <w:rsid w:val="00867CB7"/>
    <w:rsid w:val="00870592"/>
    <w:rsid w:val="00870717"/>
    <w:rsid w:val="00871384"/>
    <w:rsid w:val="00871DCD"/>
    <w:rsid w:val="00872F65"/>
    <w:rsid w:val="0087313F"/>
    <w:rsid w:val="00873436"/>
    <w:rsid w:val="008734E2"/>
    <w:rsid w:val="00874A36"/>
    <w:rsid w:val="008754DC"/>
    <w:rsid w:val="00875C74"/>
    <w:rsid w:val="00875F41"/>
    <w:rsid w:val="008807A8"/>
    <w:rsid w:val="00880D60"/>
    <w:rsid w:val="008815BC"/>
    <w:rsid w:val="00881C7C"/>
    <w:rsid w:val="00882611"/>
    <w:rsid w:val="00882C9B"/>
    <w:rsid w:val="00882D7C"/>
    <w:rsid w:val="00882EEB"/>
    <w:rsid w:val="00884252"/>
    <w:rsid w:val="00885443"/>
    <w:rsid w:val="00885647"/>
    <w:rsid w:val="008867BA"/>
    <w:rsid w:val="008869A7"/>
    <w:rsid w:val="00886CD7"/>
    <w:rsid w:val="0089062A"/>
    <w:rsid w:val="008906C0"/>
    <w:rsid w:val="008907FE"/>
    <w:rsid w:val="00891252"/>
    <w:rsid w:val="00891E17"/>
    <w:rsid w:val="00891FAF"/>
    <w:rsid w:val="0089274F"/>
    <w:rsid w:val="00893020"/>
    <w:rsid w:val="00894251"/>
    <w:rsid w:val="0089436E"/>
    <w:rsid w:val="00894C4B"/>
    <w:rsid w:val="00894F69"/>
    <w:rsid w:val="00895027"/>
    <w:rsid w:val="00895056"/>
    <w:rsid w:val="008953B2"/>
    <w:rsid w:val="00895896"/>
    <w:rsid w:val="008967C0"/>
    <w:rsid w:val="008A141E"/>
    <w:rsid w:val="008A18C5"/>
    <w:rsid w:val="008A19F8"/>
    <w:rsid w:val="008A1A43"/>
    <w:rsid w:val="008A346E"/>
    <w:rsid w:val="008A3C64"/>
    <w:rsid w:val="008A68F4"/>
    <w:rsid w:val="008A7BC3"/>
    <w:rsid w:val="008B3061"/>
    <w:rsid w:val="008B3D94"/>
    <w:rsid w:val="008B42D0"/>
    <w:rsid w:val="008B5455"/>
    <w:rsid w:val="008B58D6"/>
    <w:rsid w:val="008B62E5"/>
    <w:rsid w:val="008B72EC"/>
    <w:rsid w:val="008B76B6"/>
    <w:rsid w:val="008B7D1C"/>
    <w:rsid w:val="008C0361"/>
    <w:rsid w:val="008C0B44"/>
    <w:rsid w:val="008C17C6"/>
    <w:rsid w:val="008C251F"/>
    <w:rsid w:val="008C2630"/>
    <w:rsid w:val="008C276A"/>
    <w:rsid w:val="008C2C14"/>
    <w:rsid w:val="008C408A"/>
    <w:rsid w:val="008C45D6"/>
    <w:rsid w:val="008C5344"/>
    <w:rsid w:val="008C578A"/>
    <w:rsid w:val="008C6813"/>
    <w:rsid w:val="008C775A"/>
    <w:rsid w:val="008D1176"/>
    <w:rsid w:val="008D1DFF"/>
    <w:rsid w:val="008D2CA0"/>
    <w:rsid w:val="008D2FDC"/>
    <w:rsid w:val="008D48A3"/>
    <w:rsid w:val="008D5223"/>
    <w:rsid w:val="008D5D30"/>
    <w:rsid w:val="008D63A3"/>
    <w:rsid w:val="008D6CC4"/>
    <w:rsid w:val="008D7360"/>
    <w:rsid w:val="008E0288"/>
    <w:rsid w:val="008E0F3B"/>
    <w:rsid w:val="008E19BB"/>
    <w:rsid w:val="008E1A34"/>
    <w:rsid w:val="008E1ECE"/>
    <w:rsid w:val="008E237F"/>
    <w:rsid w:val="008E26DB"/>
    <w:rsid w:val="008E321A"/>
    <w:rsid w:val="008E3C84"/>
    <w:rsid w:val="008E5A8A"/>
    <w:rsid w:val="008E5DD1"/>
    <w:rsid w:val="008E5EA2"/>
    <w:rsid w:val="008E5FCF"/>
    <w:rsid w:val="008E66F8"/>
    <w:rsid w:val="008E6C5E"/>
    <w:rsid w:val="008E7229"/>
    <w:rsid w:val="008E797B"/>
    <w:rsid w:val="008F0A46"/>
    <w:rsid w:val="008F0ECB"/>
    <w:rsid w:val="008F1075"/>
    <w:rsid w:val="008F10B2"/>
    <w:rsid w:val="008F1D8A"/>
    <w:rsid w:val="008F2176"/>
    <w:rsid w:val="008F2B83"/>
    <w:rsid w:val="008F300F"/>
    <w:rsid w:val="008F353F"/>
    <w:rsid w:val="008F456F"/>
    <w:rsid w:val="008F5429"/>
    <w:rsid w:val="008F68CC"/>
    <w:rsid w:val="008F74C3"/>
    <w:rsid w:val="008F74C8"/>
    <w:rsid w:val="008F7E38"/>
    <w:rsid w:val="00902086"/>
    <w:rsid w:val="00902C30"/>
    <w:rsid w:val="00903A5D"/>
    <w:rsid w:val="00904283"/>
    <w:rsid w:val="00905053"/>
    <w:rsid w:val="0090601B"/>
    <w:rsid w:val="00906484"/>
    <w:rsid w:val="009071D0"/>
    <w:rsid w:val="00907267"/>
    <w:rsid w:val="009105A4"/>
    <w:rsid w:val="0091143B"/>
    <w:rsid w:val="009117E4"/>
    <w:rsid w:val="0091195C"/>
    <w:rsid w:val="009127E0"/>
    <w:rsid w:val="00912880"/>
    <w:rsid w:val="00912B69"/>
    <w:rsid w:val="00912E0D"/>
    <w:rsid w:val="009136C4"/>
    <w:rsid w:val="00913E4A"/>
    <w:rsid w:val="00913F6E"/>
    <w:rsid w:val="00914C3D"/>
    <w:rsid w:val="00915BC0"/>
    <w:rsid w:val="009166A5"/>
    <w:rsid w:val="00916EC3"/>
    <w:rsid w:val="009175DE"/>
    <w:rsid w:val="0092074C"/>
    <w:rsid w:val="009213AD"/>
    <w:rsid w:val="0092176E"/>
    <w:rsid w:val="0092209B"/>
    <w:rsid w:val="00922960"/>
    <w:rsid w:val="00922AAB"/>
    <w:rsid w:val="00922C10"/>
    <w:rsid w:val="0092309B"/>
    <w:rsid w:val="00923E16"/>
    <w:rsid w:val="00924928"/>
    <w:rsid w:val="009254AB"/>
    <w:rsid w:val="00925E37"/>
    <w:rsid w:val="00927450"/>
    <w:rsid w:val="00927D80"/>
    <w:rsid w:val="00930151"/>
    <w:rsid w:val="009306F7"/>
    <w:rsid w:val="00930FDA"/>
    <w:rsid w:val="009317C4"/>
    <w:rsid w:val="00933555"/>
    <w:rsid w:val="00933659"/>
    <w:rsid w:val="0093389E"/>
    <w:rsid w:val="00934AEC"/>
    <w:rsid w:val="009354E0"/>
    <w:rsid w:val="00935CF0"/>
    <w:rsid w:val="0093627E"/>
    <w:rsid w:val="009369E3"/>
    <w:rsid w:val="00936B9E"/>
    <w:rsid w:val="0093740B"/>
    <w:rsid w:val="00942BD5"/>
    <w:rsid w:val="009437E2"/>
    <w:rsid w:val="0094395B"/>
    <w:rsid w:val="00943DD1"/>
    <w:rsid w:val="00944563"/>
    <w:rsid w:val="0094574B"/>
    <w:rsid w:val="00946745"/>
    <w:rsid w:val="00946928"/>
    <w:rsid w:val="00946B46"/>
    <w:rsid w:val="00946C4D"/>
    <w:rsid w:val="00947003"/>
    <w:rsid w:val="00947DE8"/>
    <w:rsid w:val="00950A42"/>
    <w:rsid w:val="009515C8"/>
    <w:rsid w:val="00951C43"/>
    <w:rsid w:val="00953778"/>
    <w:rsid w:val="00954C54"/>
    <w:rsid w:val="009569FA"/>
    <w:rsid w:val="00956F54"/>
    <w:rsid w:val="009573BB"/>
    <w:rsid w:val="00957647"/>
    <w:rsid w:val="009602B8"/>
    <w:rsid w:val="00960B96"/>
    <w:rsid w:val="00960C63"/>
    <w:rsid w:val="009622BD"/>
    <w:rsid w:val="0096321C"/>
    <w:rsid w:val="00963A68"/>
    <w:rsid w:val="00963DD6"/>
    <w:rsid w:val="00963ED4"/>
    <w:rsid w:val="00964466"/>
    <w:rsid w:val="009646B5"/>
    <w:rsid w:val="00965A71"/>
    <w:rsid w:val="00965E1A"/>
    <w:rsid w:val="00965E30"/>
    <w:rsid w:val="009666CD"/>
    <w:rsid w:val="00966D2D"/>
    <w:rsid w:val="00967571"/>
    <w:rsid w:val="0096777E"/>
    <w:rsid w:val="00970D22"/>
    <w:rsid w:val="00971E90"/>
    <w:rsid w:val="00971FA0"/>
    <w:rsid w:val="009725D3"/>
    <w:rsid w:val="00973D94"/>
    <w:rsid w:val="009746F7"/>
    <w:rsid w:val="0097471D"/>
    <w:rsid w:val="00975129"/>
    <w:rsid w:val="00975959"/>
    <w:rsid w:val="009763FF"/>
    <w:rsid w:val="0097698F"/>
    <w:rsid w:val="009770F4"/>
    <w:rsid w:val="00977758"/>
    <w:rsid w:val="00980BD5"/>
    <w:rsid w:val="009813A7"/>
    <w:rsid w:val="00981F8D"/>
    <w:rsid w:val="0098222B"/>
    <w:rsid w:val="009830A6"/>
    <w:rsid w:val="00983475"/>
    <w:rsid w:val="00983B23"/>
    <w:rsid w:val="00983BC7"/>
    <w:rsid w:val="009842AF"/>
    <w:rsid w:val="00985E34"/>
    <w:rsid w:val="00992013"/>
    <w:rsid w:val="00992B0D"/>
    <w:rsid w:val="00993E0A"/>
    <w:rsid w:val="00994949"/>
    <w:rsid w:val="00995CAE"/>
    <w:rsid w:val="009974F0"/>
    <w:rsid w:val="009977DC"/>
    <w:rsid w:val="00997863"/>
    <w:rsid w:val="009A061A"/>
    <w:rsid w:val="009A0D4C"/>
    <w:rsid w:val="009A1E4E"/>
    <w:rsid w:val="009A259D"/>
    <w:rsid w:val="009A27F3"/>
    <w:rsid w:val="009A2A9F"/>
    <w:rsid w:val="009A3851"/>
    <w:rsid w:val="009A394B"/>
    <w:rsid w:val="009A3962"/>
    <w:rsid w:val="009A3B74"/>
    <w:rsid w:val="009A49B8"/>
    <w:rsid w:val="009A4D85"/>
    <w:rsid w:val="009A559D"/>
    <w:rsid w:val="009A5CB0"/>
    <w:rsid w:val="009A73E6"/>
    <w:rsid w:val="009B3A36"/>
    <w:rsid w:val="009B616D"/>
    <w:rsid w:val="009B67D0"/>
    <w:rsid w:val="009B67DE"/>
    <w:rsid w:val="009B7146"/>
    <w:rsid w:val="009B725B"/>
    <w:rsid w:val="009B727F"/>
    <w:rsid w:val="009B78EA"/>
    <w:rsid w:val="009C099F"/>
    <w:rsid w:val="009C131A"/>
    <w:rsid w:val="009C1EEC"/>
    <w:rsid w:val="009C1FA8"/>
    <w:rsid w:val="009C23A2"/>
    <w:rsid w:val="009C2681"/>
    <w:rsid w:val="009C2BD2"/>
    <w:rsid w:val="009C3A6F"/>
    <w:rsid w:val="009C408E"/>
    <w:rsid w:val="009C4C68"/>
    <w:rsid w:val="009C4C6C"/>
    <w:rsid w:val="009C52AD"/>
    <w:rsid w:val="009C5410"/>
    <w:rsid w:val="009C54A7"/>
    <w:rsid w:val="009C5B80"/>
    <w:rsid w:val="009C5C75"/>
    <w:rsid w:val="009C68D9"/>
    <w:rsid w:val="009C7656"/>
    <w:rsid w:val="009C7B0B"/>
    <w:rsid w:val="009D0148"/>
    <w:rsid w:val="009D0747"/>
    <w:rsid w:val="009D0B06"/>
    <w:rsid w:val="009D140D"/>
    <w:rsid w:val="009D1529"/>
    <w:rsid w:val="009D2840"/>
    <w:rsid w:val="009D29EB"/>
    <w:rsid w:val="009D3235"/>
    <w:rsid w:val="009D42D9"/>
    <w:rsid w:val="009D44AB"/>
    <w:rsid w:val="009D4674"/>
    <w:rsid w:val="009D576F"/>
    <w:rsid w:val="009D5A03"/>
    <w:rsid w:val="009D62BC"/>
    <w:rsid w:val="009E0FF1"/>
    <w:rsid w:val="009E2E83"/>
    <w:rsid w:val="009E38B5"/>
    <w:rsid w:val="009E410F"/>
    <w:rsid w:val="009E4ACE"/>
    <w:rsid w:val="009E4B9D"/>
    <w:rsid w:val="009E5CB5"/>
    <w:rsid w:val="009E5D9C"/>
    <w:rsid w:val="009E6C2F"/>
    <w:rsid w:val="009E715F"/>
    <w:rsid w:val="009E755D"/>
    <w:rsid w:val="009F1C5B"/>
    <w:rsid w:val="009F22AE"/>
    <w:rsid w:val="009F3351"/>
    <w:rsid w:val="009F41F7"/>
    <w:rsid w:val="009F60CE"/>
    <w:rsid w:val="009F63A3"/>
    <w:rsid w:val="009F7807"/>
    <w:rsid w:val="009F7896"/>
    <w:rsid w:val="00A0151A"/>
    <w:rsid w:val="00A01CAE"/>
    <w:rsid w:val="00A01EE2"/>
    <w:rsid w:val="00A01F86"/>
    <w:rsid w:val="00A023E9"/>
    <w:rsid w:val="00A030CA"/>
    <w:rsid w:val="00A032A5"/>
    <w:rsid w:val="00A03827"/>
    <w:rsid w:val="00A0398C"/>
    <w:rsid w:val="00A045D5"/>
    <w:rsid w:val="00A05251"/>
    <w:rsid w:val="00A065CB"/>
    <w:rsid w:val="00A07473"/>
    <w:rsid w:val="00A07D58"/>
    <w:rsid w:val="00A10419"/>
    <w:rsid w:val="00A106D6"/>
    <w:rsid w:val="00A11114"/>
    <w:rsid w:val="00A116C6"/>
    <w:rsid w:val="00A11CBF"/>
    <w:rsid w:val="00A11EA8"/>
    <w:rsid w:val="00A1235F"/>
    <w:rsid w:val="00A12F71"/>
    <w:rsid w:val="00A142B6"/>
    <w:rsid w:val="00A14D9D"/>
    <w:rsid w:val="00A15502"/>
    <w:rsid w:val="00A1567D"/>
    <w:rsid w:val="00A16E6D"/>
    <w:rsid w:val="00A20556"/>
    <w:rsid w:val="00A205F7"/>
    <w:rsid w:val="00A21263"/>
    <w:rsid w:val="00A2128F"/>
    <w:rsid w:val="00A21668"/>
    <w:rsid w:val="00A22862"/>
    <w:rsid w:val="00A22A0C"/>
    <w:rsid w:val="00A23EE4"/>
    <w:rsid w:val="00A24265"/>
    <w:rsid w:val="00A257B5"/>
    <w:rsid w:val="00A265CE"/>
    <w:rsid w:val="00A26A61"/>
    <w:rsid w:val="00A26D64"/>
    <w:rsid w:val="00A27020"/>
    <w:rsid w:val="00A27D07"/>
    <w:rsid w:val="00A27E55"/>
    <w:rsid w:val="00A30BCD"/>
    <w:rsid w:val="00A31233"/>
    <w:rsid w:val="00A319D5"/>
    <w:rsid w:val="00A32631"/>
    <w:rsid w:val="00A32A30"/>
    <w:rsid w:val="00A32C98"/>
    <w:rsid w:val="00A345F2"/>
    <w:rsid w:val="00A35139"/>
    <w:rsid w:val="00A356A0"/>
    <w:rsid w:val="00A35708"/>
    <w:rsid w:val="00A3678D"/>
    <w:rsid w:val="00A36F79"/>
    <w:rsid w:val="00A3793C"/>
    <w:rsid w:val="00A37BEB"/>
    <w:rsid w:val="00A40221"/>
    <w:rsid w:val="00A4029E"/>
    <w:rsid w:val="00A40B9B"/>
    <w:rsid w:val="00A40BCB"/>
    <w:rsid w:val="00A411E8"/>
    <w:rsid w:val="00A412EA"/>
    <w:rsid w:val="00A41554"/>
    <w:rsid w:val="00A435BD"/>
    <w:rsid w:val="00A44843"/>
    <w:rsid w:val="00A45134"/>
    <w:rsid w:val="00A454DC"/>
    <w:rsid w:val="00A45D80"/>
    <w:rsid w:val="00A46E07"/>
    <w:rsid w:val="00A47E04"/>
    <w:rsid w:val="00A47E34"/>
    <w:rsid w:val="00A500F4"/>
    <w:rsid w:val="00A50323"/>
    <w:rsid w:val="00A50A20"/>
    <w:rsid w:val="00A51B4C"/>
    <w:rsid w:val="00A5311F"/>
    <w:rsid w:val="00A53212"/>
    <w:rsid w:val="00A53334"/>
    <w:rsid w:val="00A53E86"/>
    <w:rsid w:val="00A54DED"/>
    <w:rsid w:val="00A55B14"/>
    <w:rsid w:val="00A56972"/>
    <w:rsid w:val="00A569D0"/>
    <w:rsid w:val="00A578FF"/>
    <w:rsid w:val="00A6098A"/>
    <w:rsid w:val="00A6261D"/>
    <w:rsid w:val="00A64019"/>
    <w:rsid w:val="00A64173"/>
    <w:rsid w:val="00A64255"/>
    <w:rsid w:val="00A647E4"/>
    <w:rsid w:val="00A65A31"/>
    <w:rsid w:val="00A667A3"/>
    <w:rsid w:val="00A670A9"/>
    <w:rsid w:val="00A67DE5"/>
    <w:rsid w:val="00A70454"/>
    <w:rsid w:val="00A709F9"/>
    <w:rsid w:val="00A70FE5"/>
    <w:rsid w:val="00A7137A"/>
    <w:rsid w:val="00A720B6"/>
    <w:rsid w:val="00A733FB"/>
    <w:rsid w:val="00A73AAD"/>
    <w:rsid w:val="00A743A8"/>
    <w:rsid w:val="00A7452D"/>
    <w:rsid w:val="00A74A1B"/>
    <w:rsid w:val="00A751F9"/>
    <w:rsid w:val="00A75D68"/>
    <w:rsid w:val="00A76904"/>
    <w:rsid w:val="00A76F7B"/>
    <w:rsid w:val="00A775AC"/>
    <w:rsid w:val="00A80CFA"/>
    <w:rsid w:val="00A81EE8"/>
    <w:rsid w:val="00A8362E"/>
    <w:rsid w:val="00A83AF3"/>
    <w:rsid w:val="00A84111"/>
    <w:rsid w:val="00A870D0"/>
    <w:rsid w:val="00A8738D"/>
    <w:rsid w:val="00A87951"/>
    <w:rsid w:val="00A87A6E"/>
    <w:rsid w:val="00A915CF"/>
    <w:rsid w:val="00A923CF"/>
    <w:rsid w:val="00A92757"/>
    <w:rsid w:val="00A92AAB"/>
    <w:rsid w:val="00A92CCB"/>
    <w:rsid w:val="00A92FBA"/>
    <w:rsid w:val="00A930B0"/>
    <w:rsid w:val="00A942CF"/>
    <w:rsid w:val="00A9436C"/>
    <w:rsid w:val="00A94F04"/>
    <w:rsid w:val="00A9545E"/>
    <w:rsid w:val="00A9774D"/>
    <w:rsid w:val="00AA0279"/>
    <w:rsid w:val="00AA0737"/>
    <w:rsid w:val="00AA0A70"/>
    <w:rsid w:val="00AA1BA5"/>
    <w:rsid w:val="00AA2A6C"/>
    <w:rsid w:val="00AA3152"/>
    <w:rsid w:val="00AA385A"/>
    <w:rsid w:val="00AA5844"/>
    <w:rsid w:val="00AA61E0"/>
    <w:rsid w:val="00AA67DA"/>
    <w:rsid w:val="00AA6B08"/>
    <w:rsid w:val="00AA7011"/>
    <w:rsid w:val="00AA7231"/>
    <w:rsid w:val="00AA73C2"/>
    <w:rsid w:val="00AA78D4"/>
    <w:rsid w:val="00AA7D9E"/>
    <w:rsid w:val="00AB1F9C"/>
    <w:rsid w:val="00AB225A"/>
    <w:rsid w:val="00AB2ECA"/>
    <w:rsid w:val="00AB35EB"/>
    <w:rsid w:val="00AB448D"/>
    <w:rsid w:val="00AB4E11"/>
    <w:rsid w:val="00AB5099"/>
    <w:rsid w:val="00AB5111"/>
    <w:rsid w:val="00AB57A3"/>
    <w:rsid w:val="00AB6787"/>
    <w:rsid w:val="00AB74F0"/>
    <w:rsid w:val="00AB775D"/>
    <w:rsid w:val="00AC169B"/>
    <w:rsid w:val="00AC2905"/>
    <w:rsid w:val="00AC3AD2"/>
    <w:rsid w:val="00AC3D92"/>
    <w:rsid w:val="00AC3ED5"/>
    <w:rsid w:val="00AC48B9"/>
    <w:rsid w:val="00AC4FC5"/>
    <w:rsid w:val="00AC56B5"/>
    <w:rsid w:val="00AC5B0F"/>
    <w:rsid w:val="00AC6B74"/>
    <w:rsid w:val="00AC768E"/>
    <w:rsid w:val="00AC76A4"/>
    <w:rsid w:val="00AC7FC8"/>
    <w:rsid w:val="00AD0084"/>
    <w:rsid w:val="00AD048B"/>
    <w:rsid w:val="00AD1056"/>
    <w:rsid w:val="00AD2525"/>
    <w:rsid w:val="00AD27CC"/>
    <w:rsid w:val="00AD3173"/>
    <w:rsid w:val="00AD31DC"/>
    <w:rsid w:val="00AD3A28"/>
    <w:rsid w:val="00AD3E6C"/>
    <w:rsid w:val="00AD4A37"/>
    <w:rsid w:val="00AD4A9F"/>
    <w:rsid w:val="00AD4BD3"/>
    <w:rsid w:val="00AD5E36"/>
    <w:rsid w:val="00AD5FD5"/>
    <w:rsid w:val="00AD66B4"/>
    <w:rsid w:val="00AD6CB4"/>
    <w:rsid w:val="00AD73CC"/>
    <w:rsid w:val="00AD75CA"/>
    <w:rsid w:val="00AD7639"/>
    <w:rsid w:val="00AD7F2E"/>
    <w:rsid w:val="00AE17DF"/>
    <w:rsid w:val="00AE1E34"/>
    <w:rsid w:val="00AE1EBA"/>
    <w:rsid w:val="00AE27D0"/>
    <w:rsid w:val="00AE33D3"/>
    <w:rsid w:val="00AE3704"/>
    <w:rsid w:val="00AE498F"/>
    <w:rsid w:val="00AE5678"/>
    <w:rsid w:val="00AE59F4"/>
    <w:rsid w:val="00AE61FC"/>
    <w:rsid w:val="00AE6842"/>
    <w:rsid w:val="00AE69F9"/>
    <w:rsid w:val="00AE6DE5"/>
    <w:rsid w:val="00AE75D2"/>
    <w:rsid w:val="00AE75F3"/>
    <w:rsid w:val="00AE7621"/>
    <w:rsid w:val="00AE7A00"/>
    <w:rsid w:val="00AE7BCB"/>
    <w:rsid w:val="00AE7EE7"/>
    <w:rsid w:val="00AF033B"/>
    <w:rsid w:val="00AF0389"/>
    <w:rsid w:val="00AF1045"/>
    <w:rsid w:val="00AF108A"/>
    <w:rsid w:val="00AF31E9"/>
    <w:rsid w:val="00AF3361"/>
    <w:rsid w:val="00AF34A0"/>
    <w:rsid w:val="00AF432D"/>
    <w:rsid w:val="00AF516E"/>
    <w:rsid w:val="00AF530A"/>
    <w:rsid w:val="00AF6043"/>
    <w:rsid w:val="00AF61C4"/>
    <w:rsid w:val="00B01EA5"/>
    <w:rsid w:val="00B03A4B"/>
    <w:rsid w:val="00B04194"/>
    <w:rsid w:val="00B0428D"/>
    <w:rsid w:val="00B04F3F"/>
    <w:rsid w:val="00B05547"/>
    <w:rsid w:val="00B05DEF"/>
    <w:rsid w:val="00B05E49"/>
    <w:rsid w:val="00B06C4A"/>
    <w:rsid w:val="00B0714D"/>
    <w:rsid w:val="00B104DE"/>
    <w:rsid w:val="00B1109F"/>
    <w:rsid w:val="00B1174C"/>
    <w:rsid w:val="00B11770"/>
    <w:rsid w:val="00B1280C"/>
    <w:rsid w:val="00B12B47"/>
    <w:rsid w:val="00B12CBC"/>
    <w:rsid w:val="00B13280"/>
    <w:rsid w:val="00B142B6"/>
    <w:rsid w:val="00B14446"/>
    <w:rsid w:val="00B167F7"/>
    <w:rsid w:val="00B17987"/>
    <w:rsid w:val="00B207FC"/>
    <w:rsid w:val="00B2092E"/>
    <w:rsid w:val="00B212D2"/>
    <w:rsid w:val="00B2159B"/>
    <w:rsid w:val="00B2306E"/>
    <w:rsid w:val="00B23BF8"/>
    <w:rsid w:val="00B249BE"/>
    <w:rsid w:val="00B26C52"/>
    <w:rsid w:val="00B27344"/>
    <w:rsid w:val="00B27844"/>
    <w:rsid w:val="00B3015F"/>
    <w:rsid w:val="00B30BC1"/>
    <w:rsid w:val="00B310E2"/>
    <w:rsid w:val="00B3128E"/>
    <w:rsid w:val="00B3187C"/>
    <w:rsid w:val="00B31C0B"/>
    <w:rsid w:val="00B32AB4"/>
    <w:rsid w:val="00B34588"/>
    <w:rsid w:val="00B35FC7"/>
    <w:rsid w:val="00B36630"/>
    <w:rsid w:val="00B36E5D"/>
    <w:rsid w:val="00B402A0"/>
    <w:rsid w:val="00B40B63"/>
    <w:rsid w:val="00B414AA"/>
    <w:rsid w:val="00B41E7F"/>
    <w:rsid w:val="00B41F9E"/>
    <w:rsid w:val="00B436DE"/>
    <w:rsid w:val="00B4377B"/>
    <w:rsid w:val="00B4379B"/>
    <w:rsid w:val="00B43852"/>
    <w:rsid w:val="00B43D1E"/>
    <w:rsid w:val="00B45573"/>
    <w:rsid w:val="00B46076"/>
    <w:rsid w:val="00B46E72"/>
    <w:rsid w:val="00B47080"/>
    <w:rsid w:val="00B47826"/>
    <w:rsid w:val="00B478EA"/>
    <w:rsid w:val="00B47AA8"/>
    <w:rsid w:val="00B5003F"/>
    <w:rsid w:val="00B50823"/>
    <w:rsid w:val="00B5143A"/>
    <w:rsid w:val="00B51861"/>
    <w:rsid w:val="00B54AA4"/>
    <w:rsid w:val="00B54FF0"/>
    <w:rsid w:val="00B57564"/>
    <w:rsid w:val="00B57BB7"/>
    <w:rsid w:val="00B57C9A"/>
    <w:rsid w:val="00B61696"/>
    <w:rsid w:val="00B6172C"/>
    <w:rsid w:val="00B617BD"/>
    <w:rsid w:val="00B62426"/>
    <w:rsid w:val="00B625E4"/>
    <w:rsid w:val="00B63077"/>
    <w:rsid w:val="00B63709"/>
    <w:rsid w:val="00B63E92"/>
    <w:rsid w:val="00B64EDC"/>
    <w:rsid w:val="00B653D4"/>
    <w:rsid w:val="00B658BD"/>
    <w:rsid w:val="00B667B9"/>
    <w:rsid w:val="00B66BFD"/>
    <w:rsid w:val="00B67341"/>
    <w:rsid w:val="00B71745"/>
    <w:rsid w:val="00B7314C"/>
    <w:rsid w:val="00B73EF6"/>
    <w:rsid w:val="00B7531C"/>
    <w:rsid w:val="00B777AB"/>
    <w:rsid w:val="00B778B3"/>
    <w:rsid w:val="00B77DE2"/>
    <w:rsid w:val="00B8020C"/>
    <w:rsid w:val="00B8027D"/>
    <w:rsid w:val="00B8041F"/>
    <w:rsid w:val="00B80B77"/>
    <w:rsid w:val="00B8102E"/>
    <w:rsid w:val="00B817E4"/>
    <w:rsid w:val="00B824AC"/>
    <w:rsid w:val="00B83427"/>
    <w:rsid w:val="00B848F1"/>
    <w:rsid w:val="00B8511A"/>
    <w:rsid w:val="00B8606D"/>
    <w:rsid w:val="00B875A4"/>
    <w:rsid w:val="00B90508"/>
    <w:rsid w:val="00B91BE0"/>
    <w:rsid w:val="00B91F5D"/>
    <w:rsid w:val="00B91FAC"/>
    <w:rsid w:val="00B9218F"/>
    <w:rsid w:val="00B921CB"/>
    <w:rsid w:val="00B92247"/>
    <w:rsid w:val="00B9307E"/>
    <w:rsid w:val="00B95544"/>
    <w:rsid w:val="00B95655"/>
    <w:rsid w:val="00B958EF"/>
    <w:rsid w:val="00B95F71"/>
    <w:rsid w:val="00BA03FF"/>
    <w:rsid w:val="00BA04A0"/>
    <w:rsid w:val="00BA0A07"/>
    <w:rsid w:val="00BA1B6D"/>
    <w:rsid w:val="00BA1BF9"/>
    <w:rsid w:val="00BA2052"/>
    <w:rsid w:val="00BA24AA"/>
    <w:rsid w:val="00BA2A45"/>
    <w:rsid w:val="00BA3BAF"/>
    <w:rsid w:val="00BA3CB1"/>
    <w:rsid w:val="00BA55B9"/>
    <w:rsid w:val="00BA55FA"/>
    <w:rsid w:val="00BA6335"/>
    <w:rsid w:val="00BA65E9"/>
    <w:rsid w:val="00BA69B2"/>
    <w:rsid w:val="00BA6CEB"/>
    <w:rsid w:val="00BA6D80"/>
    <w:rsid w:val="00BA6F21"/>
    <w:rsid w:val="00BA73C8"/>
    <w:rsid w:val="00BB01EF"/>
    <w:rsid w:val="00BB0F3C"/>
    <w:rsid w:val="00BB0F80"/>
    <w:rsid w:val="00BB1057"/>
    <w:rsid w:val="00BB2737"/>
    <w:rsid w:val="00BB3046"/>
    <w:rsid w:val="00BB3BA8"/>
    <w:rsid w:val="00BB3C4E"/>
    <w:rsid w:val="00BB54FC"/>
    <w:rsid w:val="00BB69BE"/>
    <w:rsid w:val="00BB72D0"/>
    <w:rsid w:val="00BC08B2"/>
    <w:rsid w:val="00BC0FB8"/>
    <w:rsid w:val="00BC20CA"/>
    <w:rsid w:val="00BC24DC"/>
    <w:rsid w:val="00BC264C"/>
    <w:rsid w:val="00BC2A83"/>
    <w:rsid w:val="00BC51C4"/>
    <w:rsid w:val="00BC5B28"/>
    <w:rsid w:val="00BC5EAC"/>
    <w:rsid w:val="00BC6409"/>
    <w:rsid w:val="00BC6561"/>
    <w:rsid w:val="00BC70E1"/>
    <w:rsid w:val="00BC735C"/>
    <w:rsid w:val="00BC7FB6"/>
    <w:rsid w:val="00BD0E89"/>
    <w:rsid w:val="00BD1CEE"/>
    <w:rsid w:val="00BD34C4"/>
    <w:rsid w:val="00BD4CA5"/>
    <w:rsid w:val="00BD5E5D"/>
    <w:rsid w:val="00BD5E9B"/>
    <w:rsid w:val="00BD62B8"/>
    <w:rsid w:val="00BD66DC"/>
    <w:rsid w:val="00BD6939"/>
    <w:rsid w:val="00BD781C"/>
    <w:rsid w:val="00BD7C5E"/>
    <w:rsid w:val="00BD7CF1"/>
    <w:rsid w:val="00BE06A3"/>
    <w:rsid w:val="00BE0FD5"/>
    <w:rsid w:val="00BE13F0"/>
    <w:rsid w:val="00BE1D25"/>
    <w:rsid w:val="00BE2442"/>
    <w:rsid w:val="00BE2768"/>
    <w:rsid w:val="00BE2EC1"/>
    <w:rsid w:val="00BE2F3E"/>
    <w:rsid w:val="00BE327B"/>
    <w:rsid w:val="00BE329A"/>
    <w:rsid w:val="00BE3CBA"/>
    <w:rsid w:val="00BE4A1E"/>
    <w:rsid w:val="00BE50AB"/>
    <w:rsid w:val="00BE534D"/>
    <w:rsid w:val="00BE5842"/>
    <w:rsid w:val="00BE6839"/>
    <w:rsid w:val="00BE6889"/>
    <w:rsid w:val="00BE7DF4"/>
    <w:rsid w:val="00BF0C53"/>
    <w:rsid w:val="00BF145C"/>
    <w:rsid w:val="00BF207E"/>
    <w:rsid w:val="00BF35A7"/>
    <w:rsid w:val="00BF36ED"/>
    <w:rsid w:val="00BF591B"/>
    <w:rsid w:val="00BF5C59"/>
    <w:rsid w:val="00BF6AAE"/>
    <w:rsid w:val="00BF6CB7"/>
    <w:rsid w:val="00C000E2"/>
    <w:rsid w:val="00C02872"/>
    <w:rsid w:val="00C05624"/>
    <w:rsid w:val="00C05BEB"/>
    <w:rsid w:val="00C05D92"/>
    <w:rsid w:val="00C060DC"/>
    <w:rsid w:val="00C0730C"/>
    <w:rsid w:val="00C1052D"/>
    <w:rsid w:val="00C105AB"/>
    <w:rsid w:val="00C11132"/>
    <w:rsid w:val="00C11290"/>
    <w:rsid w:val="00C116F9"/>
    <w:rsid w:val="00C119DF"/>
    <w:rsid w:val="00C11BB3"/>
    <w:rsid w:val="00C12770"/>
    <w:rsid w:val="00C12DCF"/>
    <w:rsid w:val="00C12FA3"/>
    <w:rsid w:val="00C13EAB"/>
    <w:rsid w:val="00C14BEA"/>
    <w:rsid w:val="00C15690"/>
    <w:rsid w:val="00C156FB"/>
    <w:rsid w:val="00C22696"/>
    <w:rsid w:val="00C226C1"/>
    <w:rsid w:val="00C2295A"/>
    <w:rsid w:val="00C22ACD"/>
    <w:rsid w:val="00C23AC7"/>
    <w:rsid w:val="00C23F03"/>
    <w:rsid w:val="00C25C8A"/>
    <w:rsid w:val="00C2717A"/>
    <w:rsid w:val="00C30296"/>
    <w:rsid w:val="00C30770"/>
    <w:rsid w:val="00C30A19"/>
    <w:rsid w:val="00C319A2"/>
    <w:rsid w:val="00C326A1"/>
    <w:rsid w:val="00C341E6"/>
    <w:rsid w:val="00C3513B"/>
    <w:rsid w:val="00C35A52"/>
    <w:rsid w:val="00C35BD4"/>
    <w:rsid w:val="00C36889"/>
    <w:rsid w:val="00C36ECD"/>
    <w:rsid w:val="00C4100A"/>
    <w:rsid w:val="00C41919"/>
    <w:rsid w:val="00C421FE"/>
    <w:rsid w:val="00C42992"/>
    <w:rsid w:val="00C42C60"/>
    <w:rsid w:val="00C42E04"/>
    <w:rsid w:val="00C43237"/>
    <w:rsid w:val="00C439C0"/>
    <w:rsid w:val="00C43CEA"/>
    <w:rsid w:val="00C43E1B"/>
    <w:rsid w:val="00C455F9"/>
    <w:rsid w:val="00C46430"/>
    <w:rsid w:val="00C46F32"/>
    <w:rsid w:val="00C47286"/>
    <w:rsid w:val="00C4790F"/>
    <w:rsid w:val="00C47946"/>
    <w:rsid w:val="00C47B23"/>
    <w:rsid w:val="00C50D52"/>
    <w:rsid w:val="00C52DDD"/>
    <w:rsid w:val="00C52FEE"/>
    <w:rsid w:val="00C53357"/>
    <w:rsid w:val="00C53587"/>
    <w:rsid w:val="00C535A8"/>
    <w:rsid w:val="00C53D18"/>
    <w:rsid w:val="00C5598A"/>
    <w:rsid w:val="00C55D79"/>
    <w:rsid w:val="00C5787C"/>
    <w:rsid w:val="00C57B12"/>
    <w:rsid w:val="00C6071F"/>
    <w:rsid w:val="00C6089A"/>
    <w:rsid w:val="00C6209A"/>
    <w:rsid w:val="00C6291C"/>
    <w:rsid w:val="00C62BEE"/>
    <w:rsid w:val="00C6306D"/>
    <w:rsid w:val="00C63460"/>
    <w:rsid w:val="00C63C72"/>
    <w:rsid w:val="00C64BDE"/>
    <w:rsid w:val="00C64C95"/>
    <w:rsid w:val="00C6558C"/>
    <w:rsid w:val="00C656E6"/>
    <w:rsid w:val="00C660D9"/>
    <w:rsid w:val="00C662BF"/>
    <w:rsid w:val="00C667CC"/>
    <w:rsid w:val="00C66856"/>
    <w:rsid w:val="00C66CF6"/>
    <w:rsid w:val="00C67434"/>
    <w:rsid w:val="00C67865"/>
    <w:rsid w:val="00C67E7A"/>
    <w:rsid w:val="00C70EE9"/>
    <w:rsid w:val="00C70F61"/>
    <w:rsid w:val="00C71F6E"/>
    <w:rsid w:val="00C734AF"/>
    <w:rsid w:val="00C74637"/>
    <w:rsid w:val="00C74FA3"/>
    <w:rsid w:val="00C7511E"/>
    <w:rsid w:val="00C75F05"/>
    <w:rsid w:val="00C76947"/>
    <w:rsid w:val="00C775A9"/>
    <w:rsid w:val="00C776EC"/>
    <w:rsid w:val="00C77E41"/>
    <w:rsid w:val="00C8063E"/>
    <w:rsid w:val="00C80EF6"/>
    <w:rsid w:val="00C81D61"/>
    <w:rsid w:val="00C82269"/>
    <w:rsid w:val="00C82571"/>
    <w:rsid w:val="00C82842"/>
    <w:rsid w:val="00C82A3A"/>
    <w:rsid w:val="00C82C8C"/>
    <w:rsid w:val="00C8358F"/>
    <w:rsid w:val="00C836F5"/>
    <w:rsid w:val="00C837D8"/>
    <w:rsid w:val="00C90060"/>
    <w:rsid w:val="00C900F9"/>
    <w:rsid w:val="00C9028F"/>
    <w:rsid w:val="00C90363"/>
    <w:rsid w:val="00C9111D"/>
    <w:rsid w:val="00C91C6D"/>
    <w:rsid w:val="00C920B2"/>
    <w:rsid w:val="00C939B3"/>
    <w:rsid w:val="00C94590"/>
    <w:rsid w:val="00C96F0E"/>
    <w:rsid w:val="00C971FA"/>
    <w:rsid w:val="00CA0B7A"/>
    <w:rsid w:val="00CA1B5C"/>
    <w:rsid w:val="00CA1FDA"/>
    <w:rsid w:val="00CA2166"/>
    <w:rsid w:val="00CA22CF"/>
    <w:rsid w:val="00CA3EA9"/>
    <w:rsid w:val="00CA3F2B"/>
    <w:rsid w:val="00CA4FD7"/>
    <w:rsid w:val="00CA5049"/>
    <w:rsid w:val="00CA5F58"/>
    <w:rsid w:val="00CA74E6"/>
    <w:rsid w:val="00CB0C85"/>
    <w:rsid w:val="00CB1F03"/>
    <w:rsid w:val="00CB2163"/>
    <w:rsid w:val="00CB24AF"/>
    <w:rsid w:val="00CB4061"/>
    <w:rsid w:val="00CB428E"/>
    <w:rsid w:val="00CB58FF"/>
    <w:rsid w:val="00CB6162"/>
    <w:rsid w:val="00CB6D57"/>
    <w:rsid w:val="00CB6DA7"/>
    <w:rsid w:val="00CB7544"/>
    <w:rsid w:val="00CB7804"/>
    <w:rsid w:val="00CB79A2"/>
    <w:rsid w:val="00CB7AF3"/>
    <w:rsid w:val="00CC1B30"/>
    <w:rsid w:val="00CC3617"/>
    <w:rsid w:val="00CC4C06"/>
    <w:rsid w:val="00CC57C0"/>
    <w:rsid w:val="00CD0871"/>
    <w:rsid w:val="00CD2421"/>
    <w:rsid w:val="00CD2B56"/>
    <w:rsid w:val="00CD403F"/>
    <w:rsid w:val="00CD408A"/>
    <w:rsid w:val="00CD532C"/>
    <w:rsid w:val="00CD6D69"/>
    <w:rsid w:val="00CD6EC9"/>
    <w:rsid w:val="00CD74FB"/>
    <w:rsid w:val="00CD7578"/>
    <w:rsid w:val="00CD7774"/>
    <w:rsid w:val="00CE016D"/>
    <w:rsid w:val="00CE0278"/>
    <w:rsid w:val="00CE0D13"/>
    <w:rsid w:val="00CE27FD"/>
    <w:rsid w:val="00CE2AEA"/>
    <w:rsid w:val="00CE2AF5"/>
    <w:rsid w:val="00CE3AD3"/>
    <w:rsid w:val="00CE3E5A"/>
    <w:rsid w:val="00CE3E86"/>
    <w:rsid w:val="00CE3F0E"/>
    <w:rsid w:val="00CE4BD9"/>
    <w:rsid w:val="00CE600D"/>
    <w:rsid w:val="00CE6041"/>
    <w:rsid w:val="00CE6369"/>
    <w:rsid w:val="00CE6BAD"/>
    <w:rsid w:val="00CE7BF1"/>
    <w:rsid w:val="00CE7BF3"/>
    <w:rsid w:val="00CF0B74"/>
    <w:rsid w:val="00CF14F9"/>
    <w:rsid w:val="00CF1711"/>
    <w:rsid w:val="00CF1F69"/>
    <w:rsid w:val="00CF2288"/>
    <w:rsid w:val="00CF3242"/>
    <w:rsid w:val="00CF3851"/>
    <w:rsid w:val="00CF4055"/>
    <w:rsid w:val="00CF4438"/>
    <w:rsid w:val="00CF46BC"/>
    <w:rsid w:val="00CF5149"/>
    <w:rsid w:val="00CF5C48"/>
    <w:rsid w:val="00CF5D4D"/>
    <w:rsid w:val="00CF5DD7"/>
    <w:rsid w:val="00CF5FDA"/>
    <w:rsid w:val="00CF6191"/>
    <w:rsid w:val="00CF6392"/>
    <w:rsid w:val="00CF735C"/>
    <w:rsid w:val="00CF7A81"/>
    <w:rsid w:val="00D01519"/>
    <w:rsid w:val="00D01C91"/>
    <w:rsid w:val="00D01FFC"/>
    <w:rsid w:val="00D03001"/>
    <w:rsid w:val="00D032F8"/>
    <w:rsid w:val="00D04E18"/>
    <w:rsid w:val="00D0579B"/>
    <w:rsid w:val="00D05AD6"/>
    <w:rsid w:val="00D06253"/>
    <w:rsid w:val="00D068A2"/>
    <w:rsid w:val="00D07869"/>
    <w:rsid w:val="00D07EC5"/>
    <w:rsid w:val="00D103BD"/>
    <w:rsid w:val="00D10F85"/>
    <w:rsid w:val="00D11497"/>
    <w:rsid w:val="00D1193F"/>
    <w:rsid w:val="00D13268"/>
    <w:rsid w:val="00D139B0"/>
    <w:rsid w:val="00D13C38"/>
    <w:rsid w:val="00D140C4"/>
    <w:rsid w:val="00D150EB"/>
    <w:rsid w:val="00D151CF"/>
    <w:rsid w:val="00D16E7A"/>
    <w:rsid w:val="00D1723D"/>
    <w:rsid w:val="00D17BB9"/>
    <w:rsid w:val="00D2150F"/>
    <w:rsid w:val="00D225CF"/>
    <w:rsid w:val="00D22D8F"/>
    <w:rsid w:val="00D2323F"/>
    <w:rsid w:val="00D2336E"/>
    <w:rsid w:val="00D23ACF"/>
    <w:rsid w:val="00D24782"/>
    <w:rsid w:val="00D24C5C"/>
    <w:rsid w:val="00D24CFA"/>
    <w:rsid w:val="00D25574"/>
    <w:rsid w:val="00D25BBE"/>
    <w:rsid w:val="00D26667"/>
    <w:rsid w:val="00D26E33"/>
    <w:rsid w:val="00D274D4"/>
    <w:rsid w:val="00D27F5F"/>
    <w:rsid w:val="00D30BD9"/>
    <w:rsid w:val="00D31842"/>
    <w:rsid w:val="00D324C8"/>
    <w:rsid w:val="00D32875"/>
    <w:rsid w:val="00D338C8"/>
    <w:rsid w:val="00D33CB7"/>
    <w:rsid w:val="00D33EE3"/>
    <w:rsid w:val="00D34D3F"/>
    <w:rsid w:val="00D35914"/>
    <w:rsid w:val="00D36187"/>
    <w:rsid w:val="00D361A9"/>
    <w:rsid w:val="00D36438"/>
    <w:rsid w:val="00D3799C"/>
    <w:rsid w:val="00D40F14"/>
    <w:rsid w:val="00D4150F"/>
    <w:rsid w:val="00D416EC"/>
    <w:rsid w:val="00D42ABB"/>
    <w:rsid w:val="00D42CDF"/>
    <w:rsid w:val="00D42D77"/>
    <w:rsid w:val="00D432D3"/>
    <w:rsid w:val="00D45686"/>
    <w:rsid w:val="00D45D78"/>
    <w:rsid w:val="00D465BB"/>
    <w:rsid w:val="00D4675A"/>
    <w:rsid w:val="00D46E35"/>
    <w:rsid w:val="00D47748"/>
    <w:rsid w:val="00D50934"/>
    <w:rsid w:val="00D512F6"/>
    <w:rsid w:val="00D51748"/>
    <w:rsid w:val="00D51F8A"/>
    <w:rsid w:val="00D537F9"/>
    <w:rsid w:val="00D53FBF"/>
    <w:rsid w:val="00D541F8"/>
    <w:rsid w:val="00D54F47"/>
    <w:rsid w:val="00D54FD0"/>
    <w:rsid w:val="00D55771"/>
    <w:rsid w:val="00D579D4"/>
    <w:rsid w:val="00D613BE"/>
    <w:rsid w:val="00D630C8"/>
    <w:rsid w:val="00D63275"/>
    <w:rsid w:val="00D6362D"/>
    <w:rsid w:val="00D63C83"/>
    <w:rsid w:val="00D64331"/>
    <w:rsid w:val="00D64D4A"/>
    <w:rsid w:val="00D653A7"/>
    <w:rsid w:val="00D6580C"/>
    <w:rsid w:val="00D65878"/>
    <w:rsid w:val="00D65EA4"/>
    <w:rsid w:val="00D66A4C"/>
    <w:rsid w:val="00D67411"/>
    <w:rsid w:val="00D676B1"/>
    <w:rsid w:val="00D67A38"/>
    <w:rsid w:val="00D67C14"/>
    <w:rsid w:val="00D712CC"/>
    <w:rsid w:val="00D71924"/>
    <w:rsid w:val="00D71D30"/>
    <w:rsid w:val="00D71F27"/>
    <w:rsid w:val="00D71F37"/>
    <w:rsid w:val="00D732EA"/>
    <w:rsid w:val="00D74F4D"/>
    <w:rsid w:val="00D7541C"/>
    <w:rsid w:val="00D75E35"/>
    <w:rsid w:val="00D77776"/>
    <w:rsid w:val="00D80630"/>
    <w:rsid w:val="00D80BEE"/>
    <w:rsid w:val="00D81402"/>
    <w:rsid w:val="00D81AF0"/>
    <w:rsid w:val="00D8250D"/>
    <w:rsid w:val="00D829DB"/>
    <w:rsid w:val="00D8345F"/>
    <w:rsid w:val="00D8409B"/>
    <w:rsid w:val="00D84792"/>
    <w:rsid w:val="00D84B4E"/>
    <w:rsid w:val="00D84B72"/>
    <w:rsid w:val="00D850A0"/>
    <w:rsid w:val="00D85897"/>
    <w:rsid w:val="00D860FE"/>
    <w:rsid w:val="00D8616B"/>
    <w:rsid w:val="00D8635B"/>
    <w:rsid w:val="00D86F14"/>
    <w:rsid w:val="00D90098"/>
    <w:rsid w:val="00D90262"/>
    <w:rsid w:val="00D902C0"/>
    <w:rsid w:val="00D90337"/>
    <w:rsid w:val="00D90869"/>
    <w:rsid w:val="00D90C50"/>
    <w:rsid w:val="00D91D89"/>
    <w:rsid w:val="00D925E6"/>
    <w:rsid w:val="00D92D58"/>
    <w:rsid w:val="00D92EE1"/>
    <w:rsid w:val="00D9301B"/>
    <w:rsid w:val="00D938FB"/>
    <w:rsid w:val="00D93CDB"/>
    <w:rsid w:val="00D93FE8"/>
    <w:rsid w:val="00D948D0"/>
    <w:rsid w:val="00D94C3C"/>
    <w:rsid w:val="00D959F2"/>
    <w:rsid w:val="00D9675F"/>
    <w:rsid w:val="00DA0255"/>
    <w:rsid w:val="00DA05DB"/>
    <w:rsid w:val="00DA0B75"/>
    <w:rsid w:val="00DA1189"/>
    <w:rsid w:val="00DA3535"/>
    <w:rsid w:val="00DA400A"/>
    <w:rsid w:val="00DA4631"/>
    <w:rsid w:val="00DA4797"/>
    <w:rsid w:val="00DA4D81"/>
    <w:rsid w:val="00DA5098"/>
    <w:rsid w:val="00DA594B"/>
    <w:rsid w:val="00DA5C25"/>
    <w:rsid w:val="00DA62B5"/>
    <w:rsid w:val="00DB01FE"/>
    <w:rsid w:val="00DB0F95"/>
    <w:rsid w:val="00DB1B36"/>
    <w:rsid w:val="00DB1D7D"/>
    <w:rsid w:val="00DB209F"/>
    <w:rsid w:val="00DB219F"/>
    <w:rsid w:val="00DB2A83"/>
    <w:rsid w:val="00DB3316"/>
    <w:rsid w:val="00DB353D"/>
    <w:rsid w:val="00DB4411"/>
    <w:rsid w:val="00DB5E84"/>
    <w:rsid w:val="00DB71D7"/>
    <w:rsid w:val="00DB78C5"/>
    <w:rsid w:val="00DC01B5"/>
    <w:rsid w:val="00DC1EAD"/>
    <w:rsid w:val="00DC3D0B"/>
    <w:rsid w:val="00DC40EA"/>
    <w:rsid w:val="00DC455B"/>
    <w:rsid w:val="00DC48D9"/>
    <w:rsid w:val="00DC568F"/>
    <w:rsid w:val="00DC5C0A"/>
    <w:rsid w:val="00DC5C65"/>
    <w:rsid w:val="00DD01D1"/>
    <w:rsid w:val="00DD1189"/>
    <w:rsid w:val="00DD2379"/>
    <w:rsid w:val="00DD3472"/>
    <w:rsid w:val="00DD5869"/>
    <w:rsid w:val="00DD60A9"/>
    <w:rsid w:val="00DD7B33"/>
    <w:rsid w:val="00DE177E"/>
    <w:rsid w:val="00DE1F96"/>
    <w:rsid w:val="00DE2D83"/>
    <w:rsid w:val="00DE3696"/>
    <w:rsid w:val="00DE5307"/>
    <w:rsid w:val="00DE5517"/>
    <w:rsid w:val="00DE637D"/>
    <w:rsid w:val="00DE6644"/>
    <w:rsid w:val="00DE66E5"/>
    <w:rsid w:val="00DE6828"/>
    <w:rsid w:val="00DE69D8"/>
    <w:rsid w:val="00DE6B87"/>
    <w:rsid w:val="00DE6DE2"/>
    <w:rsid w:val="00DF0029"/>
    <w:rsid w:val="00DF10EB"/>
    <w:rsid w:val="00DF285A"/>
    <w:rsid w:val="00DF2D35"/>
    <w:rsid w:val="00DF3C72"/>
    <w:rsid w:val="00DF3DE3"/>
    <w:rsid w:val="00DF555E"/>
    <w:rsid w:val="00DF6C3B"/>
    <w:rsid w:val="00E014C3"/>
    <w:rsid w:val="00E01A31"/>
    <w:rsid w:val="00E01FDE"/>
    <w:rsid w:val="00E01FE8"/>
    <w:rsid w:val="00E02420"/>
    <w:rsid w:val="00E0264E"/>
    <w:rsid w:val="00E02F48"/>
    <w:rsid w:val="00E032EA"/>
    <w:rsid w:val="00E04F6F"/>
    <w:rsid w:val="00E0607C"/>
    <w:rsid w:val="00E07669"/>
    <w:rsid w:val="00E07D86"/>
    <w:rsid w:val="00E10067"/>
    <w:rsid w:val="00E1007B"/>
    <w:rsid w:val="00E10880"/>
    <w:rsid w:val="00E11CAC"/>
    <w:rsid w:val="00E11F1C"/>
    <w:rsid w:val="00E12CA8"/>
    <w:rsid w:val="00E133AC"/>
    <w:rsid w:val="00E14658"/>
    <w:rsid w:val="00E161EF"/>
    <w:rsid w:val="00E17D33"/>
    <w:rsid w:val="00E20592"/>
    <w:rsid w:val="00E216A7"/>
    <w:rsid w:val="00E224C6"/>
    <w:rsid w:val="00E226E1"/>
    <w:rsid w:val="00E22F50"/>
    <w:rsid w:val="00E23159"/>
    <w:rsid w:val="00E24706"/>
    <w:rsid w:val="00E24807"/>
    <w:rsid w:val="00E2557C"/>
    <w:rsid w:val="00E25F6C"/>
    <w:rsid w:val="00E270DB"/>
    <w:rsid w:val="00E27C1B"/>
    <w:rsid w:val="00E27D4A"/>
    <w:rsid w:val="00E27F5E"/>
    <w:rsid w:val="00E30A0B"/>
    <w:rsid w:val="00E31464"/>
    <w:rsid w:val="00E31816"/>
    <w:rsid w:val="00E32A99"/>
    <w:rsid w:val="00E33044"/>
    <w:rsid w:val="00E33A54"/>
    <w:rsid w:val="00E34D76"/>
    <w:rsid w:val="00E35084"/>
    <w:rsid w:val="00E3564C"/>
    <w:rsid w:val="00E35A7C"/>
    <w:rsid w:val="00E35CAE"/>
    <w:rsid w:val="00E363D1"/>
    <w:rsid w:val="00E363E4"/>
    <w:rsid w:val="00E37165"/>
    <w:rsid w:val="00E377ED"/>
    <w:rsid w:val="00E37AA1"/>
    <w:rsid w:val="00E40116"/>
    <w:rsid w:val="00E40AF7"/>
    <w:rsid w:val="00E40B67"/>
    <w:rsid w:val="00E41D62"/>
    <w:rsid w:val="00E42007"/>
    <w:rsid w:val="00E425EF"/>
    <w:rsid w:val="00E42B29"/>
    <w:rsid w:val="00E42EFD"/>
    <w:rsid w:val="00E43364"/>
    <w:rsid w:val="00E43A77"/>
    <w:rsid w:val="00E4409A"/>
    <w:rsid w:val="00E445DF"/>
    <w:rsid w:val="00E44BC9"/>
    <w:rsid w:val="00E44D1E"/>
    <w:rsid w:val="00E44F79"/>
    <w:rsid w:val="00E45111"/>
    <w:rsid w:val="00E45660"/>
    <w:rsid w:val="00E45D2D"/>
    <w:rsid w:val="00E467F2"/>
    <w:rsid w:val="00E46E25"/>
    <w:rsid w:val="00E46FFF"/>
    <w:rsid w:val="00E47F0B"/>
    <w:rsid w:val="00E5024D"/>
    <w:rsid w:val="00E50613"/>
    <w:rsid w:val="00E50C2B"/>
    <w:rsid w:val="00E520CE"/>
    <w:rsid w:val="00E524C0"/>
    <w:rsid w:val="00E528B3"/>
    <w:rsid w:val="00E53880"/>
    <w:rsid w:val="00E53963"/>
    <w:rsid w:val="00E53B28"/>
    <w:rsid w:val="00E543A3"/>
    <w:rsid w:val="00E543EF"/>
    <w:rsid w:val="00E55FDB"/>
    <w:rsid w:val="00E5685C"/>
    <w:rsid w:val="00E569A9"/>
    <w:rsid w:val="00E56F54"/>
    <w:rsid w:val="00E570DB"/>
    <w:rsid w:val="00E57679"/>
    <w:rsid w:val="00E60929"/>
    <w:rsid w:val="00E61003"/>
    <w:rsid w:val="00E61012"/>
    <w:rsid w:val="00E620AD"/>
    <w:rsid w:val="00E66C0B"/>
    <w:rsid w:val="00E66D23"/>
    <w:rsid w:val="00E679B6"/>
    <w:rsid w:val="00E703A5"/>
    <w:rsid w:val="00E70BAF"/>
    <w:rsid w:val="00E70D1B"/>
    <w:rsid w:val="00E70D7B"/>
    <w:rsid w:val="00E70FBF"/>
    <w:rsid w:val="00E7156B"/>
    <w:rsid w:val="00E71F1C"/>
    <w:rsid w:val="00E72236"/>
    <w:rsid w:val="00E724FD"/>
    <w:rsid w:val="00E72683"/>
    <w:rsid w:val="00E72B32"/>
    <w:rsid w:val="00E73539"/>
    <w:rsid w:val="00E7378A"/>
    <w:rsid w:val="00E74BEF"/>
    <w:rsid w:val="00E751A0"/>
    <w:rsid w:val="00E75E0C"/>
    <w:rsid w:val="00E76200"/>
    <w:rsid w:val="00E7735E"/>
    <w:rsid w:val="00E774B3"/>
    <w:rsid w:val="00E81802"/>
    <w:rsid w:val="00E81A48"/>
    <w:rsid w:val="00E82789"/>
    <w:rsid w:val="00E83323"/>
    <w:rsid w:val="00E836F4"/>
    <w:rsid w:val="00E83A02"/>
    <w:rsid w:val="00E842DE"/>
    <w:rsid w:val="00E84FEE"/>
    <w:rsid w:val="00E85B50"/>
    <w:rsid w:val="00E86351"/>
    <w:rsid w:val="00E87A6B"/>
    <w:rsid w:val="00E90799"/>
    <w:rsid w:val="00E90EA2"/>
    <w:rsid w:val="00E913AE"/>
    <w:rsid w:val="00E92DA4"/>
    <w:rsid w:val="00E93007"/>
    <w:rsid w:val="00E93E45"/>
    <w:rsid w:val="00E94450"/>
    <w:rsid w:val="00E94AEE"/>
    <w:rsid w:val="00E94E29"/>
    <w:rsid w:val="00E950D6"/>
    <w:rsid w:val="00E969E1"/>
    <w:rsid w:val="00EA0793"/>
    <w:rsid w:val="00EA0B4B"/>
    <w:rsid w:val="00EA1362"/>
    <w:rsid w:val="00EA140A"/>
    <w:rsid w:val="00EA1467"/>
    <w:rsid w:val="00EA14F1"/>
    <w:rsid w:val="00EA2133"/>
    <w:rsid w:val="00EA2794"/>
    <w:rsid w:val="00EA300E"/>
    <w:rsid w:val="00EA4CF9"/>
    <w:rsid w:val="00EA5CD4"/>
    <w:rsid w:val="00EA747F"/>
    <w:rsid w:val="00EB0D32"/>
    <w:rsid w:val="00EB2E48"/>
    <w:rsid w:val="00EB5DF3"/>
    <w:rsid w:val="00EB70D3"/>
    <w:rsid w:val="00EB71FC"/>
    <w:rsid w:val="00EC00F4"/>
    <w:rsid w:val="00EC0B6A"/>
    <w:rsid w:val="00EC16D1"/>
    <w:rsid w:val="00EC1FEB"/>
    <w:rsid w:val="00EC2472"/>
    <w:rsid w:val="00EC2A7E"/>
    <w:rsid w:val="00EC374C"/>
    <w:rsid w:val="00EC7066"/>
    <w:rsid w:val="00EC7121"/>
    <w:rsid w:val="00EC7EDA"/>
    <w:rsid w:val="00ED1C7A"/>
    <w:rsid w:val="00ED1C95"/>
    <w:rsid w:val="00ED2CF3"/>
    <w:rsid w:val="00ED2FBA"/>
    <w:rsid w:val="00ED3D6C"/>
    <w:rsid w:val="00ED442D"/>
    <w:rsid w:val="00ED5505"/>
    <w:rsid w:val="00ED5585"/>
    <w:rsid w:val="00ED71B9"/>
    <w:rsid w:val="00ED7DAB"/>
    <w:rsid w:val="00EE01AA"/>
    <w:rsid w:val="00EE10A1"/>
    <w:rsid w:val="00EE1B55"/>
    <w:rsid w:val="00EE233C"/>
    <w:rsid w:val="00EE3B3A"/>
    <w:rsid w:val="00EE41D8"/>
    <w:rsid w:val="00EE444E"/>
    <w:rsid w:val="00EE5405"/>
    <w:rsid w:val="00EE57AA"/>
    <w:rsid w:val="00EE589F"/>
    <w:rsid w:val="00EE63D8"/>
    <w:rsid w:val="00EE6820"/>
    <w:rsid w:val="00EE6EA6"/>
    <w:rsid w:val="00EE6EAD"/>
    <w:rsid w:val="00EE7773"/>
    <w:rsid w:val="00EF0741"/>
    <w:rsid w:val="00EF0CFA"/>
    <w:rsid w:val="00EF123B"/>
    <w:rsid w:val="00EF2116"/>
    <w:rsid w:val="00EF2149"/>
    <w:rsid w:val="00EF23F1"/>
    <w:rsid w:val="00EF2E3E"/>
    <w:rsid w:val="00EF30CA"/>
    <w:rsid w:val="00EF3227"/>
    <w:rsid w:val="00EF3FB2"/>
    <w:rsid w:val="00EF400B"/>
    <w:rsid w:val="00EF770C"/>
    <w:rsid w:val="00EF79A3"/>
    <w:rsid w:val="00EF7E9E"/>
    <w:rsid w:val="00F000F3"/>
    <w:rsid w:val="00F001FA"/>
    <w:rsid w:val="00F01E64"/>
    <w:rsid w:val="00F023A1"/>
    <w:rsid w:val="00F041DC"/>
    <w:rsid w:val="00F04D1F"/>
    <w:rsid w:val="00F05515"/>
    <w:rsid w:val="00F056D7"/>
    <w:rsid w:val="00F05B0A"/>
    <w:rsid w:val="00F05CB7"/>
    <w:rsid w:val="00F06602"/>
    <w:rsid w:val="00F06B2B"/>
    <w:rsid w:val="00F11004"/>
    <w:rsid w:val="00F11446"/>
    <w:rsid w:val="00F120EF"/>
    <w:rsid w:val="00F129F7"/>
    <w:rsid w:val="00F12FF8"/>
    <w:rsid w:val="00F14751"/>
    <w:rsid w:val="00F154F0"/>
    <w:rsid w:val="00F15886"/>
    <w:rsid w:val="00F15E7C"/>
    <w:rsid w:val="00F178AE"/>
    <w:rsid w:val="00F1793A"/>
    <w:rsid w:val="00F214D3"/>
    <w:rsid w:val="00F215EE"/>
    <w:rsid w:val="00F21D32"/>
    <w:rsid w:val="00F228EB"/>
    <w:rsid w:val="00F23754"/>
    <w:rsid w:val="00F240C3"/>
    <w:rsid w:val="00F24461"/>
    <w:rsid w:val="00F244D6"/>
    <w:rsid w:val="00F24F9D"/>
    <w:rsid w:val="00F250CA"/>
    <w:rsid w:val="00F25215"/>
    <w:rsid w:val="00F25A25"/>
    <w:rsid w:val="00F2726B"/>
    <w:rsid w:val="00F2759A"/>
    <w:rsid w:val="00F27AEA"/>
    <w:rsid w:val="00F31E80"/>
    <w:rsid w:val="00F3203B"/>
    <w:rsid w:val="00F324B6"/>
    <w:rsid w:val="00F34719"/>
    <w:rsid w:val="00F34822"/>
    <w:rsid w:val="00F35C31"/>
    <w:rsid w:val="00F35DA8"/>
    <w:rsid w:val="00F36358"/>
    <w:rsid w:val="00F4012A"/>
    <w:rsid w:val="00F40A4D"/>
    <w:rsid w:val="00F41351"/>
    <w:rsid w:val="00F4247D"/>
    <w:rsid w:val="00F427B0"/>
    <w:rsid w:val="00F42F23"/>
    <w:rsid w:val="00F42F70"/>
    <w:rsid w:val="00F4323A"/>
    <w:rsid w:val="00F45559"/>
    <w:rsid w:val="00F45A97"/>
    <w:rsid w:val="00F46258"/>
    <w:rsid w:val="00F4725C"/>
    <w:rsid w:val="00F474E6"/>
    <w:rsid w:val="00F47E8E"/>
    <w:rsid w:val="00F50024"/>
    <w:rsid w:val="00F50D49"/>
    <w:rsid w:val="00F50F8A"/>
    <w:rsid w:val="00F515EE"/>
    <w:rsid w:val="00F516E7"/>
    <w:rsid w:val="00F51C9C"/>
    <w:rsid w:val="00F526DB"/>
    <w:rsid w:val="00F52A99"/>
    <w:rsid w:val="00F53863"/>
    <w:rsid w:val="00F548AB"/>
    <w:rsid w:val="00F54BB9"/>
    <w:rsid w:val="00F550F7"/>
    <w:rsid w:val="00F5572B"/>
    <w:rsid w:val="00F558FF"/>
    <w:rsid w:val="00F55C8C"/>
    <w:rsid w:val="00F55DCB"/>
    <w:rsid w:val="00F573DC"/>
    <w:rsid w:val="00F57E8F"/>
    <w:rsid w:val="00F619E6"/>
    <w:rsid w:val="00F628A2"/>
    <w:rsid w:val="00F62F86"/>
    <w:rsid w:val="00F64029"/>
    <w:rsid w:val="00F6407E"/>
    <w:rsid w:val="00F64D01"/>
    <w:rsid w:val="00F65382"/>
    <w:rsid w:val="00F66893"/>
    <w:rsid w:val="00F671FD"/>
    <w:rsid w:val="00F700CB"/>
    <w:rsid w:val="00F7049B"/>
    <w:rsid w:val="00F71394"/>
    <w:rsid w:val="00F71E66"/>
    <w:rsid w:val="00F721BD"/>
    <w:rsid w:val="00F72AE8"/>
    <w:rsid w:val="00F74004"/>
    <w:rsid w:val="00F74E27"/>
    <w:rsid w:val="00F75017"/>
    <w:rsid w:val="00F75500"/>
    <w:rsid w:val="00F759DC"/>
    <w:rsid w:val="00F77B45"/>
    <w:rsid w:val="00F820CF"/>
    <w:rsid w:val="00F835F4"/>
    <w:rsid w:val="00F84EC6"/>
    <w:rsid w:val="00F85025"/>
    <w:rsid w:val="00F853CB"/>
    <w:rsid w:val="00F860DE"/>
    <w:rsid w:val="00F863DE"/>
    <w:rsid w:val="00F87F19"/>
    <w:rsid w:val="00F90822"/>
    <w:rsid w:val="00F9267B"/>
    <w:rsid w:val="00F936D3"/>
    <w:rsid w:val="00F93D50"/>
    <w:rsid w:val="00F93FB0"/>
    <w:rsid w:val="00F947FD"/>
    <w:rsid w:val="00F94C4D"/>
    <w:rsid w:val="00F94F61"/>
    <w:rsid w:val="00F96F2D"/>
    <w:rsid w:val="00F97691"/>
    <w:rsid w:val="00F977DD"/>
    <w:rsid w:val="00F9788F"/>
    <w:rsid w:val="00FA0EC5"/>
    <w:rsid w:val="00FA2447"/>
    <w:rsid w:val="00FA2AA3"/>
    <w:rsid w:val="00FA3399"/>
    <w:rsid w:val="00FA41A5"/>
    <w:rsid w:val="00FA44DB"/>
    <w:rsid w:val="00FA50EB"/>
    <w:rsid w:val="00FA5C4E"/>
    <w:rsid w:val="00FA5E93"/>
    <w:rsid w:val="00FA6ACA"/>
    <w:rsid w:val="00FA7793"/>
    <w:rsid w:val="00FA7EE5"/>
    <w:rsid w:val="00FB084A"/>
    <w:rsid w:val="00FB1007"/>
    <w:rsid w:val="00FB29AA"/>
    <w:rsid w:val="00FB3114"/>
    <w:rsid w:val="00FB3CCE"/>
    <w:rsid w:val="00FB4245"/>
    <w:rsid w:val="00FB44AD"/>
    <w:rsid w:val="00FB46E7"/>
    <w:rsid w:val="00FB497B"/>
    <w:rsid w:val="00FB5719"/>
    <w:rsid w:val="00FB57CD"/>
    <w:rsid w:val="00FB62E7"/>
    <w:rsid w:val="00FB637A"/>
    <w:rsid w:val="00FB68C5"/>
    <w:rsid w:val="00FB78C2"/>
    <w:rsid w:val="00FB7A18"/>
    <w:rsid w:val="00FB7E44"/>
    <w:rsid w:val="00FC1066"/>
    <w:rsid w:val="00FC2C4F"/>
    <w:rsid w:val="00FC2D23"/>
    <w:rsid w:val="00FC333F"/>
    <w:rsid w:val="00FC3E14"/>
    <w:rsid w:val="00FC43E0"/>
    <w:rsid w:val="00FC709A"/>
    <w:rsid w:val="00FC76A7"/>
    <w:rsid w:val="00FC7ECC"/>
    <w:rsid w:val="00FD0033"/>
    <w:rsid w:val="00FD0C3F"/>
    <w:rsid w:val="00FD29B7"/>
    <w:rsid w:val="00FD3616"/>
    <w:rsid w:val="00FD3FEC"/>
    <w:rsid w:val="00FD4423"/>
    <w:rsid w:val="00FD4A9C"/>
    <w:rsid w:val="00FD5508"/>
    <w:rsid w:val="00FD5DD7"/>
    <w:rsid w:val="00FD6D1B"/>
    <w:rsid w:val="00FD6D59"/>
    <w:rsid w:val="00FD7B28"/>
    <w:rsid w:val="00FD7C46"/>
    <w:rsid w:val="00FE0284"/>
    <w:rsid w:val="00FE048C"/>
    <w:rsid w:val="00FE055C"/>
    <w:rsid w:val="00FE0C2D"/>
    <w:rsid w:val="00FE1291"/>
    <w:rsid w:val="00FE1FCA"/>
    <w:rsid w:val="00FE2903"/>
    <w:rsid w:val="00FE327B"/>
    <w:rsid w:val="00FE3440"/>
    <w:rsid w:val="00FE600F"/>
    <w:rsid w:val="00FE69F1"/>
    <w:rsid w:val="00FF079F"/>
    <w:rsid w:val="00FF0BDE"/>
    <w:rsid w:val="00FF215C"/>
    <w:rsid w:val="00FF36AC"/>
    <w:rsid w:val="00FF37AE"/>
    <w:rsid w:val="00FF3B82"/>
    <w:rsid w:val="00FF3C2D"/>
    <w:rsid w:val="00FF3F54"/>
    <w:rsid w:val="00FF402D"/>
    <w:rsid w:val="00FF41AB"/>
    <w:rsid w:val="00FF53DF"/>
    <w:rsid w:val="00FF745B"/>
    <w:rsid w:val="03B56CB0"/>
    <w:rsid w:val="079A0CFC"/>
    <w:rsid w:val="0F06752C"/>
    <w:rsid w:val="11C0527A"/>
    <w:rsid w:val="12B77D4E"/>
    <w:rsid w:val="18464EFE"/>
    <w:rsid w:val="1D424280"/>
    <w:rsid w:val="203312B1"/>
    <w:rsid w:val="206B3CAE"/>
    <w:rsid w:val="218D741C"/>
    <w:rsid w:val="22E9240E"/>
    <w:rsid w:val="23FB34EC"/>
    <w:rsid w:val="26AC18FF"/>
    <w:rsid w:val="272A10DC"/>
    <w:rsid w:val="27510301"/>
    <w:rsid w:val="2A1111F8"/>
    <w:rsid w:val="2AE412F9"/>
    <w:rsid w:val="2B691E5C"/>
    <w:rsid w:val="2E39231C"/>
    <w:rsid w:val="30F6129B"/>
    <w:rsid w:val="33886BC3"/>
    <w:rsid w:val="339F6F6F"/>
    <w:rsid w:val="36722CB2"/>
    <w:rsid w:val="3B143E6F"/>
    <w:rsid w:val="3E1619D3"/>
    <w:rsid w:val="3F431152"/>
    <w:rsid w:val="40C6737B"/>
    <w:rsid w:val="41911A31"/>
    <w:rsid w:val="43E350B0"/>
    <w:rsid w:val="48A403CC"/>
    <w:rsid w:val="493C4382"/>
    <w:rsid w:val="4BEE2CE0"/>
    <w:rsid w:val="50A576B2"/>
    <w:rsid w:val="53E76236"/>
    <w:rsid w:val="5465491A"/>
    <w:rsid w:val="548D63DA"/>
    <w:rsid w:val="5B42630F"/>
    <w:rsid w:val="5C1E5126"/>
    <w:rsid w:val="61550152"/>
    <w:rsid w:val="66CB5CD7"/>
    <w:rsid w:val="6D185E01"/>
    <w:rsid w:val="6DDB6257"/>
    <w:rsid w:val="6DE76983"/>
    <w:rsid w:val="70596F6A"/>
    <w:rsid w:val="71112F38"/>
    <w:rsid w:val="7238752D"/>
    <w:rsid w:val="73450F93"/>
    <w:rsid w:val="79565B20"/>
    <w:rsid w:val="7DD0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9"/>
    <w:pPr>
      <w:spacing w:before="120" w:after="260" w:line="400" w:lineRule="exact"/>
      <w:outlineLvl w:val="2"/>
    </w:pPr>
    <w:rPr>
      <w:rFonts w:ascii="Times New Roman" w:hAnsi="Times New Roman"/>
      <w:b/>
      <w:bCs/>
      <w:szCs w:val="32"/>
    </w:rPr>
  </w:style>
  <w:style w:type="paragraph" w:styleId="5">
    <w:name w:val="heading 4"/>
    <w:basedOn w:val="1"/>
    <w:next w:val="1"/>
    <w:link w:val="5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60"/>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61"/>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62"/>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napToGrid/>
      <w:spacing w:line="312" w:lineRule="auto"/>
      <w:ind w:left="1260" w:firstLine="200" w:firstLineChars="200"/>
      <w:jc w:val="left"/>
    </w:pPr>
    <w:rPr>
      <w:rFonts w:ascii="Calibri" w:hAnsi="Calibri" w:eastAsia="宋体" w:cs="Times New Roman"/>
      <w:sz w:val="18"/>
      <w:szCs w:val="18"/>
    </w:rPr>
  </w:style>
  <w:style w:type="paragraph" w:styleId="12">
    <w:name w:val="Normal Indent"/>
    <w:basedOn w:val="1"/>
    <w:qFormat/>
    <w:uiPriority w:val="0"/>
    <w:pPr>
      <w:adjustRightInd/>
      <w:snapToGrid/>
      <w:spacing w:line="240" w:lineRule="atLeast"/>
      <w:jc w:val="center"/>
    </w:pPr>
    <w:rPr>
      <w:rFonts w:ascii="Times New Roman" w:hAnsi="Times New Roman" w:eastAsia="宋体" w:cs="Times New Roman"/>
      <w:sz w:val="24"/>
      <w:szCs w:val="20"/>
    </w:rPr>
  </w:style>
  <w:style w:type="paragraph" w:styleId="13">
    <w:name w:val="caption"/>
    <w:basedOn w:val="1"/>
    <w:next w:val="1"/>
    <w:qFormat/>
    <w:uiPriority w:val="0"/>
    <w:pPr>
      <w:adjustRightInd/>
      <w:snapToGrid/>
      <w:spacing w:beforeLines="50" w:afterLines="50"/>
      <w:jc w:val="center"/>
    </w:pPr>
    <w:rPr>
      <w:rFonts w:ascii="Cambria" w:hAnsi="Cambria" w:eastAsia="宋体" w:cs="Times New Roman"/>
      <w:szCs w:val="20"/>
    </w:rPr>
  </w:style>
  <w:style w:type="paragraph" w:styleId="14">
    <w:name w:val="Document Map"/>
    <w:basedOn w:val="1"/>
    <w:link w:val="95"/>
    <w:unhideWhenUsed/>
    <w:qFormat/>
    <w:uiPriority w:val="0"/>
    <w:pPr>
      <w:adjustRightInd/>
      <w:snapToGrid/>
      <w:spacing w:line="312" w:lineRule="auto"/>
      <w:ind w:firstLine="200" w:firstLineChars="200"/>
    </w:pPr>
    <w:rPr>
      <w:rFonts w:ascii="宋体" w:hAnsi="Times New Roman" w:eastAsia="宋体" w:cs="Times New Roman"/>
      <w:sz w:val="18"/>
      <w:szCs w:val="18"/>
    </w:rPr>
  </w:style>
  <w:style w:type="paragraph" w:styleId="15">
    <w:name w:val="annotation text"/>
    <w:basedOn w:val="1"/>
    <w:link w:val="75"/>
    <w:unhideWhenUsed/>
    <w:qFormat/>
    <w:uiPriority w:val="99"/>
    <w:pPr>
      <w:jc w:val="left"/>
    </w:pPr>
  </w:style>
  <w:style w:type="paragraph" w:styleId="16">
    <w:name w:val="Body Text"/>
    <w:basedOn w:val="1"/>
    <w:link w:val="93"/>
    <w:unhideWhenUsed/>
    <w:qFormat/>
    <w:uiPriority w:val="99"/>
    <w:pPr>
      <w:adjustRightInd/>
      <w:snapToGrid/>
      <w:spacing w:after="120" w:line="312" w:lineRule="auto"/>
      <w:ind w:firstLine="200" w:firstLineChars="200"/>
    </w:pPr>
    <w:rPr>
      <w:rFonts w:ascii="Times New Roman" w:hAnsi="Times New Roman" w:eastAsia="宋体" w:cs="Times New Roman"/>
      <w:sz w:val="24"/>
      <w:szCs w:val="24"/>
    </w:rPr>
  </w:style>
  <w:style w:type="paragraph" w:styleId="17">
    <w:name w:val="Body Text Indent"/>
    <w:basedOn w:val="1"/>
    <w:link w:val="96"/>
    <w:qFormat/>
    <w:uiPriority w:val="0"/>
    <w:pPr>
      <w:adjustRightInd/>
      <w:snapToGrid/>
      <w:ind w:firstLine="420" w:firstLineChars="200"/>
    </w:pPr>
    <w:rPr>
      <w:rFonts w:ascii="Times New Roman" w:hAnsi="Times New Roman" w:eastAsia="宋体" w:cs="Times New Roman"/>
      <w:sz w:val="24"/>
      <w:szCs w:val="24"/>
    </w:rPr>
  </w:style>
  <w:style w:type="paragraph" w:styleId="18">
    <w:name w:val="List Continue"/>
    <w:basedOn w:val="1"/>
    <w:qFormat/>
    <w:uiPriority w:val="0"/>
    <w:pPr>
      <w:adjustRightInd/>
      <w:snapToGrid/>
      <w:spacing w:after="120"/>
      <w:ind w:left="420" w:leftChars="200"/>
    </w:pPr>
    <w:rPr>
      <w:rFonts w:ascii="Times New Roman" w:hAnsi="Times New Roman" w:eastAsia="宋体" w:cs="Times New Roman"/>
      <w:szCs w:val="24"/>
    </w:rPr>
  </w:style>
  <w:style w:type="paragraph" w:styleId="19">
    <w:name w:val="toc 5"/>
    <w:basedOn w:val="1"/>
    <w:next w:val="1"/>
    <w:unhideWhenUsed/>
    <w:qFormat/>
    <w:uiPriority w:val="39"/>
    <w:pPr>
      <w:adjustRightInd/>
      <w:snapToGrid/>
      <w:spacing w:line="312" w:lineRule="auto"/>
      <w:ind w:left="840" w:firstLine="200" w:firstLineChars="200"/>
      <w:jc w:val="left"/>
    </w:pPr>
    <w:rPr>
      <w:rFonts w:ascii="Calibri" w:hAnsi="Calibri" w:eastAsia="宋体" w:cs="Times New Roman"/>
      <w:sz w:val="18"/>
      <w:szCs w:val="18"/>
    </w:rPr>
  </w:style>
  <w:style w:type="paragraph" w:styleId="20">
    <w:name w:val="toc 3"/>
    <w:basedOn w:val="1"/>
    <w:next w:val="1"/>
    <w:unhideWhenUsed/>
    <w:qFormat/>
    <w:uiPriority w:val="39"/>
    <w:pPr>
      <w:ind w:left="840" w:leftChars="400"/>
    </w:pPr>
  </w:style>
  <w:style w:type="paragraph" w:styleId="21">
    <w:name w:val="Plain Text"/>
    <w:basedOn w:val="1"/>
    <w:link w:val="65"/>
    <w:qFormat/>
    <w:uiPriority w:val="0"/>
    <w:rPr>
      <w:rFonts w:ascii="宋体" w:hAnsi="Courier New" w:eastAsia="宋体" w:cs="Courier New"/>
      <w:szCs w:val="21"/>
    </w:rPr>
  </w:style>
  <w:style w:type="paragraph" w:styleId="22">
    <w:name w:val="toc 8"/>
    <w:basedOn w:val="1"/>
    <w:next w:val="1"/>
    <w:unhideWhenUsed/>
    <w:qFormat/>
    <w:uiPriority w:val="39"/>
    <w:pPr>
      <w:adjustRightInd/>
      <w:snapToGrid/>
      <w:spacing w:line="312" w:lineRule="auto"/>
      <w:ind w:left="1470" w:firstLine="200" w:firstLineChars="200"/>
      <w:jc w:val="left"/>
    </w:pPr>
    <w:rPr>
      <w:rFonts w:ascii="Calibri" w:hAnsi="Calibri" w:eastAsia="宋体" w:cs="Times New Roman"/>
      <w:sz w:val="18"/>
      <w:szCs w:val="18"/>
    </w:rPr>
  </w:style>
  <w:style w:type="paragraph" w:styleId="23">
    <w:name w:val="Date"/>
    <w:basedOn w:val="1"/>
    <w:next w:val="1"/>
    <w:link w:val="91"/>
    <w:unhideWhenUsed/>
    <w:qFormat/>
    <w:uiPriority w:val="99"/>
    <w:pPr>
      <w:ind w:left="100" w:leftChars="2500"/>
    </w:pPr>
  </w:style>
  <w:style w:type="paragraph" w:styleId="24">
    <w:name w:val="Body Text Indent 2"/>
    <w:basedOn w:val="1"/>
    <w:link w:val="97"/>
    <w:unhideWhenUsed/>
    <w:qFormat/>
    <w:uiPriority w:val="0"/>
    <w:pPr>
      <w:adjustRightInd/>
      <w:snapToGrid/>
      <w:spacing w:after="120" w:line="480" w:lineRule="auto"/>
      <w:ind w:left="420" w:leftChars="200" w:firstLine="200" w:firstLineChars="200"/>
    </w:pPr>
    <w:rPr>
      <w:rFonts w:ascii="Times New Roman" w:hAnsi="Times New Roman" w:eastAsia="宋体" w:cs="Times New Roman"/>
      <w:sz w:val="24"/>
      <w:szCs w:val="24"/>
    </w:rPr>
  </w:style>
  <w:style w:type="paragraph" w:styleId="25">
    <w:name w:val="Balloon Text"/>
    <w:basedOn w:val="1"/>
    <w:link w:val="69"/>
    <w:unhideWhenUsed/>
    <w:qFormat/>
    <w:uiPriority w:val="99"/>
    <w:rPr>
      <w:sz w:val="18"/>
      <w:szCs w:val="18"/>
    </w:rPr>
  </w:style>
  <w:style w:type="paragraph" w:styleId="26">
    <w:name w:val="footer"/>
    <w:basedOn w:val="1"/>
    <w:link w:val="64"/>
    <w:unhideWhenUsed/>
    <w:qFormat/>
    <w:uiPriority w:val="99"/>
    <w:pPr>
      <w:tabs>
        <w:tab w:val="center" w:pos="4153"/>
        <w:tab w:val="right" w:pos="8306"/>
      </w:tabs>
      <w:jc w:val="left"/>
    </w:pPr>
    <w:rPr>
      <w:sz w:val="18"/>
      <w:szCs w:val="18"/>
    </w:rPr>
  </w:style>
  <w:style w:type="paragraph" w:styleId="27">
    <w:name w:val="header"/>
    <w:basedOn w:val="1"/>
    <w:link w:val="63"/>
    <w:unhideWhenUsed/>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adjustRightInd/>
      <w:snapToGrid/>
      <w:spacing w:line="312" w:lineRule="auto"/>
      <w:ind w:left="630" w:firstLine="200" w:firstLineChars="200"/>
      <w:jc w:val="left"/>
    </w:pPr>
    <w:rPr>
      <w:rFonts w:ascii="Calibri" w:hAnsi="Calibri" w:eastAsia="宋体" w:cs="Times New Roman"/>
      <w:sz w:val="18"/>
      <w:szCs w:val="18"/>
    </w:rPr>
  </w:style>
  <w:style w:type="paragraph" w:styleId="30">
    <w:name w:val="Subtitle"/>
    <w:basedOn w:val="1"/>
    <w:next w:val="1"/>
    <w:link w:val="7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1">
    <w:name w:val="List"/>
    <w:basedOn w:val="1"/>
    <w:qFormat/>
    <w:uiPriority w:val="0"/>
    <w:pPr>
      <w:ind w:left="200" w:hanging="200" w:hangingChars="200"/>
    </w:pPr>
    <w:rPr>
      <w:rFonts w:ascii="Times New Roman" w:hAnsi="Times New Roman" w:eastAsia="宋体" w:cs="Times New Roman"/>
      <w:szCs w:val="24"/>
    </w:rPr>
  </w:style>
  <w:style w:type="paragraph" w:styleId="32">
    <w:name w:val="footnote text"/>
    <w:basedOn w:val="1"/>
    <w:link w:val="98"/>
    <w:unhideWhenUsed/>
    <w:qFormat/>
    <w:uiPriority w:val="99"/>
    <w:pPr>
      <w:adjustRightInd/>
      <w:spacing w:line="312" w:lineRule="auto"/>
      <w:ind w:firstLine="200" w:firstLineChars="200"/>
      <w:jc w:val="left"/>
    </w:pPr>
    <w:rPr>
      <w:rFonts w:ascii="Times New Roman" w:hAnsi="Times New Roman" w:eastAsia="宋体" w:cs="Times New Roman"/>
      <w:sz w:val="18"/>
      <w:szCs w:val="18"/>
    </w:rPr>
  </w:style>
  <w:style w:type="paragraph" w:styleId="33">
    <w:name w:val="toc 6"/>
    <w:basedOn w:val="1"/>
    <w:next w:val="1"/>
    <w:unhideWhenUsed/>
    <w:qFormat/>
    <w:uiPriority w:val="39"/>
    <w:pPr>
      <w:adjustRightInd/>
      <w:snapToGrid/>
      <w:spacing w:line="312" w:lineRule="auto"/>
      <w:ind w:left="1050" w:firstLine="200" w:firstLineChars="200"/>
      <w:jc w:val="left"/>
    </w:pPr>
    <w:rPr>
      <w:rFonts w:ascii="Calibri" w:hAnsi="Calibri" w:eastAsia="宋体" w:cs="Times New Roman"/>
      <w:sz w:val="18"/>
      <w:szCs w:val="18"/>
    </w:rPr>
  </w:style>
  <w:style w:type="paragraph" w:styleId="34">
    <w:name w:val="Body Text Indent 3"/>
    <w:basedOn w:val="1"/>
    <w:link w:val="99"/>
    <w:unhideWhenUsed/>
    <w:qFormat/>
    <w:uiPriority w:val="0"/>
    <w:pPr>
      <w:adjustRightInd/>
      <w:snapToGrid/>
      <w:spacing w:after="120" w:line="312" w:lineRule="auto"/>
      <w:ind w:left="420" w:leftChars="200" w:firstLine="200" w:firstLineChars="200"/>
    </w:pPr>
    <w:rPr>
      <w:rFonts w:ascii="Times New Roman" w:hAnsi="Times New Roman" w:eastAsia="宋体" w:cs="Times New Roman"/>
      <w:sz w:val="16"/>
      <w:szCs w:val="16"/>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adjustRightInd/>
      <w:snapToGrid/>
      <w:spacing w:line="312" w:lineRule="auto"/>
      <w:ind w:left="1680" w:firstLine="200" w:firstLineChars="200"/>
      <w:jc w:val="left"/>
    </w:pPr>
    <w:rPr>
      <w:rFonts w:ascii="Calibri" w:hAnsi="Calibri" w:eastAsia="宋体" w:cs="Times New Roman"/>
      <w:sz w:val="18"/>
      <w:szCs w:val="18"/>
    </w:rPr>
  </w:style>
  <w:style w:type="paragraph" w:styleId="37">
    <w:name w:val="Body Text 2"/>
    <w:basedOn w:val="1"/>
    <w:link w:val="250"/>
    <w:unhideWhenUsed/>
    <w:qFormat/>
    <w:uiPriority w:val="0"/>
    <w:pPr>
      <w:adjustRightInd/>
      <w:snapToGrid/>
      <w:spacing w:after="120" w:line="480" w:lineRule="auto"/>
    </w:pPr>
    <w:rPr>
      <w:rFonts w:ascii="Calibri" w:hAnsi="Calibri" w:eastAsia="宋体" w:cs="Times New Roman"/>
    </w:rPr>
  </w:style>
  <w:style w:type="paragraph" w:styleId="38">
    <w:name w:val="HTML Preformatted"/>
    <w:basedOn w:val="1"/>
    <w:link w:val="10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jc w:val="left"/>
    </w:pPr>
    <w:rPr>
      <w:rFonts w:ascii="宋体" w:hAnsi="宋体" w:eastAsia="宋体" w:cs="宋体"/>
      <w:kern w:val="0"/>
      <w:sz w:val="24"/>
      <w:szCs w:val="24"/>
    </w:rPr>
  </w:style>
  <w:style w:type="paragraph" w:styleId="39">
    <w:name w:val="Normal (Web)"/>
    <w:basedOn w:val="1"/>
    <w:unhideWhenUsed/>
    <w:qFormat/>
    <w:uiPriority w:val="99"/>
    <w:pPr>
      <w:widowControl/>
      <w:spacing w:before="100" w:beforeAutospacing="1" w:after="100" w:afterAutospacing="1" w:line="330" w:lineRule="atLeast"/>
      <w:jc w:val="left"/>
    </w:pPr>
    <w:rPr>
      <w:rFonts w:ascii="宋体" w:hAnsi="宋体" w:eastAsia="宋体" w:cs="宋体"/>
      <w:kern w:val="0"/>
      <w:sz w:val="22"/>
    </w:rPr>
  </w:style>
  <w:style w:type="paragraph" w:styleId="40">
    <w:name w:val="Title"/>
    <w:basedOn w:val="1"/>
    <w:next w:val="1"/>
    <w:link w:val="67"/>
    <w:qFormat/>
    <w:uiPriority w:val="0"/>
    <w:pPr>
      <w:spacing w:before="240" w:after="60"/>
      <w:jc w:val="center"/>
      <w:outlineLvl w:val="0"/>
    </w:pPr>
    <w:rPr>
      <w:rFonts w:eastAsia="宋体" w:asciiTheme="majorHAnsi" w:hAnsiTheme="majorHAnsi" w:cstheme="majorBidi"/>
      <w:b/>
      <w:bCs/>
      <w:sz w:val="32"/>
      <w:szCs w:val="32"/>
    </w:rPr>
  </w:style>
  <w:style w:type="paragraph" w:styleId="41">
    <w:name w:val="annotation subject"/>
    <w:basedOn w:val="15"/>
    <w:next w:val="15"/>
    <w:link w:val="90"/>
    <w:unhideWhenUsed/>
    <w:qFormat/>
    <w:uiPriority w:val="99"/>
    <w:rPr>
      <w:b/>
      <w:bCs/>
    </w:rPr>
  </w:style>
  <w:style w:type="paragraph" w:styleId="42">
    <w:name w:val="Body Text First Indent"/>
    <w:basedOn w:val="16"/>
    <w:link w:val="94"/>
    <w:qFormat/>
    <w:uiPriority w:val="0"/>
    <w:pPr>
      <w:spacing w:line="240" w:lineRule="auto"/>
      <w:ind w:firstLine="420" w:firstLineChars="100"/>
    </w:pPr>
    <w:rPr>
      <w:rFonts w:ascii="Calibri" w:hAnsi="Calibri"/>
      <w:sz w:val="21"/>
      <w:szCs w:val="22"/>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endnote reference"/>
    <w:semiHidden/>
    <w:unhideWhenUsed/>
    <w:qFormat/>
    <w:uiPriority w:val="99"/>
    <w:rPr>
      <w:vertAlign w:val="superscript"/>
    </w:rPr>
  </w:style>
  <w:style w:type="character" w:styleId="48">
    <w:name w:val="page number"/>
    <w:qFormat/>
    <w:uiPriority w:val="0"/>
    <w:rPr>
      <w:rFonts w:cs="Times New Roman"/>
    </w:rPr>
  </w:style>
  <w:style w:type="character" w:styleId="49">
    <w:name w:val="FollowedHyperlink"/>
    <w:qFormat/>
    <w:uiPriority w:val="99"/>
    <w:rPr>
      <w:color w:val="800080"/>
      <w:u w:val="single"/>
    </w:rPr>
  </w:style>
  <w:style w:type="character" w:styleId="50">
    <w:name w:val="Emphasis"/>
    <w:qFormat/>
    <w:uiPriority w:val="20"/>
    <w:rPr>
      <w:i/>
      <w:iCs/>
    </w:rPr>
  </w:style>
  <w:style w:type="character" w:styleId="51">
    <w:name w:val="Hyperlink"/>
    <w:basedOn w:val="45"/>
    <w:unhideWhenUsed/>
    <w:qFormat/>
    <w:uiPriority w:val="99"/>
    <w:rPr>
      <w:color w:val="0000FF" w:themeColor="hyperlink"/>
      <w:u w:val="single"/>
      <w14:textFill>
        <w14:solidFill>
          <w14:schemeClr w14:val="hlink"/>
        </w14:solidFill>
      </w14:textFill>
    </w:rPr>
  </w:style>
  <w:style w:type="character" w:styleId="52">
    <w:name w:val="annotation reference"/>
    <w:basedOn w:val="45"/>
    <w:unhideWhenUsed/>
    <w:qFormat/>
    <w:uiPriority w:val="99"/>
    <w:rPr>
      <w:sz w:val="21"/>
      <w:szCs w:val="21"/>
    </w:rPr>
  </w:style>
  <w:style w:type="character" w:styleId="53">
    <w:name w:val="footnote reference"/>
    <w:unhideWhenUsed/>
    <w:qFormat/>
    <w:uiPriority w:val="99"/>
    <w:rPr>
      <w:vertAlign w:val="superscript"/>
    </w:rPr>
  </w:style>
  <w:style w:type="character" w:customStyle="1" w:styleId="54">
    <w:name w:val="标题 1 字符"/>
    <w:basedOn w:val="45"/>
    <w:link w:val="2"/>
    <w:qFormat/>
    <w:uiPriority w:val="9"/>
    <w:rPr>
      <w:b/>
      <w:bCs/>
      <w:kern w:val="44"/>
      <w:sz w:val="44"/>
      <w:szCs w:val="44"/>
    </w:rPr>
  </w:style>
  <w:style w:type="character" w:customStyle="1" w:styleId="55">
    <w:name w:val="标题 2 字符"/>
    <w:basedOn w:val="45"/>
    <w:link w:val="3"/>
    <w:qFormat/>
    <w:uiPriority w:val="0"/>
    <w:rPr>
      <w:rFonts w:asciiTheme="majorHAnsi" w:hAnsiTheme="majorHAnsi" w:eastAsiaTheme="majorEastAsia" w:cstheme="majorBidi"/>
      <w:b/>
      <w:bCs/>
      <w:sz w:val="32"/>
      <w:szCs w:val="32"/>
    </w:rPr>
  </w:style>
  <w:style w:type="character" w:customStyle="1" w:styleId="56">
    <w:name w:val="标题 3 字符"/>
    <w:basedOn w:val="45"/>
    <w:link w:val="4"/>
    <w:qFormat/>
    <w:uiPriority w:val="9"/>
    <w:rPr>
      <w:rFonts w:ascii="Times New Roman" w:hAnsi="Times New Roman"/>
      <w:b/>
      <w:bCs/>
      <w:szCs w:val="32"/>
    </w:rPr>
  </w:style>
  <w:style w:type="character" w:customStyle="1" w:styleId="57">
    <w:name w:val="标题 4 字符"/>
    <w:basedOn w:val="45"/>
    <w:link w:val="5"/>
    <w:qFormat/>
    <w:uiPriority w:val="9"/>
    <w:rPr>
      <w:rFonts w:asciiTheme="majorHAnsi" w:hAnsiTheme="majorHAnsi" w:eastAsiaTheme="majorEastAsia" w:cstheme="majorBidi"/>
      <w:b/>
      <w:bCs/>
      <w:sz w:val="28"/>
      <w:szCs w:val="28"/>
    </w:rPr>
  </w:style>
  <w:style w:type="character" w:customStyle="1" w:styleId="58">
    <w:name w:val="标题 5 字符"/>
    <w:basedOn w:val="45"/>
    <w:link w:val="6"/>
    <w:qFormat/>
    <w:uiPriority w:val="9"/>
    <w:rPr>
      <w:b/>
      <w:bCs/>
      <w:sz w:val="28"/>
      <w:szCs w:val="28"/>
    </w:rPr>
  </w:style>
  <w:style w:type="character" w:customStyle="1" w:styleId="59">
    <w:name w:val="标题 6 字符"/>
    <w:basedOn w:val="45"/>
    <w:link w:val="7"/>
    <w:qFormat/>
    <w:uiPriority w:val="9"/>
    <w:rPr>
      <w:rFonts w:asciiTheme="majorHAnsi" w:hAnsiTheme="majorHAnsi" w:eastAsiaTheme="majorEastAsia" w:cstheme="majorBidi"/>
      <w:b/>
      <w:bCs/>
      <w:sz w:val="24"/>
      <w:szCs w:val="24"/>
    </w:rPr>
  </w:style>
  <w:style w:type="character" w:customStyle="1" w:styleId="60">
    <w:name w:val="标题 7 字符"/>
    <w:basedOn w:val="45"/>
    <w:link w:val="8"/>
    <w:qFormat/>
    <w:uiPriority w:val="9"/>
    <w:rPr>
      <w:b/>
      <w:bCs/>
      <w:sz w:val="24"/>
      <w:szCs w:val="24"/>
    </w:rPr>
  </w:style>
  <w:style w:type="character" w:customStyle="1" w:styleId="61">
    <w:name w:val="标题 8 字符"/>
    <w:basedOn w:val="45"/>
    <w:link w:val="9"/>
    <w:qFormat/>
    <w:uiPriority w:val="9"/>
    <w:rPr>
      <w:rFonts w:asciiTheme="majorHAnsi" w:hAnsiTheme="majorHAnsi" w:eastAsiaTheme="majorEastAsia" w:cstheme="majorBidi"/>
      <w:sz w:val="24"/>
      <w:szCs w:val="24"/>
    </w:rPr>
  </w:style>
  <w:style w:type="character" w:customStyle="1" w:styleId="62">
    <w:name w:val="标题 9 字符"/>
    <w:basedOn w:val="45"/>
    <w:link w:val="10"/>
    <w:qFormat/>
    <w:uiPriority w:val="9"/>
    <w:rPr>
      <w:rFonts w:asciiTheme="majorHAnsi" w:hAnsiTheme="majorHAnsi" w:eastAsiaTheme="majorEastAsia" w:cstheme="majorBidi"/>
      <w:szCs w:val="21"/>
    </w:rPr>
  </w:style>
  <w:style w:type="character" w:customStyle="1" w:styleId="63">
    <w:name w:val="页眉 字符"/>
    <w:basedOn w:val="45"/>
    <w:link w:val="27"/>
    <w:qFormat/>
    <w:uiPriority w:val="99"/>
    <w:rPr>
      <w:sz w:val="18"/>
      <w:szCs w:val="18"/>
    </w:rPr>
  </w:style>
  <w:style w:type="character" w:customStyle="1" w:styleId="64">
    <w:name w:val="页脚 字符"/>
    <w:basedOn w:val="45"/>
    <w:link w:val="26"/>
    <w:qFormat/>
    <w:uiPriority w:val="99"/>
    <w:rPr>
      <w:sz w:val="18"/>
      <w:szCs w:val="18"/>
    </w:rPr>
  </w:style>
  <w:style w:type="character" w:customStyle="1" w:styleId="65">
    <w:name w:val="纯文本 字符"/>
    <w:basedOn w:val="45"/>
    <w:link w:val="21"/>
    <w:qFormat/>
    <w:uiPriority w:val="0"/>
    <w:rPr>
      <w:rFonts w:ascii="宋体" w:hAnsi="Courier New" w:eastAsia="宋体" w:cs="Courier New"/>
      <w:szCs w:val="21"/>
    </w:rPr>
  </w:style>
  <w:style w:type="paragraph" w:customStyle="1" w:styleId="66">
    <w:name w:val="Char"/>
    <w:basedOn w:val="1"/>
    <w:qFormat/>
    <w:uiPriority w:val="0"/>
    <w:pPr>
      <w:tabs>
        <w:tab w:val="left" w:pos="4665"/>
        <w:tab w:val="left" w:pos="8970"/>
      </w:tabs>
      <w:ind w:firstLine="400"/>
    </w:pPr>
    <w:rPr>
      <w:rFonts w:ascii="Tahoma" w:hAnsi="Tahoma" w:eastAsia="宋体" w:cs="Tahoma"/>
      <w:sz w:val="24"/>
      <w:szCs w:val="24"/>
    </w:rPr>
  </w:style>
  <w:style w:type="character" w:customStyle="1" w:styleId="67">
    <w:name w:val="标题 字符"/>
    <w:basedOn w:val="45"/>
    <w:link w:val="40"/>
    <w:qFormat/>
    <w:uiPriority w:val="0"/>
    <w:rPr>
      <w:rFonts w:eastAsia="宋体" w:asciiTheme="majorHAnsi" w:hAnsiTheme="majorHAnsi" w:cstheme="majorBidi"/>
      <w:b/>
      <w:bCs/>
      <w:sz w:val="32"/>
      <w:szCs w:val="32"/>
    </w:rPr>
  </w:style>
  <w:style w:type="paragraph" w:customStyle="1" w:styleId="68">
    <w:name w:val="style11"/>
    <w:basedOn w:val="1"/>
    <w:qFormat/>
    <w:uiPriority w:val="0"/>
    <w:pPr>
      <w:widowControl/>
      <w:spacing w:before="100" w:beforeAutospacing="1" w:after="100" w:afterAutospacing="1" w:line="330" w:lineRule="atLeast"/>
      <w:jc w:val="left"/>
    </w:pPr>
    <w:rPr>
      <w:rFonts w:ascii="宋体" w:hAnsi="宋体" w:eastAsia="宋体" w:cs="宋体"/>
      <w:kern w:val="0"/>
      <w:sz w:val="22"/>
    </w:rPr>
  </w:style>
  <w:style w:type="character" w:customStyle="1" w:styleId="69">
    <w:name w:val="批注框文本 字符"/>
    <w:basedOn w:val="45"/>
    <w:link w:val="25"/>
    <w:qFormat/>
    <w:uiPriority w:val="99"/>
    <w:rPr>
      <w:sz w:val="18"/>
      <w:szCs w:val="18"/>
    </w:rPr>
  </w:style>
  <w:style w:type="character" w:customStyle="1" w:styleId="70">
    <w:name w:val="副标题 字符"/>
    <w:basedOn w:val="45"/>
    <w:link w:val="30"/>
    <w:qFormat/>
    <w:uiPriority w:val="11"/>
    <w:rPr>
      <w:rFonts w:eastAsia="宋体" w:asciiTheme="majorHAnsi" w:hAnsiTheme="majorHAnsi" w:cstheme="majorBidi"/>
      <w:b/>
      <w:bCs/>
      <w:kern w:val="28"/>
      <w:sz w:val="32"/>
      <w:szCs w:val="32"/>
    </w:rPr>
  </w:style>
  <w:style w:type="paragraph" w:styleId="71">
    <w:name w:val="List Paragraph"/>
    <w:basedOn w:val="1"/>
    <w:link w:val="76"/>
    <w:qFormat/>
    <w:uiPriority w:val="34"/>
    <w:pPr>
      <w:ind w:firstLine="420" w:firstLineChars="200"/>
    </w:pPr>
  </w:style>
  <w:style w:type="paragraph" w:customStyle="1" w:styleId="7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3">
    <w:name w:val="条文样式"/>
    <w:basedOn w:val="1"/>
    <w:link w:val="74"/>
    <w:qFormat/>
    <w:uiPriority w:val="0"/>
    <w:pPr>
      <w:spacing w:line="360" w:lineRule="auto"/>
      <w:ind w:left="250" w:hanging="250" w:hangingChars="250"/>
    </w:pPr>
    <w:rPr>
      <w:rFonts w:ascii="Times New Roman" w:hAnsi="Times New Roman" w:eastAsia="宋体"/>
      <w:b/>
      <w:color w:val="000000" w:themeColor="text1"/>
      <w:sz w:val="24"/>
      <w:szCs w:val="21"/>
      <w14:textFill>
        <w14:solidFill>
          <w14:schemeClr w14:val="tx1"/>
        </w14:solidFill>
      </w14:textFill>
    </w:rPr>
  </w:style>
  <w:style w:type="character" w:customStyle="1" w:styleId="74">
    <w:name w:val="条文样式 Char"/>
    <w:basedOn w:val="45"/>
    <w:link w:val="73"/>
    <w:qFormat/>
    <w:uiPriority w:val="0"/>
    <w:rPr>
      <w:rFonts w:ascii="Times New Roman" w:hAnsi="Times New Roman" w:eastAsia="宋体"/>
      <w:b/>
      <w:color w:val="000000" w:themeColor="text1"/>
      <w:sz w:val="24"/>
      <w:szCs w:val="21"/>
      <w14:textFill>
        <w14:solidFill>
          <w14:schemeClr w14:val="tx1"/>
        </w14:solidFill>
      </w14:textFill>
    </w:rPr>
  </w:style>
  <w:style w:type="character" w:customStyle="1" w:styleId="75">
    <w:name w:val="批注文字 字符"/>
    <w:basedOn w:val="45"/>
    <w:link w:val="15"/>
    <w:qFormat/>
    <w:uiPriority w:val="99"/>
  </w:style>
  <w:style w:type="character" w:customStyle="1" w:styleId="76">
    <w:name w:val="列表段落 字符"/>
    <w:link w:val="71"/>
    <w:qFormat/>
    <w:locked/>
    <w:uiPriority w:val="34"/>
  </w:style>
  <w:style w:type="paragraph" w:customStyle="1" w:styleId="77">
    <w:name w:val="文章"/>
    <w:basedOn w:val="1"/>
    <w:link w:val="85"/>
    <w:qFormat/>
    <w:uiPriority w:val="0"/>
    <w:pPr>
      <w:spacing w:line="360" w:lineRule="auto"/>
      <w:ind w:firstLine="200" w:firstLineChars="200"/>
    </w:pPr>
    <w:rPr>
      <w:rFonts w:ascii="Times New Roman" w:hAnsi="Times New Roman" w:eastAsia="宋体"/>
      <w:sz w:val="24"/>
    </w:rPr>
  </w:style>
  <w:style w:type="paragraph" w:customStyle="1" w:styleId="78">
    <w:name w:val="条"/>
    <w:basedOn w:val="1"/>
    <w:next w:val="1"/>
    <w:link w:val="79"/>
    <w:qFormat/>
    <w:uiPriority w:val="0"/>
    <w:pPr>
      <w:numPr>
        <w:ilvl w:val="0"/>
        <w:numId w:val="1"/>
      </w:numPr>
      <w:spacing w:line="360" w:lineRule="auto"/>
    </w:pPr>
    <w:rPr>
      <w:rFonts w:ascii="Times New Roman" w:hAnsi="Times New Roman" w:eastAsia="宋体" w:cs="Times New Roman"/>
      <w:sz w:val="24"/>
      <w:szCs w:val="32"/>
    </w:rPr>
  </w:style>
  <w:style w:type="character" w:customStyle="1" w:styleId="79">
    <w:name w:val="条 Char"/>
    <w:link w:val="78"/>
    <w:qFormat/>
    <w:uiPriority w:val="0"/>
    <w:rPr>
      <w:rFonts w:ascii="Times New Roman" w:hAnsi="Times New Roman" w:eastAsia="宋体" w:cs="Times New Roman"/>
      <w:kern w:val="2"/>
      <w:sz w:val="24"/>
      <w:szCs w:val="32"/>
    </w:rPr>
  </w:style>
  <w:style w:type="paragraph" w:customStyle="1" w:styleId="80">
    <w:name w:val="charter title"/>
    <w:basedOn w:val="1"/>
    <w:link w:val="81"/>
    <w:qFormat/>
    <w:uiPriority w:val="99"/>
    <w:pPr>
      <w:spacing w:before="312" w:after="312" w:line="360" w:lineRule="auto"/>
      <w:jc w:val="center"/>
      <w:outlineLvl w:val="1"/>
    </w:pPr>
    <w:rPr>
      <w:rFonts w:ascii="黑体" w:hAnsi="黑体" w:eastAsia="黑体" w:cs="Times New Roman"/>
      <w:b/>
      <w:color w:val="000000"/>
      <w:sz w:val="24"/>
      <w:szCs w:val="20"/>
    </w:rPr>
  </w:style>
  <w:style w:type="character" w:customStyle="1" w:styleId="81">
    <w:name w:val="charter title Char"/>
    <w:link w:val="80"/>
    <w:qFormat/>
    <w:uiPriority w:val="99"/>
    <w:rPr>
      <w:rFonts w:ascii="黑体" w:hAnsi="黑体" w:eastAsia="黑体" w:cs="Times New Roman"/>
      <w:b/>
      <w:color w:val="000000"/>
      <w:sz w:val="24"/>
      <w:szCs w:val="20"/>
    </w:rPr>
  </w:style>
  <w:style w:type="paragraph" w:customStyle="1" w:styleId="82">
    <w:name w:val="二级标题"/>
    <w:basedOn w:val="1"/>
    <w:next w:val="77"/>
    <w:qFormat/>
    <w:uiPriority w:val="0"/>
    <w:pPr>
      <w:adjustRightInd/>
      <w:snapToGrid/>
      <w:spacing w:line="360" w:lineRule="auto"/>
      <w:outlineLvl w:val="1"/>
    </w:pPr>
    <w:rPr>
      <w:rFonts w:ascii="黑体" w:hAnsi="黑体" w:eastAsia="黑体"/>
      <w:sz w:val="28"/>
    </w:rPr>
  </w:style>
  <w:style w:type="paragraph" w:customStyle="1" w:styleId="83">
    <w:name w:val="表题"/>
    <w:basedOn w:val="1"/>
    <w:qFormat/>
    <w:uiPriority w:val="0"/>
    <w:pPr>
      <w:adjustRightInd/>
      <w:snapToGrid/>
      <w:spacing w:before="100" w:beforeLines="100" w:line="360" w:lineRule="auto"/>
      <w:jc w:val="center"/>
      <w:outlineLvl w:val="5"/>
    </w:pPr>
    <w:rPr>
      <w:rFonts w:ascii="Times New Roman" w:hAnsi="Times New Roman" w:eastAsia="宋体"/>
      <w:b/>
    </w:rPr>
  </w:style>
  <w:style w:type="paragraph" w:customStyle="1" w:styleId="84">
    <w:name w:val="表格内容"/>
    <w:basedOn w:val="1"/>
    <w:qFormat/>
    <w:uiPriority w:val="0"/>
    <w:pPr>
      <w:adjustRightInd/>
      <w:snapToGrid/>
      <w:spacing w:line="400" w:lineRule="exact"/>
      <w:jc w:val="center"/>
    </w:pPr>
    <w:rPr>
      <w:rFonts w:ascii="Times New Roman" w:hAnsi="Times New Roman" w:eastAsia="宋体"/>
    </w:rPr>
  </w:style>
  <w:style w:type="character" w:customStyle="1" w:styleId="85">
    <w:name w:val="文章 Char"/>
    <w:link w:val="77"/>
    <w:qFormat/>
    <w:uiPriority w:val="0"/>
    <w:rPr>
      <w:rFonts w:ascii="Times New Roman" w:hAnsi="Times New Roman" w:eastAsia="宋体"/>
      <w:sz w:val="24"/>
    </w:rPr>
  </w:style>
  <w:style w:type="paragraph" w:styleId="86">
    <w:name w:val="No Spacing"/>
    <w:qFormat/>
    <w:uiPriority w:val="1"/>
    <w:pPr>
      <w:widowControl w:val="0"/>
    </w:pPr>
    <w:rPr>
      <w:rFonts w:ascii="Calibri" w:hAnsi="Calibri" w:eastAsia="宋体" w:cs="Times New Roman"/>
      <w:sz w:val="22"/>
      <w:szCs w:val="22"/>
      <w:lang w:val="en-US" w:eastAsia="en-US" w:bidi="ar-SA"/>
    </w:rPr>
  </w:style>
  <w:style w:type="paragraph" w:customStyle="1" w:styleId="87">
    <w:name w:val="图名"/>
    <w:qFormat/>
    <w:uiPriority w:val="0"/>
    <w:pPr>
      <w:jc w:val="center"/>
    </w:pPr>
    <w:rPr>
      <w:rFonts w:ascii="Times New Roman" w:hAnsi="宋体" w:eastAsia="宋体" w:cs="Times New Roman"/>
      <w:bCs/>
      <w:color w:val="000000"/>
      <w:kern w:val="2"/>
      <w:sz w:val="18"/>
      <w:szCs w:val="18"/>
      <w:lang w:val="en-US" w:eastAsia="zh-CN" w:bidi="ar-SA"/>
    </w:rPr>
  </w:style>
  <w:style w:type="table" w:customStyle="1" w:styleId="88">
    <w:name w:val="网格型11"/>
    <w:basedOn w:val="4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1"/>
    <w:basedOn w:val="4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批注主题 字符"/>
    <w:basedOn w:val="75"/>
    <w:link w:val="41"/>
    <w:qFormat/>
    <w:uiPriority w:val="99"/>
    <w:rPr>
      <w:b/>
      <w:bCs/>
      <w:kern w:val="2"/>
      <w:sz w:val="21"/>
      <w:szCs w:val="22"/>
    </w:rPr>
  </w:style>
  <w:style w:type="character" w:customStyle="1" w:styleId="91">
    <w:name w:val="日期 字符"/>
    <w:basedOn w:val="45"/>
    <w:link w:val="23"/>
    <w:qFormat/>
    <w:uiPriority w:val="99"/>
    <w:rPr>
      <w:kern w:val="2"/>
      <w:sz w:val="21"/>
      <w:szCs w:val="22"/>
    </w:rPr>
  </w:style>
  <w:style w:type="character" w:customStyle="1" w:styleId="92">
    <w:name w:val="未处理的提及1"/>
    <w:basedOn w:val="45"/>
    <w:semiHidden/>
    <w:unhideWhenUsed/>
    <w:qFormat/>
    <w:uiPriority w:val="99"/>
    <w:rPr>
      <w:color w:val="605E5C"/>
      <w:shd w:val="clear" w:color="auto" w:fill="E1DFDD"/>
    </w:rPr>
  </w:style>
  <w:style w:type="character" w:customStyle="1" w:styleId="93">
    <w:name w:val="正文文本 字符"/>
    <w:basedOn w:val="45"/>
    <w:link w:val="16"/>
    <w:qFormat/>
    <w:uiPriority w:val="99"/>
    <w:rPr>
      <w:rFonts w:ascii="Times New Roman" w:hAnsi="Times New Roman" w:eastAsia="宋体" w:cs="Times New Roman"/>
      <w:kern w:val="2"/>
      <w:sz w:val="24"/>
      <w:szCs w:val="24"/>
    </w:rPr>
  </w:style>
  <w:style w:type="character" w:customStyle="1" w:styleId="94">
    <w:name w:val="正文文本首行缩进 字符"/>
    <w:basedOn w:val="93"/>
    <w:link w:val="42"/>
    <w:qFormat/>
    <w:uiPriority w:val="0"/>
    <w:rPr>
      <w:rFonts w:ascii="Calibri" w:hAnsi="Calibri" w:eastAsia="宋体" w:cs="Times New Roman"/>
      <w:kern w:val="2"/>
      <w:sz w:val="21"/>
      <w:szCs w:val="22"/>
    </w:rPr>
  </w:style>
  <w:style w:type="character" w:customStyle="1" w:styleId="95">
    <w:name w:val="文档结构图 字符"/>
    <w:basedOn w:val="45"/>
    <w:link w:val="14"/>
    <w:qFormat/>
    <w:uiPriority w:val="0"/>
    <w:rPr>
      <w:rFonts w:ascii="宋体" w:hAnsi="Times New Roman" w:eastAsia="宋体" w:cs="Times New Roman"/>
      <w:kern w:val="2"/>
      <w:sz w:val="18"/>
      <w:szCs w:val="18"/>
    </w:rPr>
  </w:style>
  <w:style w:type="character" w:customStyle="1" w:styleId="96">
    <w:name w:val="正文文本缩进 字符"/>
    <w:basedOn w:val="45"/>
    <w:link w:val="17"/>
    <w:qFormat/>
    <w:uiPriority w:val="0"/>
    <w:rPr>
      <w:rFonts w:ascii="Times New Roman" w:hAnsi="Times New Roman" w:eastAsia="宋体" w:cs="Times New Roman"/>
      <w:kern w:val="2"/>
      <w:sz w:val="24"/>
      <w:szCs w:val="24"/>
    </w:rPr>
  </w:style>
  <w:style w:type="character" w:customStyle="1" w:styleId="97">
    <w:name w:val="正文文本缩进 2 字符"/>
    <w:basedOn w:val="45"/>
    <w:link w:val="24"/>
    <w:qFormat/>
    <w:uiPriority w:val="0"/>
    <w:rPr>
      <w:rFonts w:ascii="Times New Roman" w:hAnsi="Times New Roman" w:eastAsia="宋体" w:cs="Times New Roman"/>
      <w:kern w:val="2"/>
      <w:sz w:val="24"/>
      <w:szCs w:val="24"/>
    </w:rPr>
  </w:style>
  <w:style w:type="character" w:customStyle="1" w:styleId="98">
    <w:name w:val="脚注文本 字符"/>
    <w:basedOn w:val="45"/>
    <w:link w:val="32"/>
    <w:qFormat/>
    <w:uiPriority w:val="99"/>
    <w:rPr>
      <w:rFonts w:ascii="Times New Roman" w:hAnsi="Times New Roman" w:eastAsia="宋体" w:cs="Times New Roman"/>
      <w:kern w:val="2"/>
      <w:sz w:val="18"/>
      <w:szCs w:val="18"/>
    </w:rPr>
  </w:style>
  <w:style w:type="character" w:customStyle="1" w:styleId="99">
    <w:name w:val="正文文本缩进 3 字符"/>
    <w:basedOn w:val="45"/>
    <w:link w:val="34"/>
    <w:qFormat/>
    <w:uiPriority w:val="0"/>
    <w:rPr>
      <w:rFonts w:ascii="Times New Roman" w:hAnsi="Times New Roman" w:eastAsia="宋体" w:cs="Times New Roman"/>
      <w:kern w:val="2"/>
      <w:sz w:val="16"/>
      <w:szCs w:val="16"/>
    </w:rPr>
  </w:style>
  <w:style w:type="character" w:customStyle="1" w:styleId="100">
    <w:name w:val="HTML 预设格式 字符"/>
    <w:basedOn w:val="45"/>
    <w:link w:val="38"/>
    <w:qFormat/>
    <w:uiPriority w:val="99"/>
    <w:rPr>
      <w:rFonts w:ascii="宋体" w:hAnsi="宋体" w:eastAsia="宋体" w:cs="宋体"/>
      <w:sz w:val="24"/>
      <w:szCs w:val="24"/>
    </w:rPr>
  </w:style>
  <w:style w:type="paragraph" w:customStyle="1" w:styleId="101">
    <w:name w:val="05表头"/>
    <w:basedOn w:val="1"/>
    <w:link w:val="200"/>
    <w:qFormat/>
    <w:uiPriority w:val="0"/>
    <w:pPr>
      <w:adjustRightInd/>
      <w:snapToGrid/>
      <w:spacing w:line="360" w:lineRule="auto"/>
      <w:jc w:val="center"/>
    </w:pPr>
    <w:rPr>
      <w:rFonts w:ascii="Times New Roman" w:hAnsi="Times New Roman" w:eastAsia="黑体" w:cs="Times New Roman"/>
      <w:szCs w:val="24"/>
    </w:rPr>
  </w:style>
  <w:style w:type="paragraph" w:customStyle="1" w:styleId="102">
    <w:name w:val="06表中文字"/>
    <w:basedOn w:val="1"/>
    <w:qFormat/>
    <w:uiPriority w:val="0"/>
    <w:pPr>
      <w:widowControl/>
      <w:adjustRightInd/>
      <w:snapToGrid/>
      <w:ind w:firstLine="6"/>
      <w:jc w:val="center"/>
      <w:textAlignment w:val="center"/>
    </w:pPr>
    <w:rPr>
      <w:rFonts w:ascii="Times New Roman" w:hAnsi="Times New Roman" w:eastAsia="宋体" w:cs="Times New Roman"/>
      <w:kern w:val="0"/>
      <w:szCs w:val="18"/>
    </w:rPr>
  </w:style>
  <w:style w:type="paragraph" w:customStyle="1" w:styleId="103">
    <w:name w:val="列出段落1"/>
    <w:basedOn w:val="1"/>
    <w:link w:val="104"/>
    <w:qFormat/>
    <w:uiPriority w:val="34"/>
    <w:pPr>
      <w:adjustRightInd/>
      <w:snapToGrid/>
      <w:spacing w:line="312" w:lineRule="auto"/>
      <w:ind w:firstLine="420" w:firstLineChars="200"/>
    </w:pPr>
    <w:rPr>
      <w:rFonts w:ascii="Times New Roman" w:hAnsi="Times New Roman" w:eastAsia="宋体" w:cs="Times New Roman"/>
      <w:sz w:val="24"/>
      <w:szCs w:val="24"/>
    </w:rPr>
  </w:style>
  <w:style w:type="character" w:customStyle="1" w:styleId="104">
    <w:name w:val="列出段落 Char"/>
    <w:link w:val="103"/>
    <w:qFormat/>
    <w:uiPriority w:val="34"/>
    <w:rPr>
      <w:rFonts w:ascii="Times New Roman" w:hAnsi="Times New Roman" w:eastAsia="宋体" w:cs="Times New Roman"/>
      <w:kern w:val="2"/>
      <w:sz w:val="24"/>
      <w:szCs w:val="24"/>
    </w:rPr>
  </w:style>
  <w:style w:type="character" w:customStyle="1" w:styleId="105">
    <w:name w:val="样式 宋体"/>
    <w:qFormat/>
    <w:uiPriority w:val="0"/>
    <w:rPr>
      <w:rFonts w:ascii="Times New Roman" w:hAnsi="Times New Roman" w:eastAsia="宋体"/>
    </w:rPr>
  </w:style>
  <w:style w:type="paragraph" w:customStyle="1" w:styleId="106">
    <w:name w:val="07图名"/>
    <w:basedOn w:val="1"/>
    <w:qFormat/>
    <w:uiPriority w:val="0"/>
    <w:pPr>
      <w:adjustRightInd/>
      <w:spacing w:line="312" w:lineRule="auto"/>
      <w:jc w:val="center"/>
    </w:pPr>
    <w:rPr>
      <w:rFonts w:ascii="Times New Roman" w:hAnsi="Times New Roman" w:eastAsia="宋体" w:cs="Times New Roman"/>
      <w:szCs w:val="24"/>
    </w:rPr>
  </w:style>
  <w:style w:type="paragraph" w:customStyle="1" w:styleId="107">
    <w:name w:val="Maple Output"/>
    <w:qFormat/>
    <w:uiPriority w:val="99"/>
    <w:pPr>
      <w:widowControl w:val="0"/>
      <w:autoSpaceDE w:val="0"/>
      <w:autoSpaceDN w:val="0"/>
      <w:adjustRightInd w:val="0"/>
      <w:spacing w:line="360" w:lineRule="auto"/>
      <w:jc w:val="center"/>
    </w:pPr>
    <w:rPr>
      <w:rFonts w:ascii="Times New Roman" w:hAnsi="Times New Roman" w:eastAsia="宋体" w:cs="Times New Roman"/>
      <w:color w:val="000000"/>
      <w:sz w:val="24"/>
      <w:szCs w:val="24"/>
      <w:lang w:val="en-US" w:eastAsia="zh-CN" w:bidi="ar-SA"/>
    </w:rPr>
  </w:style>
  <w:style w:type="paragraph" w:customStyle="1" w:styleId="108">
    <w:name w:val="图名和表名编号"/>
    <w:basedOn w:val="1"/>
    <w:qFormat/>
    <w:uiPriority w:val="0"/>
    <w:pPr>
      <w:tabs>
        <w:tab w:val="left" w:pos="2340"/>
      </w:tabs>
      <w:adjustRightInd/>
      <w:snapToGrid/>
      <w:spacing w:beforeLines="25" w:afterLines="25"/>
      <w:jc w:val="center"/>
    </w:pPr>
    <w:rPr>
      <w:rFonts w:ascii="Times New Roman" w:hAnsi="Times New Roman" w:eastAsia="黑体" w:cs="Times New Roman"/>
      <w:b/>
      <w:color w:val="000000"/>
      <w:sz w:val="24"/>
      <w:szCs w:val="18"/>
    </w:rPr>
  </w:style>
  <w:style w:type="paragraph" w:customStyle="1" w:styleId="109">
    <w:name w:val="样式 样式 正文 +1 + 首行缩进:  2 字符"/>
    <w:basedOn w:val="1"/>
    <w:qFormat/>
    <w:uiPriority w:val="0"/>
    <w:pPr>
      <w:adjustRightInd/>
      <w:snapToGrid/>
      <w:ind w:firstLine="560" w:firstLineChars="200"/>
      <w:jc w:val="left"/>
    </w:pPr>
    <w:rPr>
      <w:rFonts w:ascii="Times New Roman" w:hAnsi="Times New Roman" w:eastAsia="宋体" w:cs="宋体"/>
      <w:kern w:val="0"/>
      <w:sz w:val="24"/>
      <w:szCs w:val="20"/>
    </w:rPr>
  </w:style>
  <w:style w:type="paragraph" w:customStyle="1" w:styleId="110">
    <w:name w:val="表名"/>
    <w:basedOn w:val="1"/>
    <w:link w:val="111"/>
    <w:qFormat/>
    <w:uiPriority w:val="0"/>
    <w:pPr>
      <w:adjustRightInd/>
      <w:snapToGrid/>
      <w:spacing w:beforeLines="50" w:afterLines="50"/>
      <w:jc w:val="left"/>
    </w:pPr>
    <w:rPr>
      <w:rFonts w:ascii="Times New Roman" w:hAnsi="Times New Roman" w:eastAsia="黑体" w:cs="Times New Roman"/>
      <w:b/>
      <w:sz w:val="24"/>
      <w:szCs w:val="24"/>
      <w:lang w:val="en-GB"/>
    </w:rPr>
  </w:style>
  <w:style w:type="character" w:customStyle="1" w:styleId="111">
    <w:name w:val="表名 Char"/>
    <w:link w:val="110"/>
    <w:qFormat/>
    <w:uiPriority w:val="0"/>
    <w:rPr>
      <w:rFonts w:ascii="Times New Roman" w:hAnsi="Times New Roman" w:eastAsia="黑体" w:cs="Times New Roman"/>
      <w:b/>
      <w:kern w:val="2"/>
      <w:sz w:val="24"/>
      <w:szCs w:val="24"/>
      <w:lang w:val="en-GB"/>
    </w:rPr>
  </w:style>
  <w:style w:type="paragraph" w:customStyle="1" w:styleId="112">
    <w:name w:val="Char Char Char Char Char Char Char Char Char"/>
    <w:basedOn w:val="1"/>
    <w:qFormat/>
    <w:uiPriority w:val="0"/>
    <w:pPr>
      <w:widowControl/>
      <w:adjustRightInd/>
      <w:snapToGrid/>
      <w:spacing w:after="160" w:line="240" w:lineRule="exact"/>
      <w:jc w:val="left"/>
    </w:pPr>
    <w:rPr>
      <w:rFonts w:ascii="Verdana" w:hAnsi="Verdana" w:eastAsia="仿宋_GB2312" w:cs="Times New Roman"/>
      <w:kern w:val="0"/>
      <w:sz w:val="24"/>
      <w:szCs w:val="20"/>
      <w:lang w:eastAsia="en-US"/>
    </w:rPr>
  </w:style>
  <w:style w:type="paragraph" w:customStyle="1" w:styleId="1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4">
    <w:name w:val="font04"/>
    <w:basedOn w:val="1"/>
    <w:qFormat/>
    <w:uiPriority w:val="0"/>
    <w:pPr>
      <w:widowControl/>
      <w:adjustRightInd/>
      <w:snapToGrid/>
      <w:spacing w:before="100" w:beforeAutospacing="1" w:after="150" w:line="270" w:lineRule="atLeast"/>
      <w:ind w:firstLine="360"/>
      <w:jc w:val="left"/>
    </w:pPr>
    <w:rPr>
      <w:rFonts w:ascii="宋体" w:hAnsi="宋体" w:eastAsia="宋体" w:cs="宋体"/>
      <w:color w:val="2E4E9E"/>
      <w:kern w:val="0"/>
      <w:sz w:val="24"/>
      <w:szCs w:val="24"/>
    </w:rPr>
  </w:style>
  <w:style w:type="character" w:customStyle="1" w:styleId="115">
    <w:name w:val="style41"/>
    <w:qFormat/>
    <w:uiPriority w:val="0"/>
    <w:rPr>
      <w:b/>
      <w:bCs/>
      <w:color w:val="0C5075"/>
    </w:rPr>
  </w:style>
  <w:style w:type="character" w:customStyle="1" w:styleId="116">
    <w:name w:val="Char Char"/>
    <w:qFormat/>
    <w:uiPriority w:val="0"/>
    <w:rPr>
      <w:rFonts w:cs="Times New Roman"/>
      <w:kern w:val="2"/>
      <w:sz w:val="18"/>
      <w:szCs w:val="18"/>
    </w:rPr>
  </w:style>
  <w:style w:type="paragraph" w:customStyle="1" w:styleId="117">
    <w:name w:val="样式 目录 1 + 段前: 1 行 段后: 1 行"/>
    <w:basedOn w:val="28"/>
    <w:qFormat/>
    <w:uiPriority w:val="0"/>
    <w:pPr>
      <w:tabs>
        <w:tab w:val="right" w:leader="dot" w:pos="8364"/>
      </w:tabs>
      <w:adjustRightInd/>
      <w:snapToGrid/>
      <w:spacing w:before="120" w:beforeLines="100" w:after="120" w:afterLines="100" w:line="360" w:lineRule="auto"/>
      <w:jc w:val="center"/>
    </w:pPr>
    <w:rPr>
      <w:rFonts w:ascii="黑体" w:hAnsi="Times New Roman" w:eastAsia="黑体" w:cs="宋体"/>
      <w:sz w:val="24"/>
      <w:szCs w:val="24"/>
    </w:rPr>
  </w:style>
  <w:style w:type="paragraph" w:customStyle="1" w:styleId="118">
    <w:name w:val="样式 样式 目录 1 + 段前: 1 行 段后: 1 行 + 段前: 1 行 段后: 1 行"/>
    <w:basedOn w:val="117"/>
    <w:qFormat/>
    <w:uiPriority w:val="0"/>
    <w:pPr>
      <w:spacing w:beforeLines="0" w:afterLines="0"/>
    </w:pPr>
  </w:style>
  <w:style w:type="paragraph" w:customStyle="1" w:styleId="119">
    <w:name w:val="Char Char Char Char"/>
    <w:basedOn w:val="1"/>
    <w:qFormat/>
    <w:uiPriority w:val="0"/>
    <w:pPr>
      <w:adjustRightInd/>
      <w:snapToGrid/>
    </w:pPr>
    <w:rPr>
      <w:rFonts w:ascii="Tahoma" w:hAnsi="Tahoma" w:eastAsia="宋体" w:cs="Times New Roman"/>
      <w:sz w:val="24"/>
      <w:szCs w:val="24"/>
    </w:rPr>
  </w:style>
  <w:style w:type="character" w:customStyle="1" w:styleId="120">
    <w:name w:val="apple-style-span"/>
    <w:basedOn w:val="45"/>
    <w:qFormat/>
    <w:uiPriority w:val="0"/>
  </w:style>
  <w:style w:type="paragraph" w:customStyle="1" w:styleId="121">
    <w:name w:val="正文排版"/>
    <w:basedOn w:val="1"/>
    <w:link w:val="122"/>
    <w:qFormat/>
    <w:uiPriority w:val="0"/>
    <w:pPr>
      <w:adjustRightInd/>
      <w:snapToGrid/>
      <w:spacing w:line="400" w:lineRule="exact"/>
      <w:ind w:firstLine="200" w:firstLineChars="200"/>
    </w:pPr>
    <w:rPr>
      <w:rFonts w:ascii="Calibri" w:hAnsi="Calibri" w:eastAsia="宋体" w:cs="Times New Roman"/>
      <w:sz w:val="24"/>
      <w:szCs w:val="24"/>
    </w:rPr>
  </w:style>
  <w:style w:type="character" w:customStyle="1" w:styleId="122">
    <w:name w:val="正文排版 Char"/>
    <w:link w:val="121"/>
    <w:qFormat/>
    <w:uiPriority w:val="0"/>
    <w:rPr>
      <w:rFonts w:ascii="Calibri" w:hAnsi="Calibri" w:eastAsia="宋体" w:cs="Times New Roman"/>
      <w:kern w:val="2"/>
      <w:sz w:val="24"/>
      <w:szCs w:val="24"/>
    </w:rPr>
  </w:style>
  <w:style w:type="paragraph" w:customStyle="1" w:styleId="123">
    <w:name w:val="段落"/>
    <w:basedOn w:val="1"/>
    <w:link w:val="124"/>
    <w:qFormat/>
    <w:uiPriority w:val="0"/>
    <w:pPr>
      <w:adjustRightInd/>
      <w:snapToGrid/>
      <w:spacing w:line="300" w:lineRule="auto"/>
      <w:ind w:firstLine="200" w:firstLineChars="200"/>
    </w:pPr>
    <w:rPr>
      <w:rFonts w:ascii="Calibri" w:hAnsi="Calibri" w:eastAsia="宋体" w:cs="Times New Roman"/>
      <w:szCs w:val="24"/>
    </w:rPr>
  </w:style>
  <w:style w:type="character" w:customStyle="1" w:styleId="124">
    <w:name w:val="段落 Char"/>
    <w:link w:val="123"/>
    <w:qFormat/>
    <w:uiPriority w:val="0"/>
    <w:rPr>
      <w:rFonts w:ascii="Calibri" w:hAnsi="Calibri" w:eastAsia="宋体" w:cs="Times New Roman"/>
      <w:kern w:val="2"/>
      <w:sz w:val="21"/>
      <w:szCs w:val="24"/>
    </w:rPr>
  </w:style>
  <w:style w:type="paragraph" w:customStyle="1" w:styleId="1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MTDisplayEquation"/>
    <w:basedOn w:val="1"/>
    <w:next w:val="1"/>
    <w:link w:val="128"/>
    <w:qFormat/>
    <w:uiPriority w:val="0"/>
    <w:pPr>
      <w:tabs>
        <w:tab w:val="center" w:pos="4160"/>
        <w:tab w:val="right" w:pos="8300"/>
      </w:tabs>
      <w:adjustRightInd/>
      <w:snapToGrid/>
      <w:spacing w:line="360" w:lineRule="auto"/>
      <w:ind w:firstLine="480" w:firstLineChars="200"/>
      <w:textAlignment w:val="center"/>
    </w:pPr>
    <w:rPr>
      <w:rFonts w:ascii="Times New Roman" w:hAnsi="Times New Roman" w:eastAsia="宋体" w:cs="Times New Roman"/>
      <w:sz w:val="24"/>
      <w:szCs w:val="24"/>
    </w:rPr>
  </w:style>
  <w:style w:type="character" w:customStyle="1" w:styleId="128">
    <w:name w:val="MTDisplayEquation Char"/>
    <w:link w:val="127"/>
    <w:qFormat/>
    <w:uiPriority w:val="0"/>
    <w:rPr>
      <w:rFonts w:ascii="Times New Roman" w:hAnsi="Times New Roman" w:eastAsia="宋体" w:cs="Times New Roman"/>
      <w:kern w:val="2"/>
      <w:sz w:val="24"/>
      <w:szCs w:val="24"/>
    </w:rPr>
  </w:style>
  <w:style w:type="paragraph" w:customStyle="1" w:styleId="129">
    <w:name w:val="08图片格式"/>
    <w:basedOn w:val="1"/>
    <w:qFormat/>
    <w:uiPriority w:val="0"/>
    <w:pPr>
      <w:keepNext/>
      <w:adjustRightInd/>
      <w:snapToGrid/>
      <w:spacing w:line="312" w:lineRule="auto"/>
      <w:jc w:val="center"/>
    </w:pPr>
    <w:rPr>
      <w:rFonts w:ascii="Times New Roman" w:hAnsi="Times New Roman" w:eastAsia="宋体" w:cs="Times New Roman"/>
      <w:sz w:val="24"/>
      <w:szCs w:val="24"/>
    </w:rPr>
  </w:style>
  <w:style w:type="paragraph" w:customStyle="1" w:styleId="130">
    <w:name w:val="样式1"/>
    <w:basedOn w:val="101"/>
    <w:next w:val="129"/>
    <w:link w:val="131"/>
    <w:qFormat/>
    <w:uiPriority w:val="0"/>
    <w:pPr>
      <w:keepNext/>
      <w:spacing w:beforeLines="50"/>
    </w:pPr>
  </w:style>
  <w:style w:type="character" w:customStyle="1" w:styleId="131">
    <w:name w:val="样式1 Char"/>
    <w:link w:val="130"/>
    <w:qFormat/>
    <w:uiPriority w:val="0"/>
    <w:rPr>
      <w:rFonts w:ascii="Times New Roman" w:hAnsi="Times New Roman" w:eastAsia="黑体" w:cs="Times New Roman"/>
      <w:kern w:val="2"/>
      <w:sz w:val="21"/>
      <w:szCs w:val="24"/>
    </w:rPr>
  </w:style>
  <w:style w:type="paragraph" w:customStyle="1" w:styleId="132">
    <w:name w:val="s"/>
    <w:basedOn w:val="1"/>
    <w:qFormat/>
    <w:uiPriority w:val="0"/>
    <w:pPr>
      <w:adjustRightInd/>
      <w:snapToGrid/>
      <w:spacing w:line="360" w:lineRule="atLeast"/>
      <w:ind w:firstLine="200" w:firstLineChars="200"/>
    </w:pPr>
    <w:rPr>
      <w:rFonts w:ascii="Times New Roman" w:hAnsi="Times New Roman" w:eastAsia="仿宋_GB2312" w:cs="Times New Roman"/>
      <w:sz w:val="24"/>
      <w:szCs w:val="24"/>
    </w:rPr>
  </w:style>
  <w:style w:type="paragraph" w:customStyle="1" w:styleId="133">
    <w:name w:val="z"/>
    <w:basedOn w:val="1"/>
    <w:qFormat/>
    <w:uiPriority w:val="0"/>
    <w:pPr>
      <w:adjustRightInd/>
      <w:snapToGrid/>
      <w:spacing w:line="360" w:lineRule="auto"/>
      <w:ind w:firstLine="200" w:firstLineChars="200"/>
    </w:pPr>
    <w:rPr>
      <w:rFonts w:ascii="Times New Roman" w:hAnsi="Times New Roman" w:eastAsia="宋体" w:cs="Times New Roman"/>
      <w:sz w:val="24"/>
      <w:szCs w:val="24"/>
    </w:rPr>
  </w:style>
  <w:style w:type="paragraph" w:customStyle="1" w:styleId="134">
    <w:name w:val="说明"/>
    <w:basedOn w:val="1"/>
    <w:qFormat/>
    <w:uiPriority w:val="0"/>
    <w:pPr>
      <w:adjustRightInd/>
      <w:snapToGrid/>
      <w:spacing w:line="400" w:lineRule="atLeast"/>
    </w:pPr>
    <w:rPr>
      <w:rFonts w:ascii="楷体_GB2312" w:hAnsi="Times New Roman" w:eastAsia="楷体_GB2312" w:cs="Times New Roman"/>
      <w:sz w:val="24"/>
      <w:szCs w:val="24"/>
    </w:rPr>
  </w:style>
  <w:style w:type="paragraph" w:customStyle="1" w:styleId="135">
    <w:name w:val="Char Char Char Char Char Char Char"/>
    <w:basedOn w:val="1"/>
    <w:qFormat/>
    <w:uiPriority w:val="0"/>
    <w:pPr>
      <w:widowControl/>
      <w:topLinePunct/>
      <w:snapToGrid/>
      <w:spacing w:after="160" w:line="240" w:lineRule="exact"/>
      <w:jc w:val="left"/>
    </w:pPr>
    <w:rPr>
      <w:rFonts w:ascii="Arial" w:hAnsi="Arial" w:eastAsia="Times New Roman" w:cs="Verdana"/>
      <w:b/>
      <w:kern w:val="0"/>
      <w:sz w:val="24"/>
      <w:szCs w:val="24"/>
      <w:lang w:eastAsia="en-US"/>
    </w:rPr>
  </w:style>
  <w:style w:type="paragraph" w:customStyle="1" w:styleId="136">
    <w:name w:val="样式 标题 2 + 黑色"/>
    <w:basedOn w:val="3"/>
    <w:qFormat/>
    <w:uiPriority w:val="0"/>
    <w:pPr>
      <w:adjustRightInd/>
      <w:snapToGrid/>
      <w:spacing w:before="0" w:after="0" w:line="360" w:lineRule="auto"/>
      <w:jc w:val="center"/>
    </w:pPr>
    <w:rPr>
      <w:rFonts w:ascii="Times New Roman" w:hAnsi="Times New Roman" w:eastAsia="黑体" w:cs="Times New Roman"/>
      <w:color w:val="000000"/>
      <w:sz w:val="21"/>
      <w:szCs w:val="21"/>
    </w:rPr>
  </w:style>
  <w:style w:type="paragraph" w:customStyle="1" w:styleId="137">
    <w:name w:val="样式2"/>
    <w:basedOn w:val="27"/>
    <w:link w:val="138"/>
    <w:qFormat/>
    <w:uiPriority w:val="0"/>
    <w:pPr>
      <w:pBdr>
        <w:bottom w:val="none" w:color="auto" w:sz="0" w:space="0"/>
      </w:pBdr>
      <w:adjustRightInd/>
    </w:pPr>
    <w:rPr>
      <w:rFonts w:ascii="Times New Roman" w:hAnsi="Times New Roman" w:eastAsia="宋体" w:cs="Times New Roman"/>
    </w:rPr>
  </w:style>
  <w:style w:type="character" w:customStyle="1" w:styleId="138">
    <w:name w:val="样式2 Char"/>
    <w:link w:val="137"/>
    <w:qFormat/>
    <w:uiPriority w:val="0"/>
    <w:rPr>
      <w:rFonts w:ascii="Times New Roman" w:hAnsi="Times New Roman" w:eastAsia="宋体" w:cs="Times New Roman"/>
      <w:kern w:val="2"/>
      <w:sz w:val="18"/>
      <w:szCs w:val="18"/>
    </w:rPr>
  </w:style>
  <w:style w:type="paragraph" w:customStyle="1" w:styleId="139">
    <w:name w:val="样式3"/>
    <w:basedOn w:val="27"/>
    <w:link w:val="140"/>
    <w:qFormat/>
    <w:uiPriority w:val="0"/>
    <w:pPr>
      <w:pBdr>
        <w:bottom w:val="none" w:color="auto" w:sz="0" w:space="0"/>
      </w:pBdr>
      <w:adjustRightInd/>
    </w:pPr>
    <w:rPr>
      <w:rFonts w:ascii="Times New Roman" w:hAnsi="Times New Roman" w:eastAsia="宋体" w:cs="Times New Roman"/>
    </w:rPr>
  </w:style>
  <w:style w:type="character" w:customStyle="1" w:styleId="140">
    <w:name w:val="样式3 Char"/>
    <w:link w:val="139"/>
    <w:qFormat/>
    <w:uiPriority w:val="0"/>
    <w:rPr>
      <w:rFonts w:ascii="Times New Roman" w:hAnsi="Times New Roman" w:eastAsia="宋体" w:cs="Times New Roman"/>
      <w:kern w:val="2"/>
      <w:sz w:val="18"/>
      <w:szCs w:val="18"/>
    </w:rPr>
  </w:style>
  <w:style w:type="paragraph" w:customStyle="1" w:styleId="141">
    <w:name w:val="样式4"/>
    <w:basedOn w:val="27"/>
    <w:link w:val="142"/>
    <w:qFormat/>
    <w:uiPriority w:val="0"/>
    <w:pPr>
      <w:pBdr>
        <w:bottom w:val="none" w:color="auto" w:sz="0" w:space="0"/>
      </w:pBdr>
      <w:adjustRightInd/>
    </w:pPr>
    <w:rPr>
      <w:rFonts w:ascii="Times New Roman" w:hAnsi="Times New Roman" w:eastAsia="宋体" w:cs="Times New Roman"/>
    </w:rPr>
  </w:style>
  <w:style w:type="character" w:customStyle="1" w:styleId="142">
    <w:name w:val="样式4 Char"/>
    <w:link w:val="141"/>
    <w:qFormat/>
    <w:uiPriority w:val="0"/>
    <w:rPr>
      <w:rFonts w:ascii="Times New Roman" w:hAnsi="Times New Roman" w:eastAsia="宋体" w:cs="Times New Roman"/>
      <w:kern w:val="2"/>
      <w:sz w:val="18"/>
      <w:szCs w:val="18"/>
    </w:rPr>
  </w:style>
  <w:style w:type="paragraph" w:customStyle="1" w:styleId="143">
    <w:name w:val="样式5"/>
    <w:basedOn w:val="27"/>
    <w:link w:val="144"/>
    <w:qFormat/>
    <w:uiPriority w:val="0"/>
    <w:pPr>
      <w:pBdr>
        <w:bottom w:val="none" w:color="auto" w:sz="0" w:space="0"/>
      </w:pBdr>
      <w:adjustRightInd/>
    </w:pPr>
    <w:rPr>
      <w:rFonts w:ascii="Times New Roman" w:hAnsi="Times New Roman" w:eastAsia="宋体" w:cs="Times New Roman"/>
    </w:rPr>
  </w:style>
  <w:style w:type="character" w:customStyle="1" w:styleId="144">
    <w:name w:val="样式5 Char"/>
    <w:link w:val="143"/>
    <w:qFormat/>
    <w:uiPriority w:val="0"/>
    <w:rPr>
      <w:rFonts w:ascii="Times New Roman" w:hAnsi="Times New Roman" w:eastAsia="宋体" w:cs="Times New Roman"/>
      <w:kern w:val="2"/>
      <w:sz w:val="18"/>
      <w:szCs w:val="18"/>
    </w:rPr>
  </w:style>
  <w:style w:type="paragraph" w:customStyle="1" w:styleId="145">
    <w:name w:val="样式6"/>
    <w:basedOn w:val="27"/>
    <w:link w:val="146"/>
    <w:qFormat/>
    <w:uiPriority w:val="0"/>
    <w:pPr>
      <w:pBdr>
        <w:bottom w:val="none" w:color="auto" w:sz="0" w:space="0"/>
      </w:pBdr>
      <w:adjustRightInd/>
    </w:pPr>
    <w:rPr>
      <w:rFonts w:ascii="Times New Roman" w:hAnsi="Times New Roman" w:eastAsia="宋体" w:cs="Times New Roman"/>
    </w:rPr>
  </w:style>
  <w:style w:type="character" w:customStyle="1" w:styleId="146">
    <w:name w:val="样式6 Char"/>
    <w:link w:val="145"/>
    <w:qFormat/>
    <w:uiPriority w:val="0"/>
    <w:rPr>
      <w:rFonts w:ascii="Times New Roman" w:hAnsi="Times New Roman" w:eastAsia="宋体" w:cs="Times New Roman"/>
      <w:kern w:val="2"/>
      <w:sz w:val="18"/>
      <w:szCs w:val="18"/>
    </w:rPr>
  </w:style>
  <w:style w:type="paragraph" w:customStyle="1" w:styleId="147">
    <w:name w:val="样式7"/>
    <w:basedOn w:val="27"/>
    <w:link w:val="148"/>
    <w:qFormat/>
    <w:uiPriority w:val="0"/>
    <w:pPr>
      <w:pBdr>
        <w:bottom w:val="none" w:color="auto" w:sz="0" w:space="0"/>
      </w:pBdr>
      <w:adjustRightInd/>
    </w:pPr>
    <w:rPr>
      <w:rFonts w:ascii="Times New Roman" w:hAnsi="Times New Roman" w:eastAsia="宋体" w:cs="Times New Roman"/>
    </w:rPr>
  </w:style>
  <w:style w:type="character" w:customStyle="1" w:styleId="148">
    <w:name w:val="样式7 Char"/>
    <w:link w:val="147"/>
    <w:qFormat/>
    <w:uiPriority w:val="0"/>
    <w:rPr>
      <w:rFonts w:ascii="Times New Roman" w:hAnsi="Times New Roman" w:eastAsia="宋体" w:cs="Times New Roman"/>
      <w:kern w:val="2"/>
      <w:sz w:val="18"/>
      <w:szCs w:val="18"/>
    </w:rPr>
  </w:style>
  <w:style w:type="paragraph" w:customStyle="1" w:styleId="149">
    <w:name w:val="样式8"/>
    <w:basedOn w:val="27"/>
    <w:link w:val="150"/>
    <w:qFormat/>
    <w:uiPriority w:val="0"/>
    <w:pPr>
      <w:pBdr>
        <w:bottom w:val="none" w:color="auto" w:sz="0" w:space="0"/>
      </w:pBdr>
      <w:adjustRightInd/>
    </w:pPr>
    <w:rPr>
      <w:rFonts w:ascii="Times New Roman" w:hAnsi="Times New Roman" w:eastAsia="宋体" w:cs="Times New Roman"/>
    </w:rPr>
  </w:style>
  <w:style w:type="character" w:customStyle="1" w:styleId="150">
    <w:name w:val="样式8 Char"/>
    <w:link w:val="149"/>
    <w:qFormat/>
    <w:uiPriority w:val="0"/>
    <w:rPr>
      <w:rFonts w:ascii="Times New Roman" w:hAnsi="Times New Roman" w:eastAsia="宋体" w:cs="Times New Roman"/>
      <w:kern w:val="2"/>
      <w:sz w:val="18"/>
      <w:szCs w:val="18"/>
    </w:rPr>
  </w:style>
  <w:style w:type="paragraph" w:customStyle="1" w:styleId="151">
    <w:name w:val="样式9"/>
    <w:basedOn w:val="27"/>
    <w:link w:val="152"/>
    <w:qFormat/>
    <w:uiPriority w:val="0"/>
    <w:pPr>
      <w:pBdr>
        <w:bottom w:val="none" w:color="auto" w:sz="0" w:space="0"/>
      </w:pBdr>
      <w:adjustRightInd/>
    </w:pPr>
    <w:rPr>
      <w:rFonts w:ascii="Times New Roman" w:hAnsi="Times New Roman" w:eastAsia="宋体" w:cs="Times New Roman"/>
    </w:rPr>
  </w:style>
  <w:style w:type="character" w:customStyle="1" w:styleId="152">
    <w:name w:val="样式9 Char"/>
    <w:link w:val="151"/>
    <w:qFormat/>
    <w:uiPriority w:val="0"/>
    <w:rPr>
      <w:rFonts w:ascii="Times New Roman" w:hAnsi="Times New Roman" w:eastAsia="宋体" w:cs="Times New Roman"/>
      <w:kern w:val="2"/>
      <w:sz w:val="18"/>
      <w:szCs w:val="18"/>
    </w:rPr>
  </w:style>
  <w:style w:type="paragraph" w:customStyle="1" w:styleId="153">
    <w:name w:val="样式10"/>
    <w:basedOn w:val="27"/>
    <w:link w:val="154"/>
    <w:qFormat/>
    <w:uiPriority w:val="0"/>
    <w:pPr>
      <w:pBdr>
        <w:bottom w:val="none" w:color="auto" w:sz="0" w:space="0"/>
      </w:pBdr>
      <w:adjustRightInd/>
    </w:pPr>
    <w:rPr>
      <w:rFonts w:ascii="Times New Roman" w:hAnsi="Times New Roman" w:eastAsia="宋体" w:cs="Times New Roman"/>
    </w:rPr>
  </w:style>
  <w:style w:type="character" w:customStyle="1" w:styleId="154">
    <w:name w:val="样式10 Char"/>
    <w:link w:val="153"/>
    <w:qFormat/>
    <w:uiPriority w:val="0"/>
    <w:rPr>
      <w:rFonts w:ascii="Times New Roman" w:hAnsi="Times New Roman" w:eastAsia="宋体" w:cs="Times New Roman"/>
      <w:kern w:val="2"/>
      <w:sz w:val="18"/>
      <w:szCs w:val="18"/>
    </w:rPr>
  </w:style>
  <w:style w:type="paragraph" w:customStyle="1" w:styleId="155">
    <w:name w:val="样式11"/>
    <w:basedOn w:val="27"/>
    <w:link w:val="156"/>
    <w:qFormat/>
    <w:uiPriority w:val="0"/>
    <w:pPr>
      <w:pBdr>
        <w:bottom w:val="none" w:color="auto" w:sz="0" w:space="0"/>
      </w:pBdr>
      <w:adjustRightInd/>
    </w:pPr>
    <w:rPr>
      <w:rFonts w:ascii="Times New Roman" w:hAnsi="Times New Roman" w:eastAsia="宋体" w:cs="Times New Roman"/>
    </w:rPr>
  </w:style>
  <w:style w:type="character" w:customStyle="1" w:styleId="156">
    <w:name w:val="样式11 Char"/>
    <w:link w:val="155"/>
    <w:qFormat/>
    <w:uiPriority w:val="0"/>
    <w:rPr>
      <w:rFonts w:ascii="Times New Roman" w:hAnsi="Times New Roman" w:eastAsia="宋体" w:cs="Times New Roman"/>
      <w:kern w:val="2"/>
      <w:sz w:val="18"/>
      <w:szCs w:val="18"/>
    </w:rPr>
  </w:style>
  <w:style w:type="paragraph" w:customStyle="1" w:styleId="157">
    <w:name w:val="样式 样式 四号 + 首行缩进:  2 字符"/>
    <w:basedOn w:val="1"/>
    <w:link w:val="158"/>
    <w:qFormat/>
    <w:uiPriority w:val="0"/>
    <w:pPr>
      <w:adjustRightInd/>
      <w:snapToGrid/>
      <w:spacing w:line="360" w:lineRule="auto"/>
      <w:ind w:firstLine="200" w:firstLineChars="200"/>
    </w:pPr>
    <w:rPr>
      <w:rFonts w:ascii="Times New Roman" w:hAnsi="Times New Roman" w:eastAsia="宋体" w:cs="宋体"/>
      <w:sz w:val="24"/>
      <w:szCs w:val="20"/>
    </w:rPr>
  </w:style>
  <w:style w:type="character" w:customStyle="1" w:styleId="158">
    <w:name w:val="样式 样式 四号 + 首行缩进:  2 字符 Char"/>
    <w:link w:val="157"/>
    <w:qFormat/>
    <w:uiPriority w:val="0"/>
    <w:rPr>
      <w:rFonts w:ascii="Times New Roman" w:hAnsi="Times New Roman" w:eastAsia="宋体" w:cs="宋体"/>
      <w:kern w:val="2"/>
      <w:sz w:val="24"/>
    </w:rPr>
  </w:style>
  <w:style w:type="paragraph" w:customStyle="1" w:styleId="159">
    <w:name w:val="样式 四号"/>
    <w:basedOn w:val="1"/>
    <w:link w:val="160"/>
    <w:qFormat/>
    <w:uiPriority w:val="0"/>
    <w:pPr>
      <w:adjustRightInd/>
      <w:snapToGrid/>
      <w:ind w:firstLine="560" w:firstLineChars="200"/>
    </w:pPr>
    <w:rPr>
      <w:rFonts w:ascii="Times New Roman" w:hAnsi="Times New Roman" w:eastAsia="宋体" w:cs="宋体"/>
      <w:sz w:val="24"/>
      <w:szCs w:val="20"/>
    </w:rPr>
  </w:style>
  <w:style w:type="character" w:customStyle="1" w:styleId="160">
    <w:name w:val="样式 四号 Char"/>
    <w:link w:val="159"/>
    <w:qFormat/>
    <w:uiPriority w:val="0"/>
    <w:rPr>
      <w:rFonts w:ascii="Times New Roman" w:hAnsi="Times New Roman" w:eastAsia="宋体" w:cs="宋体"/>
      <w:kern w:val="2"/>
      <w:sz w:val="24"/>
    </w:rPr>
  </w:style>
  <w:style w:type="paragraph" w:customStyle="1" w:styleId="161">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162">
    <w:name w:val="1 Char Char Char Char"/>
    <w:basedOn w:val="1"/>
    <w:qFormat/>
    <w:uiPriority w:val="0"/>
    <w:pPr>
      <w:adjustRightInd/>
      <w:snapToGrid/>
    </w:pPr>
    <w:rPr>
      <w:rFonts w:ascii="Times New Roman" w:hAnsi="Times New Roman" w:eastAsia="宋体" w:cs="Times New Roman"/>
      <w:szCs w:val="20"/>
    </w:rPr>
  </w:style>
  <w:style w:type="character" w:customStyle="1" w:styleId="163">
    <w:name w:val="段 Char Char"/>
    <w:link w:val="164"/>
    <w:qFormat/>
    <w:uiPriority w:val="0"/>
    <w:rPr>
      <w:rFonts w:ascii="宋体"/>
    </w:rPr>
  </w:style>
  <w:style w:type="paragraph" w:customStyle="1" w:styleId="164">
    <w:name w:val="段"/>
    <w:link w:val="16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lang w:val="en-US" w:eastAsia="zh-CN" w:bidi="ar-SA"/>
    </w:rPr>
  </w:style>
  <w:style w:type="paragraph" w:customStyle="1" w:styleId="165">
    <w:name w:val="正文表标题"/>
    <w:next w:val="164"/>
    <w:qFormat/>
    <w:uiPriority w:val="0"/>
    <w:pPr>
      <w:numPr>
        <w:ilvl w:val="0"/>
        <w:numId w:val="2"/>
      </w:numPr>
      <w:tabs>
        <w:tab w:val="left" w:pos="360"/>
        <w:tab w:val="left" w:pos="840"/>
      </w:tabs>
      <w:spacing w:beforeLines="50" w:afterLines="50"/>
      <w:jc w:val="center"/>
    </w:pPr>
    <w:rPr>
      <w:rFonts w:ascii="黑体" w:hAnsi="Times New Roman" w:eastAsia="黑体" w:cs="Times New Roman"/>
      <w:sz w:val="21"/>
      <w:lang w:val="en-US" w:eastAsia="zh-CN" w:bidi="ar-SA"/>
    </w:rPr>
  </w:style>
  <w:style w:type="paragraph" w:customStyle="1" w:styleId="166">
    <w:name w:val="表内文字"/>
    <w:basedOn w:val="1"/>
    <w:qFormat/>
    <w:uiPriority w:val="0"/>
    <w:pPr>
      <w:adjustRightInd/>
      <w:snapToGrid/>
      <w:spacing w:line="300" w:lineRule="auto"/>
      <w:jc w:val="center"/>
    </w:pPr>
    <w:rPr>
      <w:rFonts w:ascii="Times New Roman" w:hAnsi="Times New Roman" w:eastAsia="宋体" w:cs="Times New Roman"/>
      <w:bCs/>
      <w:szCs w:val="21"/>
    </w:rPr>
  </w:style>
  <w:style w:type="paragraph" w:customStyle="1" w:styleId="167">
    <w:name w:val="2"/>
    <w:basedOn w:val="1"/>
    <w:qFormat/>
    <w:uiPriority w:val="0"/>
    <w:pPr>
      <w:widowControl/>
      <w:adjustRightInd/>
      <w:snapToGrid/>
      <w:spacing w:after="160" w:line="240" w:lineRule="exact"/>
      <w:jc w:val="left"/>
    </w:pPr>
    <w:rPr>
      <w:rFonts w:ascii="Arial" w:hAnsi="Arial" w:eastAsia="Times New Roman" w:cs="Verdana"/>
      <w:b/>
      <w:kern w:val="0"/>
      <w:sz w:val="24"/>
      <w:szCs w:val="24"/>
      <w:lang w:eastAsia="en-US"/>
    </w:rPr>
  </w:style>
  <w:style w:type="paragraph" w:customStyle="1" w:styleId="168">
    <w:name w:val="条文正文"/>
    <w:basedOn w:val="1"/>
    <w:link w:val="169"/>
    <w:qFormat/>
    <w:uiPriority w:val="0"/>
    <w:pPr>
      <w:adjustRightInd/>
      <w:snapToGrid/>
      <w:spacing w:line="300" w:lineRule="auto"/>
      <w:outlineLvl w:val="2"/>
    </w:pPr>
    <w:rPr>
      <w:rFonts w:ascii="Times New Roman" w:hAnsi="Times New Roman" w:eastAsia="宋体" w:cs="Times New Roman"/>
      <w:sz w:val="24"/>
      <w:szCs w:val="24"/>
    </w:rPr>
  </w:style>
  <w:style w:type="character" w:customStyle="1" w:styleId="169">
    <w:name w:val="条文正文 Char"/>
    <w:link w:val="168"/>
    <w:qFormat/>
    <w:uiPriority w:val="0"/>
    <w:rPr>
      <w:rFonts w:ascii="Times New Roman" w:hAnsi="Times New Roman" w:eastAsia="宋体" w:cs="Times New Roman"/>
      <w:kern w:val="2"/>
      <w:sz w:val="24"/>
      <w:szCs w:val="24"/>
    </w:rPr>
  </w:style>
  <w:style w:type="paragraph" w:customStyle="1" w:styleId="170">
    <w:name w:val="注文字"/>
    <w:basedOn w:val="1"/>
    <w:qFormat/>
    <w:uiPriority w:val="0"/>
    <w:pPr>
      <w:adjustRightInd/>
      <w:snapToGrid/>
      <w:ind w:left="788" w:leftChars="200" w:hanging="368" w:hangingChars="175"/>
    </w:pPr>
    <w:rPr>
      <w:rFonts w:ascii="Times New Roman" w:hAnsi="Times New Roman" w:eastAsia="宋体" w:cs="Times New Roman"/>
      <w:szCs w:val="21"/>
    </w:rPr>
  </w:style>
  <w:style w:type="paragraph" w:customStyle="1" w:styleId="171">
    <w:name w:val="样式 条文正文 + 加粗"/>
    <w:basedOn w:val="168"/>
    <w:link w:val="172"/>
    <w:qFormat/>
    <w:uiPriority w:val="0"/>
    <w:rPr>
      <w:b/>
      <w:bCs/>
    </w:rPr>
  </w:style>
  <w:style w:type="character" w:customStyle="1" w:styleId="172">
    <w:name w:val="样式 条文正文 + 加粗 Char"/>
    <w:link w:val="171"/>
    <w:qFormat/>
    <w:uiPriority w:val="0"/>
    <w:rPr>
      <w:rFonts w:ascii="Times New Roman" w:hAnsi="Times New Roman" w:eastAsia="宋体" w:cs="Times New Roman"/>
      <w:b/>
      <w:bCs/>
      <w:kern w:val="2"/>
      <w:sz w:val="24"/>
      <w:szCs w:val="24"/>
    </w:rPr>
  </w:style>
  <w:style w:type="paragraph" w:customStyle="1" w:styleId="173">
    <w:name w:val="1"/>
    <w:basedOn w:val="1"/>
    <w:link w:val="174"/>
    <w:qFormat/>
    <w:uiPriority w:val="0"/>
    <w:pPr>
      <w:adjustRightInd/>
      <w:snapToGrid/>
      <w:spacing w:line="300" w:lineRule="auto"/>
      <w:ind w:firstLine="482" w:firstLineChars="200"/>
    </w:pPr>
    <w:rPr>
      <w:rFonts w:ascii="Times New Roman" w:hAnsi="Times New Roman" w:eastAsia="宋体" w:cs="Times New Roman"/>
      <w:sz w:val="24"/>
      <w:szCs w:val="24"/>
    </w:rPr>
  </w:style>
  <w:style w:type="character" w:customStyle="1" w:styleId="174">
    <w:name w:val="1 Char"/>
    <w:link w:val="173"/>
    <w:qFormat/>
    <w:uiPriority w:val="0"/>
    <w:rPr>
      <w:rFonts w:ascii="Times New Roman" w:hAnsi="Times New Roman" w:eastAsia="宋体" w:cs="Times New Roman"/>
      <w:kern w:val="2"/>
      <w:sz w:val="24"/>
      <w:szCs w:val="24"/>
    </w:rPr>
  </w:style>
  <w:style w:type="character" w:customStyle="1" w:styleId="175">
    <w:name w:val="headline-content3"/>
    <w:basedOn w:val="45"/>
    <w:qFormat/>
    <w:uiPriority w:val="0"/>
  </w:style>
  <w:style w:type="paragraph" w:customStyle="1" w:styleId="176">
    <w:name w:val="album-div1"/>
    <w:basedOn w:val="1"/>
    <w:qFormat/>
    <w:uiPriority w:val="0"/>
    <w:pPr>
      <w:widowControl/>
      <w:shd w:val="clear" w:color="auto" w:fill="FFFFFF"/>
      <w:adjustRightInd/>
      <w:snapToGrid/>
      <w:spacing w:before="100" w:beforeAutospacing="1" w:after="100" w:afterAutospacing="1"/>
      <w:jc w:val="left"/>
    </w:pPr>
    <w:rPr>
      <w:rFonts w:ascii="宋体" w:hAnsi="宋体" w:eastAsia="宋体" w:cs="宋体"/>
      <w:kern w:val="0"/>
      <w:sz w:val="24"/>
      <w:szCs w:val="24"/>
    </w:rPr>
  </w:style>
  <w:style w:type="character" w:customStyle="1" w:styleId="177">
    <w:name w:val="占位符文本1"/>
    <w:semiHidden/>
    <w:qFormat/>
    <w:uiPriority w:val="99"/>
    <w:rPr>
      <w:color w:val="808080"/>
    </w:rPr>
  </w:style>
  <w:style w:type="paragraph" w:customStyle="1" w:styleId="178">
    <w:name w:val="02条文"/>
    <w:basedOn w:val="1"/>
    <w:next w:val="1"/>
    <w:qFormat/>
    <w:uiPriority w:val="0"/>
    <w:pPr>
      <w:tabs>
        <w:tab w:val="left" w:pos="5220"/>
      </w:tabs>
      <w:adjustRightInd/>
      <w:snapToGrid/>
      <w:spacing w:line="312" w:lineRule="auto"/>
    </w:pPr>
    <w:rPr>
      <w:rFonts w:ascii="Times New Roman" w:hAnsi="Times New Roman" w:eastAsia="宋体" w:cs="Times New Roman"/>
      <w:sz w:val="24"/>
      <w:szCs w:val="24"/>
    </w:rPr>
  </w:style>
  <w:style w:type="paragraph" w:customStyle="1" w:styleId="179">
    <w:name w:val="章"/>
    <w:basedOn w:val="1"/>
    <w:link w:val="199"/>
    <w:qFormat/>
    <w:uiPriority w:val="0"/>
    <w:pPr>
      <w:adjustRightInd/>
      <w:snapToGrid/>
      <w:spacing w:beforeLines="100" w:afterLines="100" w:line="300" w:lineRule="auto"/>
      <w:jc w:val="center"/>
      <w:outlineLvl w:val="0"/>
    </w:pPr>
    <w:rPr>
      <w:rFonts w:ascii="Times New Roman" w:hAnsi="Times New Roman" w:eastAsia="宋体" w:cs="Times New Roman"/>
      <w:b/>
      <w:bCs/>
      <w:sz w:val="28"/>
      <w:szCs w:val="28"/>
    </w:rPr>
  </w:style>
  <w:style w:type="paragraph" w:customStyle="1" w:styleId="180">
    <w:name w:val="Char Char Char Char Char Char Char1"/>
    <w:basedOn w:val="1"/>
    <w:qFormat/>
    <w:uiPriority w:val="0"/>
    <w:pPr>
      <w:widowControl/>
      <w:topLinePunct/>
      <w:snapToGrid/>
      <w:spacing w:after="160" w:line="240" w:lineRule="exact"/>
      <w:jc w:val="left"/>
    </w:pPr>
    <w:rPr>
      <w:rFonts w:ascii="Arial" w:hAnsi="Arial" w:eastAsia="Times New Roman" w:cs="Verdana"/>
      <w:b/>
      <w:kern w:val="0"/>
      <w:sz w:val="24"/>
      <w:szCs w:val="24"/>
      <w:lang w:eastAsia="en-US"/>
    </w:rPr>
  </w:style>
  <w:style w:type="character" w:customStyle="1" w:styleId="181">
    <w:name w:val="批注文字 Char1"/>
    <w:basedOn w:val="45"/>
    <w:semiHidden/>
    <w:qFormat/>
    <w:uiPriority w:val="99"/>
    <w:rPr>
      <w:rFonts w:ascii="Times New Roman" w:hAnsi="Times New Roman"/>
      <w:kern w:val="2"/>
      <w:sz w:val="24"/>
      <w:szCs w:val="24"/>
    </w:rPr>
  </w:style>
  <w:style w:type="character" w:customStyle="1" w:styleId="182">
    <w:name w:val="批注主题 Char1"/>
    <w:basedOn w:val="181"/>
    <w:semiHidden/>
    <w:qFormat/>
    <w:uiPriority w:val="0"/>
    <w:rPr>
      <w:rFonts w:ascii="Times New Roman" w:hAnsi="Times New Roman"/>
      <w:b/>
      <w:bCs/>
      <w:kern w:val="2"/>
      <w:sz w:val="24"/>
      <w:szCs w:val="24"/>
    </w:rPr>
  </w:style>
  <w:style w:type="paragraph" w:customStyle="1" w:styleId="183">
    <w:name w:val="公式文字"/>
    <w:basedOn w:val="102"/>
    <w:qFormat/>
    <w:uiPriority w:val="0"/>
    <w:pPr>
      <w:ind w:left="-100" w:leftChars="-100" w:firstLine="0"/>
      <w:jc w:val="left"/>
    </w:pPr>
    <w:rPr>
      <w:color w:val="000000"/>
      <w:sz w:val="24"/>
      <w:szCs w:val="21"/>
    </w:rPr>
  </w:style>
  <w:style w:type="paragraph" w:customStyle="1" w:styleId="184">
    <w:name w:val="3"/>
    <w:qFormat/>
    <w:uiPriority w:val="0"/>
    <w:pPr>
      <w:widowControl w:val="0"/>
      <w:spacing w:line="312"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85">
    <w:name w:val="正文3"/>
    <w:basedOn w:val="1"/>
    <w:qFormat/>
    <w:uiPriority w:val="0"/>
    <w:pPr>
      <w:adjustRightInd/>
      <w:snapToGrid/>
      <w:spacing w:line="360" w:lineRule="auto"/>
      <w:ind w:firstLine="480" w:firstLineChars="200"/>
    </w:pPr>
    <w:rPr>
      <w:rFonts w:ascii="Times New Roman" w:hAnsi="Times New Roman" w:eastAsia="宋体" w:cs="宋体"/>
      <w:sz w:val="24"/>
      <w:szCs w:val="24"/>
    </w:rPr>
  </w:style>
  <w:style w:type="paragraph" w:customStyle="1" w:styleId="186">
    <w:name w:val="分条"/>
    <w:basedOn w:val="1"/>
    <w:link w:val="187"/>
    <w:qFormat/>
    <w:uiPriority w:val="0"/>
    <w:pPr>
      <w:adjustRightInd/>
      <w:snapToGrid/>
      <w:spacing w:line="360" w:lineRule="auto"/>
      <w:ind w:firstLine="200" w:firstLineChars="200"/>
    </w:pPr>
    <w:rPr>
      <w:rFonts w:ascii="Times New Roman" w:hAnsi="Times New Roman" w:eastAsia="宋体" w:cs="Times New Roman"/>
      <w:sz w:val="24"/>
      <w:szCs w:val="20"/>
    </w:rPr>
  </w:style>
  <w:style w:type="character" w:customStyle="1" w:styleId="187">
    <w:name w:val="分条 Char"/>
    <w:link w:val="186"/>
    <w:qFormat/>
    <w:locked/>
    <w:uiPriority w:val="0"/>
    <w:rPr>
      <w:rFonts w:ascii="Times New Roman" w:hAnsi="Times New Roman" w:eastAsia="宋体" w:cs="Times New Roman"/>
      <w:kern w:val="2"/>
      <w:sz w:val="24"/>
    </w:rPr>
  </w:style>
  <w:style w:type="paragraph" w:customStyle="1" w:styleId="188">
    <w:name w:val="Char1 Char Char Char"/>
    <w:basedOn w:val="1"/>
    <w:qFormat/>
    <w:uiPriority w:val="0"/>
    <w:pPr>
      <w:widowControl/>
      <w:adjustRightInd/>
      <w:snapToGrid/>
      <w:spacing w:after="160" w:line="240" w:lineRule="exact"/>
      <w:ind w:firstLine="200" w:firstLineChars="200"/>
      <w:jc w:val="left"/>
    </w:pPr>
    <w:rPr>
      <w:rFonts w:ascii="Times New Roman" w:hAnsi="Times New Roman" w:eastAsia="宋体" w:cs="Times New Roman"/>
      <w:szCs w:val="20"/>
    </w:rPr>
  </w:style>
  <w:style w:type="paragraph" w:customStyle="1" w:styleId="189">
    <w:name w:val="p0"/>
    <w:basedOn w:val="1"/>
    <w:qFormat/>
    <w:uiPriority w:val="0"/>
    <w:pPr>
      <w:widowControl/>
      <w:adjustRightInd/>
      <w:snapToGrid/>
    </w:pPr>
    <w:rPr>
      <w:rFonts w:ascii="Times New Roman" w:hAnsi="Times New Roman" w:eastAsia="宋体" w:cs="Times New Roman"/>
      <w:kern w:val="0"/>
      <w:szCs w:val="20"/>
    </w:rPr>
  </w:style>
  <w:style w:type="table" w:customStyle="1" w:styleId="190">
    <w:name w:val="网格型1"/>
    <w:basedOn w:val="4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2"/>
    <w:basedOn w:val="4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3"/>
    <w:basedOn w:val="4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4"/>
    <w:basedOn w:val="4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5"/>
    <w:basedOn w:val="4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6"/>
    <w:basedOn w:val="4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7"/>
    <w:basedOn w:val="43"/>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high-light-bg4"/>
    <w:basedOn w:val="45"/>
    <w:qFormat/>
    <w:uiPriority w:val="0"/>
  </w:style>
  <w:style w:type="paragraph" w:customStyle="1" w:styleId="198">
    <w:name w:val="节"/>
    <w:basedOn w:val="1"/>
    <w:qFormat/>
    <w:uiPriority w:val="0"/>
    <w:pPr>
      <w:adjustRightInd/>
      <w:snapToGrid/>
      <w:spacing w:beforeLines="100" w:afterLines="100" w:line="300" w:lineRule="auto"/>
      <w:jc w:val="center"/>
      <w:outlineLvl w:val="1"/>
    </w:pPr>
    <w:rPr>
      <w:rFonts w:ascii="Times New Roman" w:hAnsi="Times New Roman" w:eastAsia="宋体" w:cs="Times New Roman"/>
      <w:b/>
      <w:bCs/>
      <w:sz w:val="24"/>
      <w:szCs w:val="24"/>
    </w:rPr>
  </w:style>
  <w:style w:type="character" w:customStyle="1" w:styleId="199">
    <w:name w:val="章 Char"/>
    <w:link w:val="179"/>
    <w:qFormat/>
    <w:uiPriority w:val="0"/>
    <w:rPr>
      <w:rFonts w:ascii="Times New Roman" w:hAnsi="Times New Roman" w:eastAsia="宋体" w:cs="Times New Roman"/>
      <w:b/>
      <w:bCs/>
      <w:kern w:val="2"/>
      <w:sz w:val="28"/>
      <w:szCs w:val="28"/>
    </w:rPr>
  </w:style>
  <w:style w:type="character" w:customStyle="1" w:styleId="200">
    <w:name w:val="05表头 Char"/>
    <w:link w:val="101"/>
    <w:qFormat/>
    <w:uiPriority w:val="0"/>
    <w:rPr>
      <w:rFonts w:ascii="Times New Roman" w:hAnsi="Times New Roman" w:eastAsia="黑体" w:cs="Times New Roman"/>
      <w:kern w:val="2"/>
      <w:sz w:val="21"/>
      <w:szCs w:val="24"/>
    </w:rPr>
  </w:style>
  <w:style w:type="paragraph" w:customStyle="1" w:styleId="201">
    <w:name w:val="04说明"/>
    <w:basedOn w:val="178"/>
    <w:qFormat/>
    <w:uiPriority w:val="0"/>
    <w:pPr>
      <w:spacing w:line="276" w:lineRule="auto"/>
      <w:ind w:firstLine="200" w:firstLineChars="200"/>
    </w:pPr>
    <w:rPr>
      <w:rFonts w:hAnsi="楷体" w:eastAsia="楷体"/>
      <w:sz w:val="21"/>
      <w:szCs w:val="21"/>
    </w:rPr>
  </w:style>
  <w:style w:type="paragraph" w:customStyle="1" w:styleId="202">
    <w:name w:val="表头"/>
    <w:basedOn w:val="1"/>
    <w:link w:val="203"/>
    <w:qFormat/>
    <w:uiPriority w:val="0"/>
    <w:pPr>
      <w:adjustRightInd/>
      <w:snapToGrid/>
      <w:spacing w:beforeLines="50" w:afterLines="50" w:line="300" w:lineRule="auto"/>
      <w:jc w:val="center"/>
    </w:pPr>
    <w:rPr>
      <w:rFonts w:ascii="Times New Roman" w:hAnsi="Times New Roman" w:eastAsia="宋体" w:cs="Times New Roman"/>
      <w:b/>
      <w:bCs/>
      <w:szCs w:val="21"/>
    </w:rPr>
  </w:style>
  <w:style w:type="character" w:customStyle="1" w:styleId="203">
    <w:name w:val="表头 Char"/>
    <w:link w:val="202"/>
    <w:qFormat/>
    <w:uiPriority w:val="0"/>
    <w:rPr>
      <w:rFonts w:ascii="Times New Roman" w:hAnsi="Times New Roman" w:eastAsia="宋体" w:cs="Times New Roman"/>
      <w:b/>
      <w:bCs/>
      <w:kern w:val="2"/>
      <w:sz w:val="21"/>
      <w:szCs w:val="21"/>
    </w:rPr>
  </w:style>
  <w:style w:type="paragraph" w:customStyle="1" w:styleId="204">
    <w:name w:val="表"/>
    <w:basedOn w:val="1"/>
    <w:link w:val="205"/>
    <w:qFormat/>
    <w:uiPriority w:val="0"/>
    <w:pPr>
      <w:adjustRightInd/>
      <w:snapToGrid/>
      <w:spacing w:line="300" w:lineRule="auto"/>
      <w:jc w:val="center"/>
    </w:pPr>
    <w:rPr>
      <w:rFonts w:ascii="Times New Roman" w:hAnsi="Times New Roman" w:eastAsia="宋体" w:cs="Times New Roman"/>
      <w:bCs/>
      <w:szCs w:val="21"/>
    </w:rPr>
  </w:style>
  <w:style w:type="character" w:customStyle="1" w:styleId="205">
    <w:name w:val="表 Char"/>
    <w:link w:val="204"/>
    <w:qFormat/>
    <w:uiPriority w:val="0"/>
    <w:rPr>
      <w:rFonts w:ascii="Times New Roman" w:hAnsi="Times New Roman" w:eastAsia="宋体" w:cs="Times New Roman"/>
      <w:bCs/>
      <w:kern w:val="2"/>
      <w:sz w:val="21"/>
      <w:szCs w:val="21"/>
    </w:rPr>
  </w:style>
  <w:style w:type="paragraph" w:customStyle="1" w:styleId="206">
    <w:name w:val="13注1"/>
    <w:basedOn w:val="1"/>
    <w:qFormat/>
    <w:uiPriority w:val="0"/>
    <w:pPr>
      <w:adjustRightInd/>
      <w:snapToGrid/>
      <w:spacing w:line="312" w:lineRule="auto"/>
      <w:ind w:left="550" w:leftChars="200" w:hanging="350" w:hangingChars="350"/>
    </w:pPr>
    <w:rPr>
      <w:rFonts w:ascii="Times New Roman" w:hAnsi="Times New Roman" w:eastAsia="宋体" w:cs="Times New Roman"/>
      <w:sz w:val="18"/>
      <w:szCs w:val="24"/>
    </w:rPr>
  </w:style>
  <w:style w:type="paragraph" w:customStyle="1" w:styleId="207">
    <w:name w:val="14注2"/>
    <w:basedOn w:val="1"/>
    <w:qFormat/>
    <w:uiPriority w:val="0"/>
    <w:pPr>
      <w:adjustRightInd/>
      <w:snapToGrid/>
      <w:spacing w:line="312" w:lineRule="auto"/>
      <w:ind w:left="500" w:leftChars="350" w:hanging="150" w:hangingChars="150"/>
    </w:pPr>
    <w:rPr>
      <w:rFonts w:ascii="Times New Roman" w:hAnsi="Times New Roman" w:eastAsia="宋体" w:cs="Times New Roman"/>
      <w:sz w:val="18"/>
      <w:szCs w:val="24"/>
    </w:rPr>
  </w:style>
  <w:style w:type="paragraph" w:customStyle="1" w:styleId="208">
    <w:name w:val="12公式注"/>
    <w:basedOn w:val="1"/>
    <w:qFormat/>
    <w:uiPriority w:val="0"/>
    <w:pPr>
      <w:adjustRightInd/>
      <w:snapToGrid/>
      <w:spacing w:line="312" w:lineRule="auto"/>
      <w:ind w:left="-50" w:leftChars="-50" w:right="-50" w:rightChars="-50"/>
    </w:pPr>
    <w:rPr>
      <w:rFonts w:ascii="Times New Roman" w:hAnsi="Times New Roman" w:eastAsia="宋体" w:cs="Times New Roman"/>
      <w:sz w:val="24"/>
      <w:szCs w:val="24"/>
    </w:rPr>
  </w:style>
  <w:style w:type="character" w:customStyle="1" w:styleId="209">
    <w:name w:val="段 Char"/>
    <w:qFormat/>
    <w:uiPriority w:val="0"/>
    <w:rPr>
      <w:rFonts w:ascii="宋体" w:hAnsi="Times New Roman" w:eastAsia="宋体" w:cs="Times New Roman"/>
      <w:kern w:val="0"/>
      <w:szCs w:val="20"/>
    </w:rPr>
  </w:style>
  <w:style w:type="paragraph" w:customStyle="1" w:styleId="210">
    <w:name w:val="一级条标题"/>
    <w:next w:val="164"/>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211">
    <w:name w:val="章标题"/>
    <w:next w:val="164"/>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212">
    <w:name w:val="二级条标题"/>
    <w:basedOn w:val="210"/>
    <w:next w:val="164"/>
    <w:qFormat/>
    <w:uiPriority w:val="0"/>
    <w:pPr>
      <w:numPr>
        <w:ilvl w:val="2"/>
      </w:numPr>
      <w:spacing w:before="50" w:after="50"/>
      <w:outlineLvl w:val="3"/>
    </w:pPr>
  </w:style>
  <w:style w:type="paragraph" w:customStyle="1" w:styleId="213">
    <w:name w:val="三级条标题"/>
    <w:basedOn w:val="212"/>
    <w:next w:val="164"/>
    <w:qFormat/>
    <w:uiPriority w:val="0"/>
    <w:pPr>
      <w:numPr>
        <w:ilvl w:val="3"/>
      </w:numPr>
      <w:outlineLvl w:val="4"/>
    </w:pPr>
  </w:style>
  <w:style w:type="paragraph" w:customStyle="1" w:styleId="214">
    <w:name w:val="四级条标题"/>
    <w:basedOn w:val="213"/>
    <w:next w:val="164"/>
    <w:qFormat/>
    <w:uiPriority w:val="0"/>
    <w:pPr>
      <w:numPr>
        <w:ilvl w:val="4"/>
      </w:numPr>
      <w:outlineLvl w:val="5"/>
    </w:pPr>
  </w:style>
  <w:style w:type="paragraph" w:customStyle="1" w:styleId="215">
    <w:name w:val="五级条标题"/>
    <w:basedOn w:val="214"/>
    <w:next w:val="164"/>
    <w:qFormat/>
    <w:uiPriority w:val="0"/>
    <w:pPr>
      <w:numPr>
        <w:ilvl w:val="5"/>
      </w:numPr>
      <w:outlineLvl w:val="6"/>
    </w:pPr>
  </w:style>
  <w:style w:type="paragraph" w:customStyle="1" w:styleId="216">
    <w:name w:val="注："/>
    <w:next w:val="164"/>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217">
    <w:name w:val="注：（正文）"/>
    <w:basedOn w:val="216"/>
    <w:next w:val="164"/>
    <w:qFormat/>
    <w:uiPriority w:val="0"/>
  </w:style>
  <w:style w:type="paragraph" w:customStyle="1" w:styleId="218">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21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22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221">
    <w:name w:val="目次、标准名称标题"/>
    <w:basedOn w:val="1"/>
    <w:next w:val="164"/>
    <w:qFormat/>
    <w:uiPriority w:val="0"/>
    <w:pPr>
      <w:keepNext/>
      <w:pageBreakBefore/>
      <w:widowControl/>
      <w:shd w:val="clear" w:color="FFFFFF" w:fill="FFFFFF"/>
      <w:adjustRightInd/>
      <w:snapToGrid/>
      <w:spacing w:before="640" w:after="560" w:line="460" w:lineRule="exact"/>
      <w:jc w:val="center"/>
      <w:outlineLvl w:val="0"/>
    </w:pPr>
    <w:rPr>
      <w:rFonts w:ascii="黑体" w:hAnsi="Times New Roman" w:eastAsia="黑体" w:cs="Times New Roman"/>
      <w:kern w:val="0"/>
      <w:sz w:val="32"/>
      <w:szCs w:val="20"/>
    </w:rPr>
  </w:style>
  <w:style w:type="paragraph" w:customStyle="1" w:styleId="22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23">
    <w:name w:val="X.X"/>
    <w:basedOn w:val="210"/>
    <w:link w:val="224"/>
    <w:qFormat/>
    <w:uiPriority w:val="0"/>
    <w:pPr>
      <w:numPr>
        <w:ilvl w:val="0"/>
        <w:numId w:val="0"/>
      </w:numPr>
      <w:spacing w:beforeLines="0" w:afterLines="0"/>
      <w:ind w:left="1418"/>
      <w:jc w:val="both"/>
    </w:pPr>
    <w:rPr>
      <w:szCs w:val="20"/>
    </w:rPr>
  </w:style>
  <w:style w:type="character" w:customStyle="1" w:styleId="224">
    <w:name w:val="X.X Char"/>
    <w:basedOn w:val="45"/>
    <w:link w:val="223"/>
    <w:qFormat/>
    <w:uiPriority w:val="0"/>
    <w:rPr>
      <w:rFonts w:ascii="黑体" w:hAnsi="Times New Roman" w:eastAsia="黑体" w:cs="Times New Roman"/>
      <w:sz w:val="21"/>
    </w:rPr>
  </w:style>
  <w:style w:type="character" w:customStyle="1" w:styleId="225">
    <w:name w:val="apple-converted-space"/>
    <w:basedOn w:val="45"/>
    <w:qFormat/>
    <w:uiPriority w:val="0"/>
  </w:style>
  <w:style w:type="paragraph" w:customStyle="1" w:styleId="226">
    <w:name w:val="无间隔1"/>
    <w:qFormat/>
    <w:uiPriority w:val="1"/>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27">
    <w:name w:val="p17"/>
    <w:basedOn w:val="1"/>
    <w:qFormat/>
    <w:uiPriority w:val="0"/>
    <w:pPr>
      <w:widowControl/>
      <w:adjustRightInd/>
      <w:snapToGrid/>
      <w:ind w:firstLine="420"/>
    </w:pPr>
    <w:rPr>
      <w:rFonts w:ascii="宋体" w:hAnsi="宋体" w:eastAsia="宋体" w:cs="宋体"/>
      <w:kern w:val="0"/>
      <w:szCs w:val="21"/>
    </w:rPr>
  </w:style>
  <w:style w:type="paragraph" w:customStyle="1" w:styleId="228">
    <w:name w:val="p22"/>
    <w:basedOn w:val="1"/>
    <w:qFormat/>
    <w:uiPriority w:val="0"/>
    <w:pPr>
      <w:widowControl/>
      <w:adjustRightInd/>
      <w:snapToGrid/>
      <w:spacing w:before="180" w:line="180" w:lineRule="atLeast"/>
      <w:jc w:val="center"/>
    </w:pPr>
    <w:rPr>
      <w:rFonts w:ascii="宋体" w:hAnsi="宋体" w:eastAsia="宋体" w:cs="宋体"/>
      <w:kern w:val="0"/>
      <w:szCs w:val="21"/>
    </w:rPr>
  </w:style>
  <w:style w:type="paragraph" w:customStyle="1" w:styleId="229">
    <w:name w:val="article title"/>
    <w:basedOn w:val="135"/>
    <w:link w:val="230"/>
    <w:qFormat/>
    <w:uiPriority w:val="99"/>
    <w:pPr>
      <w:topLinePunct w:val="0"/>
      <w:adjustRightInd/>
      <w:spacing w:after="0" w:line="360" w:lineRule="auto"/>
      <w:jc w:val="center"/>
      <w:outlineLvl w:val="0"/>
    </w:pPr>
    <w:rPr>
      <w:rFonts w:ascii="黑体" w:hAnsi="黑体" w:eastAsia="黑体" w:cs="Times New Roman"/>
      <w:color w:val="000000"/>
      <w:sz w:val="28"/>
      <w:szCs w:val="20"/>
    </w:rPr>
  </w:style>
  <w:style w:type="character" w:customStyle="1" w:styleId="230">
    <w:name w:val="article title Char"/>
    <w:link w:val="229"/>
    <w:qFormat/>
    <w:uiPriority w:val="99"/>
    <w:rPr>
      <w:rFonts w:ascii="黑体" w:hAnsi="黑体" w:eastAsia="黑体" w:cs="Times New Roman"/>
      <w:b/>
      <w:color w:val="000000"/>
      <w:sz w:val="28"/>
      <w:lang w:eastAsia="en-US"/>
    </w:rPr>
  </w:style>
  <w:style w:type="paragraph" w:customStyle="1" w:styleId="231">
    <w:name w:val="Body"/>
    <w:basedOn w:val="1"/>
    <w:link w:val="232"/>
    <w:qFormat/>
    <w:uiPriority w:val="99"/>
    <w:pPr>
      <w:snapToGrid/>
      <w:spacing w:line="360" w:lineRule="auto"/>
      <w:outlineLvl w:val="2"/>
    </w:pPr>
    <w:rPr>
      <w:rFonts w:ascii="Times New Roman" w:hAnsi="Times New Roman" w:cs="Times New Roman"/>
      <w:color w:val="000000"/>
      <w:sz w:val="24"/>
      <w:szCs w:val="20"/>
    </w:rPr>
  </w:style>
  <w:style w:type="character" w:customStyle="1" w:styleId="232">
    <w:name w:val="Body Char"/>
    <w:link w:val="231"/>
    <w:qFormat/>
    <w:uiPriority w:val="99"/>
    <w:rPr>
      <w:rFonts w:ascii="Times New Roman" w:hAnsi="Times New Roman" w:cs="Times New Roman"/>
      <w:color w:val="000000"/>
      <w:kern w:val="2"/>
      <w:sz w:val="24"/>
    </w:rPr>
  </w:style>
  <w:style w:type="character" w:customStyle="1" w:styleId="233">
    <w:name w:val="doc_title"/>
    <w:qFormat/>
    <w:uiPriority w:val="0"/>
  </w:style>
  <w:style w:type="paragraph" w:customStyle="1" w:styleId="234">
    <w:name w:val="小标题"/>
    <w:next w:val="1"/>
    <w:link w:val="235"/>
    <w:qFormat/>
    <w:uiPriority w:val="0"/>
    <w:pPr>
      <w:spacing w:after="200" w:afterLines="50"/>
    </w:pPr>
    <w:rPr>
      <w:rFonts w:ascii="宋体" w:hAnsi="宋体" w:eastAsia="宋体" w:cs="Times New Roman"/>
      <w:bCs/>
      <w:color w:val="C00000"/>
      <w:kern w:val="2"/>
      <w:sz w:val="24"/>
      <w:szCs w:val="21"/>
      <w:lang w:val="en-US" w:eastAsia="zh-CN" w:bidi="ar-SA"/>
    </w:rPr>
  </w:style>
  <w:style w:type="character" w:customStyle="1" w:styleId="235">
    <w:name w:val="小标题 Char"/>
    <w:link w:val="234"/>
    <w:qFormat/>
    <w:uiPriority w:val="0"/>
    <w:rPr>
      <w:rFonts w:ascii="宋体" w:hAnsi="宋体" w:eastAsia="宋体" w:cs="Times New Roman"/>
      <w:bCs/>
      <w:color w:val="C00000"/>
      <w:kern w:val="2"/>
      <w:sz w:val="24"/>
      <w:szCs w:val="21"/>
    </w:rPr>
  </w:style>
  <w:style w:type="paragraph" w:customStyle="1" w:styleId="236">
    <w:name w:val="2子系统"/>
    <w:next w:val="1"/>
    <w:qFormat/>
    <w:uiPriority w:val="0"/>
    <w:pPr>
      <w:numPr>
        <w:ilvl w:val="0"/>
        <w:numId w:val="6"/>
      </w:numPr>
      <w:spacing w:beforeLines="50" w:after="468"/>
      <w:outlineLvl w:val="1"/>
    </w:pPr>
    <w:rPr>
      <w:rFonts w:ascii="黑体" w:hAnsi="黑体" w:eastAsia="黑体" w:cs="Times New Roman"/>
      <w:color w:val="C00000"/>
      <w:kern w:val="2"/>
      <w:sz w:val="28"/>
      <w:szCs w:val="28"/>
      <w:lang w:val="en-US" w:eastAsia="zh-CN" w:bidi="ar-SA"/>
    </w:rPr>
  </w:style>
  <w:style w:type="paragraph" w:customStyle="1" w:styleId="237">
    <w:name w:val="3子系统说明"/>
    <w:next w:val="1"/>
    <w:link w:val="238"/>
    <w:qFormat/>
    <w:uiPriority w:val="0"/>
    <w:pPr>
      <w:numPr>
        <w:ilvl w:val="1"/>
        <w:numId w:val="6"/>
      </w:numPr>
      <w:spacing w:after="120"/>
      <w:outlineLvl w:val="2"/>
    </w:pPr>
    <w:rPr>
      <w:rFonts w:ascii="黑体" w:hAnsi="黑体" w:eastAsia="黑体" w:cs="Times New Roman"/>
      <w:bCs/>
      <w:color w:val="C00000"/>
      <w:kern w:val="2"/>
      <w:sz w:val="24"/>
      <w:szCs w:val="21"/>
      <w:lang w:val="en-US" w:eastAsia="zh-CN" w:bidi="ar-SA"/>
    </w:rPr>
  </w:style>
  <w:style w:type="character" w:customStyle="1" w:styleId="238">
    <w:name w:val="3子系统说明 Char"/>
    <w:link w:val="237"/>
    <w:qFormat/>
    <w:uiPriority w:val="0"/>
    <w:rPr>
      <w:rFonts w:ascii="黑体" w:hAnsi="黑体" w:eastAsia="黑体" w:cs="Times New Roman"/>
      <w:bCs/>
      <w:color w:val="C00000"/>
      <w:kern w:val="2"/>
      <w:sz w:val="24"/>
      <w:szCs w:val="21"/>
    </w:rPr>
  </w:style>
  <w:style w:type="paragraph" w:customStyle="1" w:styleId="239">
    <w:name w:val="Style14"/>
    <w:basedOn w:val="1"/>
    <w:link w:val="240"/>
    <w:qFormat/>
    <w:uiPriority w:val="0"/>
    <w:pPr>
      <w:widowControl/>
      <w:numPr>
        <w:ilvl w:val="0"/>
        <w:numId w:val="7"/>
      </w:numPr>
      <w:adjustRightInd/>
      <w:snapToGrid/>
      <w:spacing w:after="200" w:line="360" w:lineRule="auto"/>
      <w:ind w:firstLine="0"/>
      <w:jc w:val="left"/>
    </w:pPr>
    <w:rPr>
      <w:rFonts w:ascii="宋体" w:hAnsi="宋体" w:eastAsia="宋体" w:cs="Arial"/>
      <w:color w:val="000000"/>
      <w:sz w:val="24"/>
      <w:szCs w:val="24"/>
    </w:rPr>
  </w:style>
  <w:style w:type="character" w:customStyle="1" w:styleId="240">
    <w:name w:val="Style14 Char"/>
    <w:link w:val="239"/>
    <w:qFormat/>
    <w:uiPriority w:val="0"/>
    <w:rPr>
      <w:rFonts w:ascii="宋体" w:hAnsi="宋体" w:eastAsia="宋体" w:cs="Arial"/>
      <w:color w:val="000000"/>
      <w:kern w:val="2"/>
      <w:sz w:val="24"/>
      <w:szCs w:val="24"/>
    </w:rPr>
  </w:style>
  <w:style w:type="paragraph" w:customStyle="1" w:styleId="241">
    <w:name w:val="附录标识"/>
    <w:basedOn w:val="1"/>
    <w:next w:val="164"/>
    <w:qFormat/>
    <w:uiPriority w:val="0"/>
    <w:pPr>
      <w:keepNext/>
      <w:widowControl/>
      <w:numPr>
        <w:ilvl w:val="0"/>
        <w:numId w:val="8"/>
      </w:numPr>
      <w:shd w:val="clear" w:color="FFFFFF" w:fill="FFFFFF"/>
      <w:tabs>
        <w:tab w:val="left" w:pos="6405"/>
      </w:tabs>
      <w:adjustRightInd/>
      <w:snapToGrid/>
      <w:spacing w:before="640" w:after="280"/>
      <w:jc w:val="center"/>
      <w:outlineLvl w:val="0"/>
    </w:pPr>
    <w:rPr>
      <w:rFonts w:ascii="黑体" w:hAnsi="Times New Roman" w:eastAsia="黑体" w:cs="Times New Roman"/>
      <w:kern w:val="0"/>
      <w:szCs w:val="20"/>
    </w:rPr>
  </w:style>
  <w:style w:type="paragraph" w:customStyle="1" w:styleId="242">
    <w:name w:val="附录表标号"/>
    <w:basedOn w:val="1"/>
    <w:next w:val="164"/>
    <w:qFormat/>
    <w:uiPriority w:val="0"/>
    <w:pPr>
      <w:numPr>
        <w:ilvl w:val="0"/>
        <w:numId w:val="9"/>
      </w:numPr>
      <w:tabs>
        <w:tab w:val="clear" w:pos="0"/>
      </w:tabs>
      <w:adjustRightInd/>
      <w:snapToGrid/>
      <w:spacing w:line="14" w:lineRule="exact"/>
      <w:ind w:left="811" w:hanging="448"/>
      <w:jc w:val="center"/>
      <w:outlineLvl w:val="0"/>
    </w:pPr>
    <w:rPr>
      <w:rFonts w:ascii="Times New Roman" w:hAnsi="Times New Roman" w:eastAsia="宋体" w:cs="Times New Roman"/>
      <w:color w:val="FFFFFF"/>
      <w:szCs w:val="24"/>
    </w:rPr>
  </w:style>
  <w:style w:type="paragraph" w:customStyle="1" w:styleId="243">
    <w:name w:val="附录表标题"/>
    <w:basedOn w:val="1"/>
    <w:next w:val="164"/>
    <w:qFormat/>
    <w:uiPriority w:val="0"/>
    <w:pPr>
      <w:numPr>
        <w:ilvl w:val="1"/>
        <w:numId w:val="9"/>
      </w:numPr>
      <w:tabs>
        <w:tab w:val="left" w:pos="180"/>
      </w:tabs>
      <w:adjustRightInd/>
      <w:snapToGrid/>
      <w:spacing w:beforeLines="50" w:afterLines="50"/>
      <w:ind w:left="0" w:firstLine="0"/>
      <w:jc w:val="center"/>
    </w:pPr>
    <w:rPr>
      <w:rFonts w:ascii="黑体" w:hAnsi="Times New Roman" w:eastAsia="黑体" w:cs="Times New Roman"/>
      <w:szCs w:val="21"/>
    </w:rPr>
  </w:style>
  <w:style w:type="paragraph" w:customStyle="1" w:styleId="244">
    <w:name w:val="附录二级条标题"/>
    <w:basedOn w:val="1"/>
    <w:next w:val="164"/>
    <w:qFormat/>
    <w:uiPriority w:val="0"/>
    <w:pPr>
      <w:widowControl/>
      <w:numPr>
        <w:ilvl w:val="3"/>
        <w:numId w:val="8"/>
      </w:numPr>
      <w:tabs>
        <w:tab w:val="left" w:pos="360"/>
      </w:tabs>
      <w:wordWrap w:val="0"/>
      <w:overflowPunct w:val="0"/>
      <w:autoSpaceDE w:val="0"/>
      <w:autoSpaceDN w:val="0"/>
      <w:adjustRightInd/>
      <w:snapToGrid/>
      <w:spacing w:beforeLines="50" w:afterLines="50"/>
      <w:textAlignment w:val="baseline"/>
      <w:outlineLvl w:val="3"/>
    </w:pPr>
    <w:rPr>
      <w:rFonts w:ascii="黑体" w:hAnsi="Times New Roman" w:eastAsia="黑体" w:cs="Times New Roman"/>
      <w:kern w:val="21"/>
      <w:szCs w:val="20"/>
    </w:rPr>
  </w:style>
  <w:style w:type="paragraph" w:customStyle="1" w:styleId="245">
    <w:name w:val="附录三级条标题"/>
    <w:basedOn w:val="244"/>
    <w:next w:val="164"/>
    <w:qFormat/>
    <w:uiPriority w:val="0"/>
    <w:pPr>
      <w:numPr>
        <w:ilvl w:val="4"/>
      </w:numPr>
      <w:outlineLvl w:val="4"/>
    </w:pPr>
  </w:style>
  <w:style w:type="paragraph" w:customStyle="1" w:styleId="246">
    <w:name w:val="附录四级条标题"/>
    <w:basedOn w:val="245"/>
    <w:next w:val="164"/>
    <w:qFormat/>
    <w:uiPriority w:val="0"/>
    <w:pPr>
      <w:numPr>
        <w:ilvl w:val="5"/>
      </w:numPr>
      <w:outlineLvl w:val="5"/>
    </w:pPr>
  </w:style>
  <w:style w:type="paragraph" w:customStyle="1" w:styleId="247">
    <w:name w:val="附录五级条标题"/>
    <w:basedOn w:val="246"/>
    <w:next w:val="164"/>
    <w:qFormat/>
    <w:uiPriority w:val="0"/>
    <w:pPr>
      <w:numPr>
        <w:ilvl w:val="6"/>
      </w:numPr>
      <w:outlineLvl w:val="6"/>
    </w:pPr>
  </w:style>
  <w:style w:type="paragraph" w:customStyle="1" w:styleId="248">
    <w:name w:val="附录章标题"/>
    <w:next w:val="164"/>
    <w:qFormat/>
    <w:uiPriority w:val="0"/>
    <w:pPr>
      <w:numPr>
        <w:ilvl w:val="1"/>
        <w:numId w:val="8"/>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9">
    <w:name w:val="附录一级条标题"/>
    <w:basedOn w:val="248"/>
    <w:next w:val="164"/>
    <w:qFormat/>
    <w:uiPriority w:val="0"/>
    <w:pPr>
      <w:numPr>
        <w:ilvl w:val="2"/>
      </w:numPr>
      <w:autoSpaceDN w:val="0"/>
      <w:spacing w:beforeLines="50" w:afterLines="50"/>
      <w:outlineLvl w:val="2"/>
    </w:pPr>
  </w:style>
  <w:style w:type="character" w:customStyle="1" w:styleId="250">
    <w:name w:val="正文文本 2 字符"/>
    <w:basedOn w:val="45"/>
    <w:link w:val="37"/>
    <w:qFormat/>
    <w:uiPriority w:val="0"/>
    <w:rPr>
      <w:rFonts w:ascii="Calibri" w:hAnsi="Calibri" w:eastAsia="宋体" w:cs="Times New Roman"/>
      <w:kern w:val="2"/>
      <w:sz w:val="21"/>
      <w:szCs w:val="22"/>
    </w:rPr>
  </w:style>
  <w:style w:type="paragraph" w:customStyle="1" w:styleId="251">
    <w:name w:val="修订2"/>
    <w:hidden/>
    <w:semiHidden/>
    <w:qFormat/>
    <w:uiPriority w:val="99"/>
    <w:rPr>
      <w:rFonts w:ascii="Calibri" w:hAnsi="Calibri" w:eastAsia="宋体" w:cs="Times New Roman"/>
      <w:kern w:val="2"/>
      <w:sz w:val="21"/>
      <w:szCs w:val="22"/>
      <w:lang w:val="en-US" w:eastAsia="zh-CN" w:bidi="ar-SA"/>
    </w:rPr>
  </w:style>
  <w:style w:type="paragraph" w:customStyle="1" w:styleId="252">
    <w:name w:val="标题 21"/>
    <w:basedOn w:val="1"/>
    <w:next w:val="1"/>
    <w:unhideWhenUsed/>
    <w:qFormat/>
    <w:uiPriority w:val="0"/>
    <w:pPr>
      <w:keepNext/>
      <w:keepLines/>
      <w:adjustRightInd/>
      <w:snapToGrid/>
      <w:spacing w:before="260" w:after="260" w:line="416" w:lineRule="auto"/>
      <w:outlineLvl w:val="1"/>
    </w:pPr>
    <w:rPr>
      <w:rFonts w:ascii="Cambria" w:hAnsi="Cambria" w:eastAsia="宋体" w:cs="Times New Roman"/>
      <w:b/>
      <w:bCs/>
      <w:sz w:val="32"/>
      <w:szCs w:val="32"/>
    </w:rPr>
  </w:style>
  <w:style w:type="paragraph" w:customStyle="1" w:styleId="253">
    <w:name w:val="样式 标题 1 + 华文新魏 二号 黑色"/>
    <w:basedOn w:val="2"/>
    <w:qFormat/>
    <w:uiPriority w:val="0"/>
    <w:pPr>
      <w:adjustRightInd/>
      <w:snapToGrid/>
      <w:spacing w:beforeLines="50" w:afterLines="50" w:line="240" w:lineRule="auto"/>
      <w:jc w:val="center"/>
    </w:pPr>
    <w:rPr>
      <w:rFonts w:ascii="华文新魏" w:hAnsi="华文新魏" w:eastAsia="华文新魏" w:cs="MS Gothic"/>
      <w:b w:val="0"/>
      <w:bCs w:val="0"/>
      <w:color w:val="000000"/>
      <w:kern w:val="0"/>
      <w:sz w:val="40"/>
    </w:rPr>
  </w:style>
  <w:style w:type="paragraph" w:customStyle="1" w:styleId="254">
    <w:name w:val="目录 11"/>
    <w:basedOn w:val="1"/>
    <w:next w:val="1"/>
    <w:qFormat/>
    <w:uiPriority w:val="39"/>
    <w:pPr>
      <w:adjustRightInd/>
      <w:snapToGrid/>
      <w:spacing w:before="120" w:after="120"/>
      <w:jc w:val="left"/>
    </w:pPr>
    <w:rPr>
      <w:rFonts w:ascii="Calibri" w:hAnsi="Calibri" w:eastAsia="宋体" w:cs="Times New Roman"/>
      <w:b/>
      <w:bCs/>
      <w:caps/>
      <w:sz w:val="20"/>
      <w:szCs w:val="20"/>
    </w:rPr>
  </w:style>
  <w:style w:type="paragraph" w:customStyle="1" w:styleId="255">
    <w:name w:val="目录 21"/>
    <w:basedOn w:val="1"/>
    <w:next w:val="1"/>
    <w:qFormat/>
    <w:uiPriority w:val="39"/>
    <w:pPr>
      <w:adjustRightInd/>
      <w:snapToGrid/>
      <w:ind w:left="210"/>
      <w:jc w:val="left"/>
    </w:pPr>
    <w:rPr>
      <w:rFonts w:ascii="Calibri" w:hAnsi="Calibri" w:eastAsia="宋体" w:cs="Times New Roman"/>
      <w:smallCaps/>
      <w:sz w:val="20"/>
      <w:szCs w:val="20"/>
    </w:rPr>
  </w:style>
  <w:style w:type="paragraph" w:customStyle="1" w:styleId="256">
    <w:name w:val="正文文本缩进 21"/>
    <w:basedOn w:val="1"/>
    <w:qFormat/>
    <w:uiPriority w:val="0"/>
    <w:pPr>
      <w:snapToGrid/>
      <w:spacing w:line="240" w:lineRule="atLeast"/>
      <w:ind w:firstLine="420"/>
      <w:textAlignment w:val="baseline"/>
    </w:pPr>
    <w:rPr>
      <w:rFonts w:ascii="Times New Roman" w:hAnsi="Times New Roman" w:eastAsia="楷体_GB2312" w:cs="Times New Roman"/>
      <w:szCs w:val="20"/>
    </w:rPr>
  </w:style>
  <w:style w:type="paragraph" w:customStyle="1" w:styleId="257">
    <w:name w:val="图"/>
    <w:basedOn w:val="16"/>
    <w:next w:val="1"/>
    <w:link w:val="272"/>
    <w:qFormat/>
    <w:uiPriority w:val="0"/>
    <w:pPr>
      <w:numPr>
        <w:ilvl w:val="0"/>
        <w:numId w:val="10"/>
      </w:numPr>
      <w:spacing w:after="0" w:line="240" w:lineRule="auto"/>
      <w:ind w:firstLine="0" w:firstLineChars="0"/>
      <w:jc w:val="center"/>
    </w:pPr>
    <w:rPr>
      <w:color w:val="000000"/>
    </w:rPr>
  </w:style>
  <w:style w:type="paragraph" w:customStyle="1" w:styleId="258">
    <w:name w:val="目录 31"/>
    <w:basedOn w:val="1"/>
    <w:next w:val="1"/>
    <w:unhideWhenUsed/>
    <w:qFormat/>
    <w:uiPriority w:val="39"/>
    <w:pPr>
      <w:adjustRightInd/>
      <w:snapToGrid/>
      <w:ind w:left="420"/>
      <w:jc w:val="left"/>
    </w:pPr>
    <w:rPr>
      <w:rFonts w:ascii="Calibri" w:hAnsi="Calibri" w:eastAsia="宋体" w:cs="Times New Roman"/>
      <w:i/>
      <w:iCs/>
      <w:sz w:val="20"/>
      <w:szCs w:val="20"/>
    </w:rPr>
  </w:style>
  <w:style w:type="paragraph" w:customStyle="1" w:styleId="259">
    <w:name w:val="目录 41"/>
    <w:basedOn w:val="1"/>
    <w:next w:val="1"/>
    <w:unhideWhenUsed/>
    <w:qFormat/>
    <w:uiPriority w:val="39"/>
    <w:pPr>
      <w:adjustRightInd/>
      <w:snapToGrid/>
      <w:ind w:left="630"/>
      <w:jc w:val="left"/>
    </w:pPr>
    <w:rPr>
      <w:rFonts w:ascii="Calibri" w:hAnsi="Calibri" w:eastAsia="宋体" w:cs="Times New Roman"/>
      <w:sz w:val="18"/>
      <w:szCs w:val="18"/>
    </w:rPr>
  </w:style>
  <w:style w:type="paragraph" w:customStyle="1" w:styleId="260">
    <w:name w:val="目录 51"/>
    <w:basedOn w:val="1"/>
    <w:next w:val="1"/>
    <w:unhideWhenUsed/>
    <w:qFormat/>
    <w:uiPriority w:val="39"/>
    <w:pPr>
      <w:adjustRightInd/>
      <w:snapToGrid/>
      <w:ind w:left="840"/>
      <w:jc w:val="left"/>
    </w:pPr>
    <w:rPr>
      <w:rFonts w:ascii="Calibri" w:hAnsi="Calibri" w:eastAsia="宋体" w:cs="Times New Roman"/>
      <w:sz w:val="18"/>
      <w:szCs w:val="18"/>
    </w:rPr>
  </w:style>
  <w:style w:type="paragraph" w:customStyle="1" w:styleId="261">
    <w:name w:val="目录 61"/>
    <w:basedOn w:val="1"/>
    <w:next w:val="1"/>
    <w:unhideWhenUsed/>
    <w:qFormat/>
    <w:uiPriority w:val="39"/>
    <w:pPr>
      <w:adjustRightInd/>
      <w:snapToGrid/>
      <w:ind w:left="1050"/>
      <w:jc w:val="left"/>
    </w:pPr>
    <w:rPr>
      <w:rFonts w:ascii="Calibri" w:hAnsi="Calibri" w:eastAsia="宋体" w:cs="Times New Roman"/>
      <w:sz w:val="18"/>
      <w:szCs w:val="18"/>
    </w:rPr>
  </w:style>
  <w:style w:type="paragraph" w:customStyle="1" w:styleId="262">
    <w:name w:val="目录 71"/>
    <w:basedOn w:val="1"/>
    <w:next w:val="1"/>
    <w:unhideWhenUsed/>
    <w:qFormat/>
    <w:uiPriority w:val="39"/>
    <w:pPr>
      <w:adjustRightInd/>
      <w:snapToGrid/>
      <w:ind w:left="1260"/>
      <w:jc w:val="left"/>
    </w:pPr>
    <w:rPr>
      <w:rFonts w:ascii="Calibri" w:hAnsi="Calibri" w:eastAsia="宋体" w:cs="Times New Roman"/>
      <w:sz w:val="18"/>
      <w:szCs w:val="18"/>
    </w:rPr>
  </w:style>
  <w:style w:type="paragraph" w:customStyle="1" w:styleId="263">
    <w:name w:val="目录 81"/>
    <w:basedOn w:val="1"/>
    <w:next w:val="1"/>
    <w:unhideWhenUsed/>
    <w:qFormat/>
    <w:uiPriority w:val="39"/>
    <w:pPr>
      <w:adjustRightInd/>
      <w:snapToGrid/>
      <w:ind w:left="1470"/>
      <w:jc w:val="left"/>
    </w:pPr>
    <w:rPr>
      <w:rFonts w:ascii="Calibri" w:hAnsi="Calibri" w:eastAsia="宋体" w:cs="Times New Roman"/>
      <w:sz w:val="18"/>
      <w:szCs w:val="18"/>
    </w:rPr>
  </w:style>
  <w:style w:type="paragraph" w:customStyle="1" w:styleId="264">
    <w:name w:val="目录 91"/>
    <w:basedOn w:val="1"/>
    <w:next w:val="1"/>
    <w:unhideWhenUsed/>
    <w:qFormat/>
    <w:uiPriority w:val="39"/>
    <w:pPr>
      <w:adjustRightInd/>
      <w:snapToGrid/>
      <w:ind w:left="1680"/>
      <w:jc w:val="left"/>
    </w:pPr>
    <w:rPr>
      <w:rFonts w:ascii="Calibri" w:hAnsi="Calibri" w:eastAsia="宋体" w:cs="Times New Roman"/>
      <w:sz w:val="18"/>
      <w:szCs w:val="18"/>
    </w:rPr>
  </w:style>
  <w:style w:type="character" w:styleId="265">
    <w:name w:val="Placeholder Text"/>
    <w:semiHidden/>
    <w:qFormat/>
    <w:uiPriority w:val="99"/>
    <w:rPr>
      <w:color w:val="808080"/>
    </w:rPr>
  </w:style>
  <w:style w:type="paragraph" w:customStyle="1" w:styleId="266">
    <w:name w:val="发布部门"/>
    <w:next w:val="1"/>
    <w:qFormat/>
    <w:uiPriority w:val="0"/>
    <w:pPr>
      <w:framePr w:w="7433" w:h="585" w:hRule="exact" w:hSpace="180" w:vSpace="180" w:wrap="around" w:vAnchor="margin" w:hAnchor="margin" w:xAlign="center" w:y="14401" w:anchorLock="1"/>
      <w:spacing w:before="340" w:after="330" w:line="576" w:lineRule="auto"/>
      <w:jc w:val="center"/>
    </w:pPr>
    <w:rPr>
      <w:rFonts w:ascii="宋体" w:hAnsi="Times New Roman" w:eastAsia="宋体" w:cs="Times New Roman"/>
      <w:b/>
      <w:spacing w:val="20"/>
      <w:w w:val="135"/>
      <w:kern w:val="2"/>
      <w:sz w:val="36"/>
      <w:szCs w:val="24"/>
      <w:lang w:val="en-US" w:eastAsia="zh-CN" w:bidi="ar-SA"/>
    </w:rPr>
  </w:style>
  <w:style w:type="paragraph" w:customStyle="1" w:styleId="267">
    <w:name w:val="实施日期"/>
    <w:basedOn w:val="1"/>
    <w:qFormat/>
    <w:uiPriority w:val="0"/>
    <w:pPr>
      <w:framePr w:w="4000" w:h="473" w:hRule="exact" w:vSpace="180" w:wrap="around" w:vAnchor="margin" w:hAnchor="margin" w:xAlign="right" w:y="13511" w:anchorLock="1"/>
      <w:widowControl/>
      <w:adjustRightInd/>
      <w:snapToGrid/>
      <w:spacing w:before="340" w:after="330" w:line="576" w:lineRule="auto"/>
      <w:jc w:val="right"/>
    </w:pPr>
    <w:rPr>
      <w:rFonts w:ascii="Times New Roman" w:hAnsi="Times New Roman" w:eastAsia="黑体" w:cs="Times New Roman"/>
      <w:kern w:val="0"/>
      <w:sz w:val="28"/>
      <w:szCs w:val="20"/>
    </w:rPr>
  </w:style>
  <w:style w:type="character" w:customStyle="1" w:styleId="268">
    <w:name w:val="trans"/>
    <w:basedOn w:val="45"/>
    <w:qFormat/>
    <w:uiPriority w:val="0"/>
  </w:style>
  <w:style w:type="character" w:customStyle="1" w:styleId="269">
    <w:name w:val="lijuyuanxing"/>
    <w:basedOn w:val="45"/>
    <w:qFormat/>
    <w:uiPriority w:val="0"/>
  </w:style>
  <w:style w:type="character" w:customStyle="1" w:styleId="270">
    <w:name w:val="书籍标题1"/>
    <w:qFormat/>
    <w:uiPriority w:val="33"/>
    <w:rPr>
      <w:b/>
      <w:bCs/>
      <w:smallCaps/>
      <w:spacing w:val="5"/>
    </w:rPr>
  </w:style>
  <w:style w:type="paragraph" w:customStyle="1" w:styleId="271">
    <w:name w:val="reader-word-layer"/>
    <w:basedOn w:val="1"/>
    <w:qFormat/>
    <w:uiPriority w:val="0"/>
    <w:pPr>
      <w:widowControl/>
      <w:adjustRightInd/>
      <w:snapToGrid/>
      <w:spacing w:before="100" w:beforeAutospacing="1" w:after="100" w:afterAutospacing="1"/>
      <w:jc w:val="left"/>
    </w:pPr>
    <w:rPr>
      <w:rFonts w:ascii="宋体" w:hAnsi="宋体" w:eastAsia="宋体" w:cs="宋体"/>
      <w:kern w:val="0"/>
      <w:sz w:val="24"/>
      <w:szCs w:val="24"/>
    </w:rPr>
  </w:style>
  <w:style w:type="character" w:customStyle="1" w:styleId="272">
    <w:name w:val="图 Char"/>
    <w:link w:val="257"/>
    <w:qFormat/>
    <w:uiPriority w:val="0"/>
    <w:rPr>
      <w:rFonts w:ascii="Times New Roman" w:hAnsi="Times New Roman" w:eastAsia="宋体" w:cs="Times New Roman"/>
      <w:color w:val="000000"/>
      <w:kern w:val="2"/>
      <w:sz w:val="24"/>
      <w:szCs w:val="24"/>
    </w:rPr>
  </w:style>
  <w:style w:type="character" w:customStyle="1" w:styleId="273">
    <w:name w:val="标题 2 Char1"/>
    <w:semiHidden/>
    <w:qFormat/>
    <w:uiPriority w:val="9"/>
    <w:rPr>
      <w:rFonts w:ascii="Calibri Light" w:hAnsi="Calibri Light" w:eastAsia="宋体" w:cs="Times New Roman"/>
      <w:b/>
      <w:bCs/>
      <w:sz w:val="32"/>
      <w:szCs w:val="32"/>
    </w:rPr>
  </w:style>
  <w:style w:type="paragraph" w:customStyle="1" w:styleId="274">
    <w:name w:val="款"/>
    <w:basedOn w:val="78"/>
    <w:qFormat/>
    <w:uiPriority w:val="0"/>
    <w:pPr>
      <w:numPr>
        <w:numId w:val="0"/>
      </w:numPr>
      <w:autoSpaceDE w:val="0"/>
      <w:autoSpaceDN w:val="0"/>
      <w:ind w:left="480"/>
      <w:contextualSpacing/>
      <w:jc w:val="center"/>
      <w:textAlignment w:val="center"/>
    </w:pPr>
  </w:style>
  <w:style w:type="paragraph" w:customStyle="1" w:styleId="275">
    <w:name w:val="TOC 标题2"/>
    <w:basedOn w:val="2"/>
    <w:next w:val="1"/>
    <w:unhideWhenUsed/>
    <w:qFormat/>
    <w:uiPriority w:val="39"/>
    <w:pPr>
      <w:widowControl/>
      <w:adjustRightInd/>
      <w:snapToGrid/>
      <w:spacing w:before="240" w:after="0" w:line="259" w:lineRule="auto"/>
      <w:jc w:val="left"/>
      <w:outlineLvl w:val="9"/>
    </w:pPr>
    <w:rPr>
      <w:rFonts w:ascii="Calibri Light" w:hAnsi="Calibri Light" w:eastAsia="宋体" w:cs="Times New Roman"/>
      <w:b w:val="0"/>
      <w:bCs w:val="0"/>
      <w:color w:val="2E74B5"/>
      <w:kern w:val="0"/>
      <w:sz w:val="32"/>
      <w:szCs w:val="32"/>
    </w:rPr>
  </w:style>
  <w:style w:type="character" w:customStyle="1" w:styleId="276">
    <w:name w:val="span_stdname1"/>
    <w:basedOn w:val="45"/>
    <w:qFormat/>
    <w:uiPriority w:val="0"/>
  </w:style>
  <w:style w:type="paragraph" w:customStyle="1" w:styleId="277">
    <w:name w:val="条文说明"/>
    <w:basedOn w:val="1"/>
    <w:qFormat/>
    <w:uiPriority w:val="0"/>
    <w:pPr>
      <w:adjustRightInd/>
      <w:snapToGrid/>
      <w:spacing w:line="288" w:lineRule="auto"/>
    </w:pPr>
    <w:rPr>
      <w:rFonts w:ascii="Times New Roman" w:hAnsi="Times New Roman" w:eastAsia="仿宋" w:cs="Times New Roman"/>
      <w:i/>
      <w:sz w:val="24"/>
    </w:rPr>
  </w:style>
  <w:style w:type="paragraph" w:customStyle="1" w:styleId="278">
    <w:name w:val="条文"/>
    <w:basedOn w:val="1"/>
    <w:qFormat/>
    <w:uiPriority w:val="0"/>
    <w:pPr>
      <w:adjustRightInd/>
      <w:snapToGrid/>
      <w:spacing w:beforeLines="100" w:line="288" w:lineRule="auto"/>
    </w:pPr>
    <w:rPr>
      <w:rFonts w:ascii="Times New Roman" w:hAnsi="Times New Roman" w:cs="Times New Roman"/>
      <w:sz w:val="24"/>
    </w:rPr>
  </w:style>
  <w:style w:type="character" w:customStyle="1" w:styleId="279">
    <w:name w:val="书籍标题11"/>
    <w:qFormat/>
    <w:uiPriority w:val="33"/>
    <w:rPr>
      <w:b/>
      <w:bCs/>
      <w:smallCaps/>
      <w:spacing w:val="5"/>
    </w:rPr>
  </w:style>
  <w:style w:type="paragraph" w:customStyle="1" w:styleId="280">
    <w:name w:val="TOC 标题21"/>
    <w:basedOn w:val="2"/>
    <w:next w:val="1"/>
    <w:unhideWhenUsed/>
    <w:qFormat/>
    <w:uiPriority w:val="39"/>
    <w:pPr>
      <w:widowControl/>
      <w:adjustRightInd/>
      <w:snapToGrid/>
      <w:spacing w:before="240" w:after="0" w:line="259" w:lineRule="auto"/>
      <w:jc w:val="left"/>
      <w:outlineLvl w:val="9"/>
    </w:pPr>
    <w:rPr>
      <w:rFonts w:ascii="Calibri Light" w:hAnsi="Calibri Light" w:eastAsia="宋体" w:cs="Times New Roman"/>
      <w:b w:val="0"/>
      <w:bCs w:val="0"/>
      <w:color w:val="2E74B5"/>
      <w:kern w:val="0"/>
      <w:sz w:val="32"/>
      <w:szCs w:val="32"/>
    </w:rPr>
  </w:style>
  <w:style w:type="character" w:customStyle="1" w:styleId="281">
    <w:name w:val="ask-title2"/>
    <w:basedOn w:val="45"/>
    <w:qFormat/>
    <w:uiPriority w:val="0"/>
  </w:style>
  <w:style w:type="paragraph" w:customStyle="1" w:styleId="282">
    <w:name w:val="标题 41"/>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283">
    <w:name w:val="标题 61"/>
    <w:basedOn w:val="1"/>
    <w:next w:val="1"/>
    <w:unhideWhenUsed/>
    <w:qFormat/>
    <w:uiPriority w:val="9"/>
    <w:pPr>
      <w:keepNext/>
      <w:keepLines/>
      <w:spacing w:before="240" w:after="64" w:line="320" w:lineRule="auto"/>
      <w:outlineLvl w:val="5"/>
    </w:pPr>
    <w:rPr>
      <w:rFonts w:ascii="Cambria" w:hAnsi="Cambria" w:eastAsia="宋体" w:cs="Times New Roman"/>
      <w:b/>
      <w:bCs/>
      <w:sz w:val="24"/>
      <w:szCs w:val="24"/>
    </w:rPr>
  </w:style>
  <w:style w:type="paragraph" w:customStyle="1" w:styleId="284">
    <w:name w:val="标题 81"/>
    <w:basedOn w:val="1"/>
    <w:next w:val="1"/>
    <w:unhideWhenUsed/>
    <w:qFormat/>
    <w:uiPriority w:val="9"/>
    <w:pPr>
      <w:keepNext/>
      <w:keepLines/>
      <w:spacing w:before="240" w:after="64" w:line="320" w:lineRule="auto"/>
      <w:outlineLvl w:val="7"/>
    </w:pPr>
    <w:rPr>
      <w:rFonts w:ascii="Cambria" w:hAnsi="Cambria" w:eastAsia="宋体" w:cs="Times New Roman"/>
      <w:sz w:val="24"/>
      <w:szCs w:val="24"/>
    </w:rPr>
  </w:style>
  <w:style w:type="paragraph" w:customStyle="1" w:styleId="285">
    <w:name w:val="标题 91"/>
    <w:basedOn w:val="1"/>
    <w:next w:val="1"/>
    <w:unhideWhenUsed/>
    <w:qFormat/>
    <w:uiPriority w:val="9"/>
    <w:pPr>
      <w:keepNext/>
      <w:keepLines/>
      <w:spacing w:before="240" w:after="64" w:line="320" w:lineRule="auto"/>
      <w:outlineLvl w:val="8"/>
    </w:pPr>
    <w:rPr>
      <w:rFonts w:ascii="Cambria" w:hAnsi="Cambria" w:eastAsia="宋体" w:cs="Times New Roman"/>
      <w:szCs w:val="21"/>
    </w:rPr>
  </w:style>
  <w:style w:type="character" w:customStyle="1" w:styleId="286">
    <w:name w:val="超链接1"/>
    <w:basedOn w:val="45"/>
    <w:unhideWhenUsed/>
    <w:qFormat/>
    <w:uiPriority w:val="99"/>
    <w:rPr>
      <w:color w:val="0000FF"/>
      <w:u w:val="single"/>
    </w:rPr>
  </w:style>
  <w:style w:type="character" w:customStyle="1" w:styleId="287">
    <w:name w:val="标题 2 字符1"/>
    <w:basedOn w:val="45"/>
    <w:semiHidden/>
    <w:qFormat/>
    <w:uiPriority w:val="9"/>
    <w:rPr>
      <w:rFonts w:asciiTheme="majorHAnsi" w:hAnsiTheme="majorHAnsi" w:eastAsiaTheme="majorEastAsia" w:cstheme="majorBidi"/>
      <w:b/>
      <w:bCs/>
      <w:sz w:val="32"/>
      <w:szCs w:val="32"/>
    </w:rPr>
  </w:style>
  <w:style w:type="character" w:customStyle="1" w:styleId="288">
    <w:name w:val="标题 4 字符1"/>
    <w:basedOn w:val="45"/>
    <w:semiHidden/>
    <w:qFormat/>
    <w:uiPriority w:val="9"/>
    <w:rPr>
      <w:rFonts w:asciiTheme="majorHAnsi" w:hAnsiTheme="majorHAnsi" w:eastAsiaTheme="majorEastAsia" w:cstheme="majorBidi"/>
      <w:b/>
      <w:bCs/>
      <w:sz w:val="28"/>
      <w:szCs w:val="28"/>
    </w:rPr>
  </w:style>
  <w:style w:type="character" w:customStyle="1" w:styleId="289">
    <w:name w:val="标题 6 字符1"/>
    <w:basedOn w:val="45"/>
    <w:semiHidden/>
    <w:qFormat/>
    <w:uiPriority w:val="9"/>
    <w:rPr>
      <w:rFonts w:asciiTheme="majorHAnsi" w:hAnsiTheme="majorHAnsi" w:eastAsiaTheme="majorEastAsia" w:cstheme="majorBidi"/>
      <w:b/>
      <w:bCs/>
      <w:sz w:val="24"/>
      <w:szCs w:val="24"/>
    </w:rPr>
  </w:style>
  <w:style w:type="character" w:customStyle="1" w:styleId="290">
    <w:name w:val="标题 8 字符1"/>
    <w:basedOn w:val="45"/>
    <w:semiHidden/>
    <w:qFormat/>
    <w:uiPriority w:val="9"/>
    <w:rPr>
      <w:rFonts w:asciiTheme="majorHAnsi" w:hAnsiTheme="majorHAnsi" w:eastAsiaTheme="majorEastAsia" w:cstheme="majorBidi"/>
      <w:sz w:val="24"/>
      <w:szCs w:val="24"/>
    </w:rPr>
  </w:style>
  <w:style w:type="character" w:customStyle="1" w:styleId="291">
    <w:name w:val="标题 9 字符1"/>
    <w:basedOn w:val="45"/>
    <w:semiHidden/>
    <w:qFormat/>
    <w:uiPriority w:val="9"/>
    <w:rPr>
      <w:rFonts w:asciiTheme="majorHAnsi" w:hAnsiTheme="majorHAnsi" w:eastAsiaTheme="majorEastAsia" w:cstheme="majorBidi"/>
      <w:szCs w:val="21"/>
    </w:rPr>
  </w:style>
  <w:style w:type="paragraph" w:customStyle="1" w:styleId="292">
    <w:name w:val="msonormal"/>
    <w:basedOn w:val="1"/>
    <w:qFormat/>
    <w:uiPriority w:val="0"/>
    <w:pPr>
      <w:widowControl/>
      <w:adjustRightInd/>
      <w:snapToGrid/>
      <w:spacing w:before="100" w:beforeAutospacing="1" w:after="100" w:afterAutospacing="1"/>
      <w:jc w:val="left"/>
    </w:pPr>
    <w:rPr>
      <w:rFonts w:ascii="宋体" w:hAnsi="宋体" w:eastAsia="宋体" w:cs="宋体"/>
      <w:kern w:val="0"/>
      <w:sz w:val="24"/>
      <w:szCs w:val="24"/>
    </w:rPr>
  </w:style>
  <w:style w:type="paragraph" w:customStyle="1" w:styleId="293">
    <w:name w:val="font5"/>
    <w:basedOn w:val="1"/>
    <w:qFormat/>
    <w:uiPriority w:val="0"/>
    <w:pPr>
      <w:widowControl/>
      <w:adjustRightInd/>
      <w:snapToGrid/>
      <w:spacing w:before="100" w:beforeAutospacing="1" w:after="100" w:afterAutospacing="1"/>
      <w:jc w:val="left"/>
    </w:pPr>
    <w:rPr>
      <w:rFonts w:ascii="等线" w:hAnsi="等线" w:eastAsia="等线" w:cs="宋体"/>
      <w:kern w:val="0"/>
      <w:sz w:val="18"/>
      <w:szCs w:val="18"/>
    </w:rPr>
  </w:style>
  <w:style w:type="paragraph" w:customStyle="1" w:styleId="294">
    <w:name w:val="xl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96">
    <w:name w:val="xl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left"/>
    </w:pPr>
    <w:rPr>
      <w:rFonts w:ascii="宋体" w:hAnsi="宋体" w:eastAsia="宋体" w:cs="宋体"/>
      <w:kern w:val="0"/>
      <w:sz w:val="24"/>
      <w:szCs w:val="24"/>
    </w:rPr>
  </w:style>
  <w:style w:type="paragraph" w:customStyle="1" w:styleId="297">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298">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left"/>
    </w:pPr>
    <w:rPr>
      <w:rFonts w:ascii="宋体" w:hAnsi="宋体" w:eastAsia="宋体" w:cs="宋体"/>
      <w:kern w:val="0"/>
      <w:sz w:val="24"/>
      <w:szCs w:val="24"/>
    </w:rPr>
  </w:style>
  <w:style w:type="paragraph" w:customStyle="1" w:styleId="299">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300">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left"/>
    </w:pPr>
    <w:rPr>
      <w:rFonts w:ascii="宋体" w:hAnsi="宋体" w:eastAsia="宋体" w:cs="宋体"/>
      <w:kern w:val="0"/>
      <w:sz w:val="24"/>
      <w:szCs w:val="24"/>
    </w:rPr>
  </w:style>
  <w:style w:type="table" w:customStyle="1" w:styleId="301">
    <w:name w:val="网格型8"/>
    <w:basedOn w:val="4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2">
    <w:name w:val="未处理的提及2"/>
    <w:basedOn w:val="45"/>
    <w:semiHidden/>
    <w:unhideWhenUsed/>
    <w:qFormat/>
    <w:uiPriority w:val="99"/>
    <w:rPr>
      <w:color w:val="605E5C"/>
      <w:shd w:val="clear" w:color="auto" w:fill="E1DFDD"/>
    </w:rPr>
  </w:style>
  <w:style w:type="paragraph" w:customStyle="1" w:styleId="303">
    <w:name w:val="修订3"/>
    <w:hidden/>
    <w:semiHidden/>
    <w:uiPriority w:val="99"/>
    <w:rPr>
      <w:rFonts w:asciiTheme="minorHAnsi" w:hAnsiTheme="minorHAnsi" w:eastAsiaTheme="minorEastAsia" w:cstheme="minorBidi"/>
      <w:kern w:val="2"/>
      <w:sz w:val="21"/>
      <w:szCs w:val="22"/>
      <w:lang w:val="en-US" w:eastAsia="zh-CN" w:bidi="ar-SA"/>
    </w:rPr>
  </w:style>
  <w:style w:type="paragraph" w:customStyle="1" w:styleId="30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AABCA-A6CB-441E-9724-E9F2E620C831}">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24334</Words>
  <Characters>28267</Characters>
  <Lines>559</Lines>
  <Paragraphs>157</Paragraphs>
  <TotalTime>111</TotalTime>
  <ScaleCrop>false</ScaleCrop>
  <LinksUpToDate>false</LinksUpToDate>
  <CharactersWithSpaces>29408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2023-03-02T11:38:00Z</dcterms:created>
  <dc:creator>Windows 用户</dc:creator>
  <cp:lastModifiedBy> 鬼浏几道</cp:lastModifiedBy>
  <cp:lastPrinted>2023-02-07T01:03:00Z</cp:lastPrinted>
  <dcterms:modified xsi:type="dcterms:W3CDTF">2023-07-10T09:53:33Z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671AF8CF8FCB49CA8FF12318DCE5C11B_13</vt:lpwstr>
  </property>
</Properties>
</file>