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ind w:right="260"/>
        <w:jc w:val="both"/>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0" w:name="_Toc2204"/>
      <w:bookmarkStart w:id="1" w:name="_Toc7249"/>
      <w:bookmarkStart w:id="2" w:name="_Toc27715"/>
      <w:bookmarkStart w:id="3" w:name="_Toc1297"/>
      <w:bookmarkStart w:id="4" w:name="_Toc21604"/>
      <w:bookmarkStart w:id="5" w:name="_Toc19221"/>
      <w:bookmarkStart w:id="6" w:name="_Toc17700"/>
      <w:bookmarkStart w:id="7" w:name="_Toc17971"/>
      <w:bookmarkStart w:id="8" w:name="_Toc8414"/>
      <w:bookmarkStart w:id="9" w:name="_Toc30216"/>
      <w:bookmarkStart w:id="10" w:name="_Toc15739"/>
      <w:bookmarkStart w:id="11" w:name="_Toc29052"/>
      <w:bookmarkStart w:id="12" w:name="_Toc19634"/>
      <w:bookmarkStart w:id="13" w:name="_Toc4378"/>
      <w:bookmarkStart w:id="14" w:name="_Toc17435"/>
      <w:bookmarkStart w:id="15" w:name="_Toc8620"/>
      <w:bookmarkStart w:id="45" w:name="_GoBack"/>
      <w:bookmarkEnd w:id="45"/>
    </w:p>
    <w:p>
      <w:pPr>
        <w:spacing w:line="259" w:lineRule="auto"/>
        <w:ind w:right="260"/>
        <w:jc w:val="center"/>
        <w:rPr>
          <w:rFonts w:hint="default" w:ascii="Times New Roman" w:hAnsi="Times New Roman" w:cs="Times New Roman" w:eastAsiaTheme="minorEastAsia"/>
          <w:color w:val="000000" w:themeColor="text1"/>
          <w:sz w:val="52"/>
          <w:lang w:val="en-US" w:eastAsia="zh-CN"/>
          <w14:textFill>
            <w14:solidFill>
              <w14:schemeClr w14:val="tx1"/>
            </w14:solidFill>
          </w14:textFill>
        </w:rPr>
      </w:pPr>
      <w:r>
        <w:rPr>
          <w:rFonts w:hint="default" w:ascii="Times New Roman" w:hAnsi="Times New Roman" w:cs="Times New Roman" w:eastAsiaTheme="minorEastAsia"/>
          <w:color w:val="000000" w:themeColor="text1"/>
          <w:sz w:val="5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249" w:beforeLines="400" w:line="900" w:lineRule="exact"/>
        <w:jc w:val="center"/>
        <w:textAlignment w:val="auto"/>
        <w:rPr>
          <w:rFonts w:hint="default" w:ascii="Times New Roman" w:hAnsi="Times New Roman" w:eastAsia="方正小标宋简体" w:cs="Times New Roman"/>
          <w:snapToGrid/>
          <w:color w:val="000000" w:themeColor="text1"/>
          <w:kern w:val="2"/>
          <w:sz w:val="64"/>
          <w:szCs w:val="64"/>
          <w:lang w:val="en-US" w:eastAsia="zh-CN" w:bidi="ar-SA"/>
          <w14:textFill>
            <w14:solidFill>
              <w14:schemeClr w14:val="tx1"/>
            </w14:solidFill>
          </w14:textFill>
        </w:rPr>
      </w:pPr>
      <w:r>
        <w:rPr>
          <w:rFonts w:hint="default" w:ascii="Times New Roman" w:hAnsi="Times New Roman" w:eastAsia="方正小标宋简体" w:cs="Times New Roman"/>
          <w:snapToGrid/>
          <w:color w:val="000000" w:themeColor="text1"/>
          <w:kern w:val="2"/>
          <w:sz w:val="64"/>
          <w:szCs w:val="64"/>
          <w:lang w:val="en-US" w:eastAsia="zh-CN" w:bidi="ar-SA"/>
          <w14:textFill>
            <w14:solidFill>
              <w14:schemeClr w14:val="tx1"/>
            </w14:solidFill>
          </w14:textFill>
        </w:rPr>
        <w:t>绿色建筑发展专项规划</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snapToGrid/>
          <w:color w:val="000000" w:themeColor="text1"/>
          <w:kern w:val="2"/>
          <w:sz w:val="64"/>
          <w:szCs w:val="64"/>
          <w:lang w:val="en-US" w:eastAsia="zh-CN" w:bidi="ar-SA"/>
          <w14:textFill>
            <w14:solidFill>
              <w14:schemeClr w14:val="tx1"/>
            </w14:solidFill>
          </w14:textFill>
        </w:rPr>
      </w:pPr>
      <w:r>
        <w:rPr>
          <w:rFonts w:hint="default" w:ascii="Times New Roman" w:hAnsi="Times New Roman" w:eastAsia="方正小标宋简体" w:cs="Times New Roman"/>
          <w:snapToGrid/>
          <w:color w:val="000000" w:themeColor="text1"/>
          <w:kern w:val="2"/>
          <w:sz w:val="64"/>
          <w:szCs w:val="64"/>
          <w:lang w:val="en-US" w:eastAsia="zh-CN" w:bidi="ar-SA"/>
          <w14:textFill>
            <w14:solidFill>
              <w14:schemeClr w14:val="tx1"/>
            </w14:solidFill>
          </w14:textFill>
        </w:rPr>
        <w:t>编制导则</w:t>
      </w:r>
      <w:bookmarkEnd w:id="0"/>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楷体_GB2312" w:cs="Times New Roman"/>
          <w:b/>
          <w:bCs/>
          <w:snapToGrid/>
          <w:color w:val="000000" w:themeColor="text1"/>
          <w:kern w:val="2"/>
          <w:sz w:val="44"/>
          <w:szCs w:val="44"/>
          <w:lang w:val="en-US" w:eastAsia="zh-CN" w:bidi="ar-SA"/>
          <w14:textFill>
            <w14:solidFill>
              <w14:schemeClr w14:val="tx1"/>
            </w14:solidFill>
          </w14:textFill>
        </w:rPr>
      </w:pPr>
      <w:bookmarkStart w:id="16" w:name="_Toc6120"/>
      <w:bookmarkStart w:id="17" w:name="_Toc30587"/>
      <w:bookmarkStart w:id="18" w:name="_Toc6505"/>
      <w:bookmarkStart w:id="19" w:name="_Toc15335"/>
      <w:bookmarkStart w:id="20" w:name="_Toc27152"/>
      <w:bookmarkStart w:id="21" w:name="_Toc12927"/>
      <w:bookmarkStart w:id="22" w:name="_Toc26202"/>
      <w:bookmarkStart w:id="23" w:name="_Toc20498"/>
      <w:bookmarkStart w:id="24" w:name="_Toc16105"/>
      <w:bookmarkStart w:id="25" w:name="_Toc32076"/>
      <w:bookmarkStart w:id="26" w:name="_Toc20324"/>
      <w:bookmarkStart w:id="27" w:name="_Toc27544"/>
      <w:bookmarkStart w:id="28" w:name="_Toc8868"/>
      <w:r>
        <w:rPr>
          <w:rFonts w:hint="eastAsia" w:ascii="Times New Roman" w:hAnsi="Times New Roman" w:eastAsia="楷体_GB2312" w:cs="Times New Roman"/>
          <w:b/>
          <w:bCs/>
          <w:snapToGrid/>
          <w:color w:val="000000" w:themeColor="text1"/>
          <w:kern w:val="2"/>
          <w:sz w:val="44"/>
          <w:szCs w:val="44"/>
          <w:lang w:val="en-US" w:eastAsia="zh-CN" w:bidi="ar-SA"/>
          <w14:textFill>
            <w14:solidFill>
              <w14:schemeClr w14:val="tx1"/>
            </w14:solidFill>
          </w14:textFill>
        </w:rPr>
        <w:t>（</w:t>
      </w:r>
      <w:r>
        <w:rPr>
          <w:rFonts w:hint="default" w:ascii="Times New Roman" w:hAnsi="Times New Roman" w:eastAsia="楷体_GB2312" w:cs="Times New Roman"/>
          <w:b/>
          <w:bCs/>
          <w:snapToGrid/>
          <w:color w:val="000000" w:themeColor="text1"/>
          <w:kern w:val="2"/>
          <w:sz w:val="44"/>
          <w:szCs w:val="44"/>
          <w:lang w:val="en-US" w:eastAsia="zh-CN" w:bidi="ar-SA"/>
          <w14:textFill>
            <w14:solidFill>
              <w14:schemeClr w14:val="tx1"/>
            </w14:solidFill>
          </w14:textFill>
        </w:rPr>
        <w:t>试行</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ascii="Times New Roman" w:hAnsi="Times New Roman" w:eastAsia="楷体_GB2312" w:cs="Times New Roman"/>
          <w:b/>
          <w:bCs/>
          <w:snapToGrid/>
          <w:color w:val="000000" w:themeColor="text1"/>
          <w:kern w:val="2"/>
          <w:sz w:val="44"/>
          <w:szCs w:val="44"/>
          <w:lang w:val="en-US" w:eastAsia="zh-CN" w:bidi="ar-SA"/>
          <w14:textFill>
            <w14:solidFill>
              <w14:schemeClr w14:val="tx1"/>
            </w14:solidFill>
          </w14:textFill>
        </w:rPr>
        <w:t>）</w:t>
      </w: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textAlignment w:val="baseline"/>
        <w:rPr>
          <w:rFonts w:hint="default" w:ascii="Times New Roman" w:hAnsi="Times New Roman" w:cs="Times New Roman"/>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242" w:lineRule="auto"/>
        <w:jc w:val="center"/>
        <w:textAlignment w:val="baseline"/>
        <w:rPr>
          <w:rFonts w:hint="default" w:ascii="Times New Roman" w:hAnsi="Times New Roman" w:eastAsia="黑体" w:cs="Times New Roman"/>
          <w:color w:val="auto"/>
          <w:sz w:val="36"/>
          <w:szCs w:val="36"/>
          <w:highlight w:val="none"/>
        </w:rPr>
      </w:pPr>
    </w:p>
    <w:p>
      <w:pPr>
        <w:keepNext w:val="0"/>
        <w:keepLines w:val="0"/>
        <w:pageBreakBefore w:val="0"/>
        <w:widowControl/>
        <w:kinsoku/>
        <w:wordWrap/>
        <w:overflowPunct/>
        <w:topLinePunct/>
        <w:autoSpaceDE w:val="0"/>
        <w:autoSpaceDN w:val="0"/>
        <w:bidi w:val="0"/>
        <w:adjustRightInd w:val="0"/>
        <w:snapToGrid w:val="0"/>
        <w:spacing w:before="94" w:line="439" w:lineRule="exact"/>
        <w:ind w:left="1570"/>
        <w:jc w:val="center"/>
        <w:textAlignment w:val="baseline"/>
        <w:rPr>
          <w:rFonts w:hint="default" w:ascii="Times New Roman" w:hAnsi="Times New Roman" w:eastAsia="黑体" w:cs="Times New Roman"/>
          <w:color w:val="auto"/>
          <w:spacing w:val="1"/>
          <w:position w:val="16"/>
          <w:sz w:val="36"/>
          <w:szCs w:val="36"/>
          <w:highlight w:val="none"/>
          <w:lang w:eastAsia="zh-CN"/>
        </w:rPr>
      </w:pPr>
    </w:p>
    <w:p>
      <w:pPr>
        <w:keepNext w:val="0"/>
        <w:keepLines w:val="0"/>
        <w:pageBreakBefore w:val="0"/>
        <w:widowControl/>
        <w:kinsoku/>
        <w:wordWrap/>
        <w:overflowPunct/>
        <w:topLinePunct/>
        <w:autoSpaceDE w:val="0"/>
        <w:autoSpaceDN w:val="0"/>
        <w:bidi w:val="0"/>
        <w:adjustRightInd w:val="0"/>
        <w:snapToGrid w:val="0"/>
        <w:spacing w:before="94" w:line="439" w:lineRule="exact"/>
        <w:ind w:left="1570"/>
        <w:jc w:val="center"/>
        <w:textAlignment w:val="baseline"/>
        <w:rPr>
          <w:rFonts w:hint="default" w:ascii="Times New Roman" w:hAnsi="Times New Roman" w:eastAsia="黑体" w:cs="Times New Roman"/>
          <w:color w:val="auto"/>
          <w:spacing w:val="1"/>
          <w:position w:val="16"/>
          <w:sz w:val="36"/>
          <w:szCs w:val="36"/>
          <w:highlight w:val="none"/>
          <w:lang w:eastAsia="zh-CN"/>
        </w:rPr>
      </w:pPr>
    </w:p>
    <w:p>
      <w:pPr>
        <w:keepNext w:val="0"/>
        <w:keepLines w:val="0"/>
        <w:pageBreakBefore w:val="0"/>
        <w:widowControl/>
        <w:kinsoku/>
        <w:wordWrap/>
        <w:overflowPunct/>
        <w:topLinePunct/>
        <w:autoSpaceDE w:val="0"/>
        <w:autoSpaceDN w:val="0"/>
        <w:bidi w:val="0"/>
        <w:adjustRightInd w:val="0"/>
        <w:snapToGrid w:val="0"/>
        <w:spacing w:before="94" w:line="439" w:lineRule="exact"/>
        <w:ind w:left="1570"/>
        <w:jc w:val="center"/>
        <w:textAlignment w:val="baseline"/>
        <w:rPr>
          <w:rFonts w:hint="default" w:ascii="Times New Roman" w:hAnsi="Times New Roman" w:eastAsia="黑体" w:cs="Times New Roman"/>
          <w:color w:val="auto"/>
          <w:spacing w:val="1"/>
          <w:position w:val="16"/>
          <w:sz w:val="36"/>
          <w:szCs w:val="36"/>
          <w:highlight w:val="none"/>
          <w:lang w:eastAsia="zh-CN"/>
        </w:rPr>
      </w:pPr>
    </w:p>
    <w:p>
      <w:pPr>
        <w:keepNext w:val="0"/>
        <w:keepLines w:val="0"/>
        <w:pageBreakBefore w:val="0"/>
        <w:widowControl/>
        <w:kinsoku/>
        <w:wordWrap/>
        <w:overflowPunct/>
        <w:topLinePunct/>
        <w:autoSpaceDE w:val="0"/>
        <w:autoSpaceDN w:val="0"/>
        <w:bidi w:val="0"/>
        <w:adjustRightInd w:val="0"/>
        <w:snapToGrid w:val="0"/>
        <w:spacing w:before="94" w:line="439" w:lineRule="exact"/>
        <w:ind w:left="1570"/>
        <w:jc w:val="center"/>
        <w:textAlignment w:val="baseline"/>
        <w:rPr>
          <w:rFonts w:hint="default" w:ascii="Times New Roman" w:hAnsi="Times New Roman" w:eastAsia="黑体" w:cs="Times New Roman"/>
          <w:color w:val="auto"/>
          <w:spacing w:val="1"/>
          <w:position w:val="16"/>
          <w:sz w:val="36"/>
          <w:szCs w:val="36"/>
          <w:highlight w:val="none"/>
          <w:lang w:eastAsia="zh-CN"/>
        </w:rPr>
      </w:pPr>
    </w:p>
    <w:p>
      <w:pPr>
        <w:keepNext w:val="0"/>
        <w:keepLines w:val="0"/>
        <w:pageBreakBefore w:val="0"/>
        <w:widowControl/>
        <w:kinsoku/>
        <w:wordWrap/>
        <w:overflowPunct/>
        <w:topLinePunct/>
        <w:autoSpaceDE w:val="0"/>
        <w:autoSpaceDN w:val="0"/>
        <w:bidi w:val="0"/>
        <w:adjustRightInd w:val="0"/>
        <w:snapToGrid w:val="0"/>
        <w:spacing w:before="94" w:line="439" w:lineRule="exact"/>
        <w:ind w:left="1570"/>
        <w:jc w:val="center"/>
        <w:textAlignment w:val="baseline"/>
        <w:rPr>
          <w:rFonts w:hint="default" w:ascii="Times New Roman" w:hAnsi="Times New Roman" w:eastAsia="黑体" w:cs="Times New Roman"/>
          <w:color w:val="auto"/>
          <w:spacing w:val="1"/>
          <w:position w:val="16"/>
          <w:sz w:val="36"/>
          <w:szCs w:val="36"/>
          <w:highlight w:val="none"/>
          <w:lang w:eastAsia="zh-CN"/>
        </w:rPr>
      </w:pPr>
    </w:p>
    <w:p>
      <w:pPr>
        <w:keepNext w:val="0"/>
        <w:keepLines w:val="0"/>
        <w:pageBreakBefore w:val="0"/>
        <w:widowControl/>
        <w:kinsoku/>
        <w:wordWrap/>
        <w:overflowPunct/>
        <w:topLinePunct/>
        <w:autoSpaceDE w:val="0"/>
        <w:autoSpaceDN w:val="0"/>
        <w:bidi w:val="0"/>
        <w:adjustRightInd w:val="0"/>
        <w:snapToGrid w:val="0"/>
        <w:jc w:val="center"/>
        <w:textAlignment w:val="baseline"/>
        <w:rPr>
          <w:rFonts w:hint="default" w:ascii="Times New Roman" w:hAnsi="Times New Roman" w:eastAsia="楷体" w:cs="Times New Roman"/>
          <w:b/>
          <w:bCs/>
          <w:color w:val="auto"/>
          <w:sz w:val="36"/>
          <w:szCs w:val="36"/>
        </w:rPr>
      </w:pPr>
      <w:r>
        <w:rPr>
          <w:rFonts w:hint="default" w:ascii="Times New Roman" w:hAnsi="Times New Roman" w:eastAsia="楷体" w:cs="Times New Roman"/>
          <w:b/>
          <w:bCs/>
          <w:color w:val="auto"/>
          <w:sz w:val="36"/>
          <w:szCs w:val="36"/>
          <w:lang w:eastAsia="zh-CN"/>
        </w:rPr>
        <w:t>山西</w:t>
      </w:r>
      <w:r>
        <w:rPr>
          <w:rFonts w:hint="default" w:ascii="Times New Roman" w:hAnsi="Times New Roman" w:eastAsia="楷体" w:cs="Times New Roman"/>
          <w:b/>
          <w:bCs/>
          <w:color w:val="auto"/>
          <w:sz w:val="36"/>
          <w:szCs w:val="36"/>
        </w:rPr>
        <w:t>省住房和城乡建设厅</w:t>
      </w:r>
    </w:p>
    <w:p>
      <w:pPr>
        <w:keepNext w:val="0"/>
        <w:keepLines w:val="0"/>
        <w:pageBreakBefore w:val="0"/>
        <w:widowControl/>
        <w:kinsoku/>
        <w:wordWrap/>
        <w:overflowPunct/>
        <w:topLinePunct/>
        <w:autoSpaceDE w:val="0"/>
        <w:autoSpaceDN w:val="0"/>
        <w:bidi w:val="0"/>
        <w:adjustRightInd w:val="0"/>
        <w:snapToGrid w:val="0"/>
        <w:jc w:val="center"/>
        <w:textAlignment w:val="baseline"/>
        <w:rPr>
          <w:rFonts w:hint="default" w:ascii="Times New Roman" w:hAnsi="Times New Roman" w:eastAsia="楷体" w:cs="Times New Roman"/>
          <w:b/>
          <w:bCs/>
          <w:color w:val="auto"/>
          <w:sz w:val="36"/>
          <w:szCs w:val="36"/>
          <w:lang w:val="en-US" w:eastAsia="zh-CN"/>
        </w:rPr>
      </w:pPr>
      <w:r>
        <w:rPr>
          <w:rFonts w:hint="default" w:ascii="Times New Roman" w:hAnsi="Times New Roman" w:eastAsia="楷体" w:cs="Times New Roman"/>
          <w:b/>
          <w:bCs/>
          <w:color w:val="auto"/>
          <w:sz w:val="36"/>
          <w:szCs w:val="36"/>
        </w:rPr>
        <w:t>二O二</w:t>
      </w:r>
      <w:r>
        <w:rPr>
          <w:rFonts w:hint="default" w:ascii="Times New Roman" w:hAnsi="Times New Roman" w:eastAsia="楷体" w:cs="Times New Roman"/>
          <w:b/>
          <w:bCs/>
          <w:color w:val="auto"/>
          <w:sz w:val="36"/>
          <w:szCs w:val="36"/>
          <w:lang w:eastAsia="zh-CN"/>
        </w:rPr>
        <w:t>三</w:t>
      </w:r>
      <w:r>
        <w:rPr>
          <w:rFonts w:hint="default" w:ascii="Times New Roman" w:hAnsi="Times New Roman" w:eastAsia="楷体" w:cs="Times New Roman"/>
          <w:b/>
          <w:bCs/>
          <w:color w:val="auto"/>
          <w:sz w:val="36"/>
          <w:szCs w:val="36"/>
        </w:rPr>
        <w:t>年</w:t>
      </w:r>
      <w:r>
        <w:rPr>
          <w:rFonts w:hint="eastAsia" w:ascii="Times New Roman" w:hAnsi="Times New Roman" w:eastAsia="楷体" w:cs="Times New Roman"/>
          <w:b/>
          <w:bCs/>
          <w:color w:val="auto"/>
          <w:sz w:val="36"/>
          <w:szCs w:val="36"/>
          <w:lang w:eastAsia="zh-CN"/>
        </w:rPr>
        <w:t>六</w:t>
      </w:r>
      <w:r>
        <w:rPr>
          <w:rFonts w:hint="default" w:ascii="Times New Roman" w:hAnsi="Times New Roman" w:eastAsia="楷体" w:cs="Times New Roman"/>
          <w:b/>
          <w:bCs/>
          <w:color w:val="auto"/>
          <w:sz w:val="36"/>
          <w:szCs w:val="36"/>
          <w:lang w:val="en-US" w:eastAsia="zh-CN"/>
        </w:rPr>
        <w:t>月</w:t>
      </w:r>
    </w:p>
    <w:p>
      <w:pPr>
        <w:keepNext w:val="0"/>
        <w:keepLines w:val="0"/>
        <w:pageBreakBefore w:val="0"/>
        <w:widowControl/>
        <w:wordWrap/>
        <w:overflowPunct/>
        <w:autoSpaceDE w:val="0"/>
        <w:autoSpaceDN w:val="0"/>
        <w:bidi w:val="0"/>
        <w:adjustRightInd w:val="0"/>
        <w:snapToGrid w:val="0"/>
        <w:jc w:val="center"/>
        <w:textAlignment w:val="baseline"/>
        <w:rPr>
          <w:rFonts w:hint="default" w:ascii="Times New Roman" w:hAnsi="Times New Roman" w:eastAsia="楷体" w:cs="Times New Roman"/>
          <w:b/>
          <w:bCs/>
          <w:color w:val="auto"/>
          <w:sz w:val="36"/>
          <w:szCs w:val="36"/>
          <w:lang w:val="en-US" w:eastAsia="zh-CN"/>
        </w:rPr>
      </w:pPr>
      <w:r>
        <w:rPr>
          <w:rFonts w:hint="default" w:ascii="Times New Roman" w:hAnsi="Times New Roman" w:eastAsia="楷体" w:cs="Times New Roman"/>
          <w:b/>
          <w:bCs/>
          <w:color w:val="auto"/>
          <w:sz w:val="36"/>
          <w:szCs w:val="36"/>
          <w:lang w:val="en-US" w:eastAsia="zh-CN"/>
        </w:rPr>
        <w:br w:type="page"/>
      </w:r>
    </w:p>
    <w:p>
      <w:pPr>
        <w:rPr>
          <w:rFonts w:hint="default" w:ascii="Times New Roman" w:hAnsi="Times New Roman" w:eastAsia="楷体" w:cs="Times New Roman"/>
          <w:b/>
          <w:bCs/>
          <w:color w:val="auto"/>
          <w:sz w:val="36"/>
          <w:szCs w:val="36"/>
          <w:lang w:val="en-US" w:eastAsia="zh-CN"/>
        </w:rPr>
      </w:pPr>
      <w:r>
        <w:rPr>
          <w:rFonts w:hint="default" w:ascii="Times New Roman" w:hAnsi="Times New Roman" w:eastAsia="楷体" w:cs="Times New Roman"/>
          <w:b/>
          <w:bCs/>
          <w:color w:val="auto"/>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625" w:beforeLines="200" w:after="313" w:afterLines="10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1　总则</w:t>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ab/>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1</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2　术　语</w:t>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ab/>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1</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3　基本规定</w:t>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ab/>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3</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4　编制内容及要求</w:t>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ab/>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4</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4.1　编制内容</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4.2　总则</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4.3　绿色建筑发展现状分析</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5</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4.4　绿色建筑发展目标</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6</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4.5　区域划分和绿色建筑建设指标要求</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7</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firstLine="480" w:firstLineChars="15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4.6　实施计划和保障措施</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9</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default" w:ascii="黑体" w:hAnsi="黑体" w:eastAsia="黑体" w:cs="黑体"/>
          <w:b w:val="0"/>
          <w:bCs w:val="0"/>
          <w:snapToGrid/>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5　成果要求</w:t>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ab/>
      </w:r>
      <w:r>
        <w:rPr>
          <w:rFonts w:hint="eastAsia" w:ascii="黑体" w:hAnsi="黑体" w:eastAsia="黑体" w:cs="黑体"/>
          <w:b w:val="0"/>
          <w:bCs w:val="0"/>
          <w:snapToGrid/>
          <w:color w:val="000000" w:themeColor="text1"/>
          <w:kern w:val="2"/>
          <w:sz w:val="32"/>
          <w:szCs w:val="32"/>
          <w:lang w:val="en-US" w:eastAsia="zh-CN" w:bidi="ar-SA"/>
          <w14:textFill>
            <w14:solidFill>
              <w14:schemeClr w14:val="tx1"/>
            </w14:solidFill>
          </w14:textFill>
        </w:rPr>
        <w:t>10</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default"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附录A　编制路线</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12</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附录B　编制依据</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13</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附录C　调研资料清单</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15</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附录D　各区域发展目标汇总表</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16</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40"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附录E　各区域通用性控制指标和引导性指标汇总表</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17</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31"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附录F　</w:t>
      </w:r>
      <w:r>
        <w:rPr>
          <w:rFonts w:hint="eastAsia" w:ascii="仿宋_GB2312" w:hAnsi="仿宋_GB2312" w:eastAsia="仿宋_GB2312" w:cs="仿宋_GB2312"/>
          <w:b w:val="0"/>
          <w:bCs w:val="0"/>
          <w:snapToGrid/>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市（县）绿色建筑专项规划近期（2023-2025年度）目标计划</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18</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31" w:lineRule="exact"/>
        <w:ind w:left="0" w:leftChars="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附录G　</w:t>
      </w:r>
      <w:r>
        <w:rPr>
          <w:rFonts w:hint="eastAsia" w:ascii="仿宋_GB2312" w:hAnsi="仿宋_GB2312" w:eastAsia="仿宋_GB2312" w:cs="仿宋_GB2312"/>
          <w:b w:val="0"/>
          <w:bCs w:val="0"/>
          <w:snapToGrid/>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市（县）绿色建筑专项规划</w:t>
      </w:r>
      <w:r>
        <w:rPr>
          <w:rFonts w:hint="eastAsia" w:ascii="仿宋_GB2312" w:hAnsi="仿宋_GB2312" w:eastAsia="仿宋_GB2312" w:cs="仿宋_GB2312"/>
          <w:b w:val="0"/>
          <w:bCs w:val="0"/>
          <w:snapToGrid/>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年度重点项目</w:t>
      </w:r>
    </w:p>
    <w:p>
      <w:pPr>
        <w:pStyle w:val="5"/>
        <w:keepNext w:val="0"/>
        <w:keepLines w:val="0"/>
        <w:pageBreakBefore w:val="0"/>
        <w:widowControl w:val="0"/>
        <w:tabs>
          <w:tab w:val="right" w:leader="middleDot" w:pos="8820"/>
        </w:tabs>
        <w:kinsoku/>
        <w:wordWrap/>
        <w:overflowPunct/>
        <w:topLinePunct w:val="0"/>
        <w:autoSpaceDE/>
        <w:autoSpaceDN/>
        <w:bidi w:val="0"/>
        <w:adjustRightInd/>
        <w:snapToGrid/>
        <w:spacing w:line="631" w:lineRule="exact"/>
        <w:ind w:left="0" w:leftChars="0"/>
        <w:jc w:val="both"/>
        <w:textAlignment w:val="auto"/>
        <w:rPr>
          <w:rFonts w:hint="default"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19</w:t>
      </w:r>
    </w:p>
    <w:p>
      <w:pPr>
        <w:keepNext w:val="0"/>
        <w:keepLines w:val="0"/>
        <w:pageBreakBefore w:val="0"/>
        <w:widowControl/>
        <w:kinsoku/>
        <w:wordWrap/>
        <w:overflowPunct/>
        <w:topLinePunct/>
        <w:autoSpaceDE w:val="0"/>
        <w:autoSpaceDN w:val="0"/>
        <w:bidi w:val="0"/>
        <w:adjustRightInd w:val="0"/>
        <w:snapToGrid w:val="0"/>
        <w:spacing w:line="578" w:lineRule="exact"/>
        <w:jc w:val="both"/>
        <w:textAlignment w:val="baseline"/>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jc w:val="center"/>
        <w:textAlignment w:val="auto"/>
        <w:outlineLvl w:val="0"/>
        <w:rPr>
          <w:rFonts w:hint="default" w:ascii="Times New Roman" w:hAnsi="Times New Roman" w:eastAsia="方正小标宋简体" w:cs="Times New Roman"/>
          <w:b w:val="0"/>
          <w:bCs w:val="0"/>
          <w:color w:val="000000" w:themeColor="text1"/>
          <w:kern w:val="2"/>
          <w:sz w:val="36"/>
          <w:szCs w:val="36"/>
          <w:lang w:val="en-US" w:eastAsia="zh-CN" w:bidi="ar-SA"/>
          <w14:textFill>
            <w14:solidFill>
              <w14:schemeClr w14:val="tx1"/>
            </w14:solidFill>
          </w14:textFill>
        </w:rPr>
        <w:sectPr>
          <w:footerReference r:id="rId5" w:type="default"/>
          <w:pgSz w:w="11906" w:h="16838"/>
          <w:pgMar w:top="2098" w:right="1474" w:bottom="1984" w:left="1587" w:header="851" w:footer="1655" w:gutter="0"/>
          <w:pgNumType w:fmt="numberInDash"/>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jc w:val="center"/>
        <w:textAlignment w:val="auto"/>
        <w:outlineLvl w:val="0"/>
        <w:rPr>
          <w:rFonts w:hint="default" w:ascii="Times New Roman" w:hAnsi="Times New Roman" w:eastAsia="方正小标宋简体" w:cs="Times New Roman"/>
          <w:b w:val="0"/>
          <w:bCs w:val="0"/>
          <w:color w:val="000000" w:themeColor="text1"/>
          <w:kern w:val="2"/>
          <w:sz w:val="36"/>
          <w:szCs w:val="36"/>
          <w:lang w:val="en-US" w:eastAsia="zh-CN" w:bidi="ar-SA"/>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ind w:firstLine="0" w:firstLineChars="0"/>
        <w:textAlignment w:val="auto"/>
        <w:outlineLvl w:val="0"/>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1　总　则</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1.0.1</w:t>
      </w:r>
      <w:r>
        <w:rPr>
          <w:rFonts w:hint="eastAsia" w:ascii="仿宋_GB2312" w:hAnsi="仿宋_GB2312" w:eastAsia="仿宋_GB2312" w:cs="仿宋_GB2312"/>
          <w:color w:val="auto"/>
          <w:spacing w:val="0"/>
          <w:kern w:val="0"/>
          <w:position w:val="0"/>
          <w:sz w:val="32"/>
          <w:szCs w:val="32"/>
          <w:highlight w:val="none"/>
          <w:lang w:eastAsia="zh-CN"/>
        </w:rPr>
        <w:t>　为</w:t>
      </w:r>
      <w:r>
        <w:rPr>
          <w:rFonts w:hint="eastAsia" w:ascii="仿宋_GB2312" w:hAnsi="仿宋_GB2312" w:eastAsia="仿宋_GB2312" w:cs="仿宋_GB2312"/>
          <w:color w:val="auto"/>
          <w:spacing w:val="0"/>
          <w:kern w:val="0"/>
          <w:position w:val="0"/>
          <w:sz w:val="32"/>
          <w:szCs w:val="32"/>
          <w:highlight w:val="none"/>
        </w:rPr>
        <w:t>贯彻</w:t>
      </w:r>
      <w:r>
        <w:rPr>
          <w:rFonts w:hint="eastAsia" w:ascii="仿宋_GB2312" w:hAnsi="仿宋_GB2312" w:eastAsia="仿宋_GB2312" w:cs="仿宋_GB2312"/>
          <w:color w:val="auto"/>
          <w:spacing w:val="0"/>
          <w:kern w:val="0"/>
          <w:position w:val="0"/>
          <w:sz w:val="32"/>
          <w:szCs w:val="32"/>
          <w:highlight w:val="none"/>
          <w:lang w:eastAsia="zh-CN"/>
        </w:rPr>
        <w:t>习近平新时代中国特色社会主义思想</w:t>
      </w:r>
      <w:r>
        <w:rPr>
          <w:rFonts w:hint="eastAsia" w:ascii="仿宋_GB2312" w:hAnsi="仿宋_GB2312" w:eastAsia="仿宋_GB2312" w:cs="仿宋_GB2312"/>
          <w:color w:val="auto"/>
          <w:spacing w:val="0"/>
          <w:kern w:val="0"/>
          <w:position w:val="0"/>
          <w:sz w:val="32"/>
          <w:szCs w:val="32"/>
          <w:highlight w:val="none"/>
        </w:rPr>
        <w:t>，立足新发展阶段，以全面绿色转型为引领，</w:t>
      </w:r>
      <w:r>
        <w:rPr>
          <w:rFonts w:hint="eastAsia" w:ascii="仿宋_GB2312" w:hAnsi="仿宋_GB2312" w:eastAsia="仿宋_GB2312" w:cs="仿宋_GB2312"/>
          <w:color w:val="auto"/>
          <w:spacing w:val="0"/>
          <w:kern w:val="0"/>
          <w:position w:val="0"/>
          <w:sz w:val="32"/>
          <w:szCs w:val="32"/>
          <w:highlight w:val="none"/>
          <w:lang w:val="en-US" w:eastAsia="zh-CN"/>
        </w:rPr>
        <w:t>落实《山西省绿色建筑发展条例》，推动绿色建筑发展，降低碳排放，指导绿色建筑发展专项规划（以下简称“专项规划”）编制，制定本导则。</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rPr>
          <w:rFonts w:hint="eastAsia" w:ascii="仿宋_GB2312" w:hAnsi="仿宋_GB2312" w:eastAsia="仿宋_GB2312" w:cs="仿宋_GB2312"/>
          <w:color w:val="auto"/>
          <w:spacing w:val="0"/>
          <w:kern w:val="0"/>
          <w:position w:val="0"/>
          <w:sz w:val="32"/>
          <w:szCs w:val="32"/>
          <w:highlight w:val="none"/>
          <w:lang w:val="en-US" w:eastAsia="zh-CN"/>
        </w:rPr>
      </w:pPr>
      <w:r>
        <w:rPr>
          <w:rFonts w:hint="eastAsia" w:ascii="仿宋_GB2312" w:hAnsi="仿宋_GB2312" w:eastAsia="仿宋_GB2312" w:cs="仿宋_GB2312"/>
          <w:b/>
          <w:bCs/>
          <w:color w:val="auto"/>
          <w:spacing w:val="0"/>
          <w:kern w:val="0"/>
          <w:position w:val="0"/>
          <w:sz w:val="32"/>
          <w:szCs w:val="32"/>
          <w:highlight w:val="none"/>
        </w:rPr>
        <w:t>1.0.2</w:t>
      </w:r>
      <w:r>
        <w:rPr>
          <w:rFonts w:hint="eastAsia" w:ascii="仿宋_GB2312" w:hAnsi="仿宋_GB2312" w:eastAsia="仿宋_GB2312" w:cs="仿宋_GB2312"/>
          <w:b/>
          <w:bCs/>
          <w:color w:val="auto"/>
          <w:spacing w:val="0"/>
          <w:kern w:val="0"/>
          <w:position w:val="0"/>
          <w:sz w:val="32"/>
          <w:szCs w:val="32"/>
          <w:highlight w:val="none"/>
          <w:lang w:eastAsia="zh-CN"/>
        </w:rPr>
        <w:t>　</w:t>
      </w:r>
      <w:r>
        <w:rPr>
          <w:rFonts w:hint="eastAsia" w:ascii="仿宋_GB2312" w:hAnsi="仿宋_GB2312" w:eastAsia="仿宋_GB2312" w:cs="仿宋_GB2312"/>
          <w:color w:val="auto"/>
          <w:spacing w:val="0"/>
          <w:kern w:val="0"/>
          <w:position w:val="0"/>
          <w:sz w:val="32"/>
          <w:szCs w:val="32"/>
          <w:highlight w:val="none"/>
          <w:lang w:val="en-US" w:eastAsia="zh-CN"/>
        </w:rPr>
        <w:t>本导则适用于山西省行政区域内设区的市、县（市）绿色建筑发展专项规划的编制工作。</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1.0.3</w:t>
      </w:r>
      <w:r>
        <w:rPr>
          <w:rFonts w:hint="eastAsia" w:ascii="仿宋_GB2312" w:hAnsi="仿宋_GB2312" w:eastAsia="仿宋_GB2312" w:cs="仿宋_GB2312"/>
          <w:b/>
          <w:bCs/>
          <w:color w:val="auto"/>
          <w:spacing w:val="0"/>
          <w:kern w:val="0"/>
          <w:position w:val="0"/>
          <w:sz w:val="32"/>
          <w:szCs w:val="32"/>
          <w:highlight w:val="none"/>
          <w:lang w:eastAsia="zh-CN"/>
        </w:rPr>
        <w:t>　</w:t>
      </w:r>
      <w:r>
        <w:rPr>
          <w:rFonts w:hint="eastAsia" w:ascii="仿宋_GB2312" w:hAnsi="仿宋_GB2312" w:eastAsia="仿宋_GB2312" w:cs="仿宋_GB2312"/>
          <w:color w:val="auto"/>
          <w:spacing w:val="0"/>
          <w:kern w:val="0"/>
          <w:position w:val="0"/>
          <w:sz w:val="32"/>
          <w:szCs w:val="32"/>
          <w:highlight w:val="none"/>
        </w:rPr>
        <w:t>专项规划编制除遵循本导则外，尚应符合法律、法规和现行相关标准的规定。</w:t>
      </w:r>
    </w:p>
    <w:p>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ind w:firstLine="0" w:firstLineChars="0"/>
        <w:textAlignment w:val="auto"/>
        <w:outlineLvl w:val="0"/>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2</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术</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2.0.1</w:t>
      </w:r>
      <w:r>
        <w:rPr>
          <w:rFonts w:hint="eastAsia" w:ascii="仿宋_GB2312" w:hAnsi="仿宋_GB2312" w:eastAsia="仿宋_GB2312" w:cs="仿宋_GB2312"/>
          <w:color w:val="auto"/>
          <w:spacing w:val="0"/>
          <w:kern w:val="0"/>
          <w:position w:val="0"/>
          <w:sz w:val="32"/>
          <w:szCs w:val="32"/>
          <w:highlight w:val="none"/>
          <w:lang w:eastAsia="zh-CN"/>
        </w:rPr>
        <w:t>　</w:t>
      </w:r>
      <w:r>
        <w:rPr>
          <w:rFonts w:hint="eastAsia" w:ascii="仿宋_GB2312" w:hAnsi="仿宋_GB2312" w:eastAsia="仿宋_GB2312" w:cs="仿宋_GB2312"/>
          <w:color w:val="auto"/>
          <w:spacing w:val="0"/>
          <w:kern w:val="0"/>
          <w:position w:val="0"/>
          <w:sz w:val="32"/>
          <w:szCs w:val="32"/>
          <w:highlight w:val="none"/>
        </w:rPr>
        <w:t>绿色建筑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color w:val="auto"/>
          <w:spacing w:val="0"/>
          <w:kern w:val="0"/>
          <w:position w:val="0"/>
          <w:sz w:val="32"/>
          <w:szCs w:val="32"/>
          <w:highlight w:val="none"/>
        </w:rPr>
        <w:t>在</w:t>
      </w:r>
      <w:r>
        <w:rPr>
          <w:rFonts w:hint="eastAsia" w:ascii="仿宋_GB2312" w:hAnsi="仿宋_GB2312" w:eastAsia="仿宋_GB2312" w:cs="仿宋_GB2312"/>
          <w:color w:val="auto"/>
          <w:spacing w:val="0"/>
          <w:kern w:val="0"/>
          <w:position w:val="0"/>
          <w:sz w:val="32"/>
          <w:szCs w:val="32"/>
          <w:highlight w:val="none"/>
          <w:lang w:eastAsia="zh-CN"/>
        </w:rPr>
        <w:t>建筑</w:t>
      </w:r>
      <w:r>
        <w:rPr>
          <w:rFonts w:hint="eastAsia" w:ascii="仿宋_GB2312" w:hAnsi="仿宋_GB2312" w:eastAsia="仿宋_GB2312" w:cs="仿宋_GB2312"/>
          <w:color w:val="auto"/>
          <w:spacing w:val="0"/>
          <w:kern w:val="0"/>
          <w:position w:val="0"/>
          <w:sz w:val="32"/>
          <w:szCs w:val="32"/>
          <w:highlight w:val="none"/>
        </w:rPr>
        <w:t>全寿命期内，节约资源、保护环境、减少污染，为人们提供健康、适用、高效的使用空间，最大限度地实现人与自然和谐共生的高质量建筑。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b/>
          <w:bCs/>
          <w:color w:val="auto"/>
          <w:spacing w:val="0"/>
          <w:kern w:val="0"/>
          <w:position w:val="0"/>
          <w:sz w:val="32"/>
          <w:szCs w:val="32"/>
          <w:highlight w:val="none"/>
          <w:lang w:val="en-US" w:eastAsia="zh-CN"/>
        </w:rPr>
      </w:pPr>
      <w:r>
        <w:rPr>
          <w:rFonts w:hint="eastAsia" w:ascii="仿宋_GB2312" w:hAnsi="仿宋_GB2312" w:eastAsia="仿宋_GB2312" w:cs="仿宋_GB2312"/>
          <w:b/>
          <w:bCs/>
          <w:color w:val="auto"/>
          <w:spacing w:val="0"/>
          <w:kern w:val="0"/>
          <w:position w:val="0"/>
          <w:sz w:val="32"/>
          <w:szCs w:val="32"/>
          <w:highlight w:val="none"/>
          <w:lang w:val="en-US" w:eastAsia="zh-CN"/>
        </w:rPr>
        <w:t>2.0.2　</w:t>
      </w:r>
      <w:r>
        <w:rPr>
          <w:rFonts w:hint="eastAsia" w:ascii="仿宋_GB2312" w:hAnsi="仿宋_GB2312" w:eastAsia="仿宋_GB2312" w:cs="仿宋_GB2312"/>
          <w:b w:val="0"/>
          <w:bCs w:val="0"/>
          <w:color w:val="auto"/>
          <w:spacing w:val="0"/>
          <w:kern w:val="0"/>
          <w:position w:val="0"/>
          <w:sz w:val="32"/>
          <w:szCs w:val="32"/>
          <w:highlight w:val="none"/>
          <w:lang w:val="en-US" w:eastAsia="zh-CN"/>
        </w:rPr>
        <w:t>绿色建筑发展专项规划</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rPr>
          <w:rFonts w:hint="eastAsia" w:ascii="仿宋_GB2312" w:hAnsi="仿宋_GB2312" w:eastAsia="仿宋_GB2312" w:cs="仿宋_GB2312"/>
          <w:color w:val="auto"/>
          <w:spacing w:val="0"/>
          <w:kern w:val="0"/>
          <w:position w:val="0"/>
          <w:sz w:val="32"/>
          <w:szCs w:val="32"/>
          <w:highlight w:val="none"/>
          <w:lang w:val="en-US" w:eastAsia="zh-CN"/>
        </w:rPr>
      </w:pPr>
      <w:r>
        <w:rPr>
          <w:rFonts w:hint="eastAsia" w:ascii="仿宋_GB2312" w:hAnsi="仿宋_GB2312" w:eastAsia="仿宋_GB2312" w:cs="仿宋_GB2312"/>
          <w:color w:val="auto"/>
          <w:spacing w:val="0"/>
          <w:kern w:val="0"/>
          <w:position w:val="0"/>
          <w:sz w:val="32"/>
          <w:szCs w:val="32"/>
          <w:highlight w:val="none"/>
          <w:lang w:val="en-US" w:eastAsia="zh-CN"/>
        </w:rPr>
        <w:t>按照国民经济和社会发展规划、国土空间规划以及相关规划要求，明确规划区域内绿色建筑发展目标、</w:t>
      </w:r>
      <w:r>
        <w:rPr>
          <w:rFonts w:hint="eastAsia" w:ascii="仿宋_GB2312" w:hAnsi="仿宋_GB2312" w:eastAsia="仿宋_GB2312" w:cs="仿宋_GB2312"/>
          <w:color w:val="auto"/>
          <w:spacing w:val="0"/>
          <w:kern w:val="0"/>
          <w:position w:val="0"/>
          <w:sz w:val="32"/>
          <w:szCs w:val="32"/>
          <w:highlight w:val="none"/>
          <w:lang w:eastAsia="zh-CN"/>
        </w:rPr>
        <w:t>总体布局、</w:t>
      </w:r>
      <w:r>
        <w:rPr>
          <w:rFonts w:hint="eastAsia" w:ascii="仿宋_GB2312" w:hAnsi="仿宋_GB2312" w:eastAsia="仿宋_GB2312" w:cs="仿宋_GB2312"/>
          <w:color w:val="auto"/>
          <w:spacing w:val="0"/>
          <w:kern w:val="0"/>
          <w:position w:val="0"/>
          <w:sz w:val="32"/>
          <w:szCs w:val="32"/>
          <w:highlight w:val="none"/>
          <w:lang w:val="en-US" w:eastAsia="zh-CN"/>
        </w:rPr>
        <w:t>重点发展区域和既有建筑绿色化改造等内容，提出绿色建筑发展管控要求、实施计划、保障措施等，指导规划区域内绿色建筑高质量发展的规划。</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3</w:t>
      </w:r>
      <w:r>
        <w:rPr>
          <w:rFonts w:hint="eastAsia" w:ascii="仿宋_GB2312" w:hAnsi="仿宋_GB2312" w:eastAsia="仿宋_GB2312" w:cs="仿宋_GB2312"/>
          <w:color w:val="auto"/>
          <w:spacing w:val="0"/>
          <w:kern w:val="0"/>
          <w:position w:val="0"/>
          <w:sz w:val="32"/>
          <w:szCs w:val="32"/>
          <w:highlight w:val="none"/>
          <w:lang w:eastAsia="zh-CN"/>
        </w:rPr>
        <w:t>　</w:t>
      </w:r>
      <w:r>
        <w:rPr>
          <w:rFonts w:hint="eastAsia" w:ascii="仿宋_GB2312" w:hAnsi="仿宋_GB2312" w:eastAsia="仿宋_GB2312" w:cs="仿宋_GB2312"/>
          <w:color w:val="auto"/>
          <w:spacing w:val="0"/>
          <w:kern w:val="0"/>
          <w:position w:val="0"/>
          <w:sz w:val="32"/>
          <w:szCs w:val="32"/>
          <w:highlight w:val="none"/>
        </w:rPr>
        <w:t>装配式建筑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color w:val="auto"/>
          <w:spacing w:val="0"/>
          <w:kern w:val="0"/>
          <w:position w:val="0"/>
          <w:sz w:val="32"/>
          <w:szCs w:val="32"/>
          <w:highlight w:val="none"/>
        </w:rPr>
        <w:t>用预制部品部件在工地装配而成的建筑。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eastAsia="zh-CN"/>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4　</w:t>
      </w:r>
      <w:r>
        <w:rPr>
          <w:rFonts w:hint="eastAsia" w:ascii="仿宋_GB2312" w:hAnsi="仿宋_GB2312" w:eastAsia="仿宋_GB2312" w:cs="仿宋_GB2312"/>
          <w:color w:val="auto"/>
          <w:spacing w:val="0"/>
          <w:kern w:val="0"/>
          <w:position w:val="0"/>
          <w:sz w:val="32"/>
          <w:szCs w:val="32"/>
          <w:highlight w:val="none"/>
          <w:lang w:val="en-US" w:eastAsia="zh-CN"/>
        </w:rPr>
        <w:t>既有建筑</w:t>
      </w:r>
      <w:r>
        <w:rPr>
          <w:rFonts w:hint="eastAsia" w:ascii="仿宋_GB2312" w:hAnsi="仿宋_GB2312" w:eastAsia="仿宋_GB2312" w:cs="仿宋_GB2312"/>
          <w:color w:val="auto"/>
          <w:spacing w:val="0"/>
          <w:kern w:val="0"/>
          <w:position w:val="0"/>
          <w:sz w:val="32"/>
          <w:szCs w:val="32"/>
          <w:highlight w:val="none"/>
          <w:lang w:eastAsia="zh-CN"/>
        </w:rPr>
        <w:t>绿色化改造</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val="en-US" w:eastAsia="zh-CN"/>
        </w:rPr>
      </w:pPr>
      <w:r>
        <w:rPr>
          <w:rFonts w:hint="eastAsia" w:ascii="仿宋_GB2312" w:hAnsi="仿宋_GB2312" w:eastAsia="仿宋_GB2312" w:cs="仿宋_GB2312"/>
          <w:color w:val="auto"/>
          <w:spacing w:val="0"/>
          <w:kern w:val="0"/>
          <w:position w:val="0"/>
          <w:sz w:val="32"/>
          <w:szCs w:val="32"/>
          <w:highlight w:val="none"/>
        </w:rPr>
        <w:t>以节约能源资源、改善人居环境、提升使用功能等为目标，对既有建筑进行维护、更新、加固等活动。</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eastAsia="zh-CN"/>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5</w:t>
      </w:r>
      <w:r>
        <w:rPr>
          <w:rFonts w:hint="eastAsia" w:ascii="仿宋_GB2312" w:hAnsi="仿宋_GB2312" w:eastAsia="仿宋_GB2312" w:cs="仿宋_GB2312"/>
          <w:color w:val="auto"/>
          <w:spacing w:val="0"/>
          <w:kern w:val="0"/>
          <w:position w:val="0"/>
          <w:sz w:val="32"/>
          <w:szCs w:val="32"/>
          <w:highlight w:val="none"/>
          <w:lang w:eastAsia="zh-CN"/>
        </w:rPr>
        <w:t>　可再生能源应用</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eastAsia="zh-CN"/>
        </w:rPr>
      </w:pPr>
      <w:r>
        <w:rPr>
          <w:rFonts w:hint="eastAsia" w:ascii="仿宋_GB2312" w:hAnsi="仿宋_GB2312" w:eastAsia="仿宋_GB2312" w:cs="仿宋_GB2312"/>
          <w:color w:val="auto"/>
          <w:spacing w:val="0"/>
          <w:kern w:val="0"/>
          <w:position w:val="0"/>
          <w:sz w:val="32"/>
          <w:szCs w:val="32"/>
          <w:highlight w:val="none"/>
          <w:lang w:eastAsia="zh-CN"/>
        </w:rPr>
        <w:t>在建筑供热水、采暖、空调和供电等系统中，采用太阳能、地热能等可再生能源系统提供全部或部分建筑用能的</w:t>
      </w:r>
      <w:r>
        <w:rPr>
          <w:rFonts w:hint="eastAsia" w:ascii="仿宋_GB2312" w:hAnsi="仿宋_GB2312" w:eastAsia="仿宋_GB2312" w:cs="仿宋_GB2312"/>
          <w:color w:val="auto"/>
          <w:spacing w:val="0"/>
          <w:kern w:val="0"/>
          <w:position w:val="0"/>
          <w:sz w:val="32"/>
          <w:szCs w:val="32"/>
          <w:highlight w:val="none"/>
          <w:lang w:val="en-US" w:eastAsia="zh-CN"/>
        </w:rPr>
        <w:t>应</w:t>
      </w:r>
      <w:r>
        <w:rPr>
          <w:rFonts w:hint="eastAsia" w:ascii="仿宋_GB2312" w:hAnsi="仿宋_GB2312" w:eastAsia="仿宋_GB2312" w:cs="仿宋_GB2312"/>
          <w:color w:val="auto"/>
          <w:spacing w:val="0"/>
          <w:kern w:val="0"/>
          <w:position w:val="0"/>
          <w:sz w:val="32"/>
          <w:szCs w:val="32"/>
          <w:highlight w:val="none"/>
          <w:lang w:eastAsia="zh-CN"/>
        </w:rPr>
        <w:t>用形式。</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val="en-US" w:eastAsia="zh-CN"/>
        </w:rPr>
      </w:pPr>
      <w:r>
        <w:rPr>
          <w:rFonts w:hint="eastAsia" w:ascii="仿宋_GB2312" w:hAnsi="仿宋_GB2312" w:eastAsia="仿宋_GB2312" w:cs="仿宋_GB2312"/>
          <w:b/>
          <w:bCs/>
          <w:color w:val="auto"/>
          <w:spacing w:val="0"/>
          <w:kern w:val="0"/>
          <w:position w:val="0"/>
          <w:sz w:val="32"/>
          <w:szCs w:val="32"/>
          <w:highlight w:val="none"/>
          <w:lang w:val="en-US" w:eastAsia="zh-CN"/>
        </w:rPr>
        <w:t>2.0.6　</w:t>
      </w:r>
      <w:r>
        <w:rPr>
          <w:rFonts w:hint="eastAsia" w:ascii="仿宋_GB2312" w:hAnsi="仿宋_GB2312" w:eastAsia="仿宋_GB2312" w:cs="仿宋_GB2312"/>
          <w:color w:val="auto"/>
          <w:spacing w:val="0"/>
          <w:kern w:val="0"/>
          <w:position w:val="0"/>
          <w:sz w:val="32"/>
          <w:szCs w:val="32"/>
          <w:highlight w:val="none"/>
          <w:lang w:val="en-US" w:eastAsia="zh-CN"/>
        </w:rPr>
        <w:t>绿色建材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yellow"/>
          <w:lang w:val="en-US" w:eastAsia="zh-CN"/>
        </w:rPr>
      </w:pPr>
      <w:r>
        <w:rPr>
          <w:rFonts w:hint="eastAsia" w:ascii="仿宋_GB2312" w:hAnsi="仿宋_GB2312" w:eastAsia="仿宋_GB2312" w:cs="仿宋_GB2312"/>
          <w:color w:val="auto"/>
          <w:spacing w:val="0"/>
          <w:kern w:val="0"/>
          <w:position w:val="0"/>
          <w:sz w:val="32"/>
          <w:szCs w:val="32"/>
          <w:highlight w:val="none"/>
          <w:lang w:val="en-US" w:eastAsia="zh-CN"/>
        </w:rPr>
        <w:t>在全寿命期内可减少对资源的消耗、减轻对生态环境的影响，具有节能、减排、安全、健康、便利和可循环特征的建材产品。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b/>
          <w:bCs/>
          <w:color w:val="auto"/>
          <w:spacing w:val="0"/>
          <w:kern w:val="0"/>
          <w:position w:val="0"/>
          <w:sz w:val="32"/>
          <w:szCs w:val="32"/>
          <w:highlight w:val="none"/>
          <w:lang w:val="en-US" w:eastAsia="zh-CN"/>
        </w:rPr>
      </w:pPr>
      <w:r>
        <w:rPr>
          <w:rFonts w:hint="eastAsia" w:ascii="仿宋_GB2312" w:hAnsi="仿宋_GB2312" w:eastAsia="仿宋_GB2312" w:cs="仿宋_GB2312"/>
          <w:b/>
          <w:bCs/>
          <w:color w:val="auto"/>
          <w:spacing w:val="0"/>
          <w:kern w:val="0"/>
          <w:position w:val="0"/>
          <w:sz w:val="32"/>
          <w:szCs w:val="32"/>
          <w:highlight w:val="none"/>
          <w:lang w:val="en-US" w:eastAsia="zh-CN"/>
        </w:rPr>
        <w:t>2.0.7　</w:t>
      </w:r>
      <w:r>
        <w:rPr>
          <w:rFonts w:hint="eastAsia" w:ascii="仿宋_GB2312" w:hAnsi="仿宋_GB2312" w:eastAsia="仿宋_GB2312" w:cs="仿宋_GB2312"/>
          <w:b w:val="0"/>
          <w:bCs w:val="0"/>
          <w:color w:val="auto"/>
          <w:spacing w:val="0"/>
          <w:kern w:val="0"/>
          <w:position w:val="0"/>
          <w:sz w:val="32"/>
          <w:szCs w:val="32"/>
          <w:highlight w:val="none"/>
          <w:lang w:val="en-US" w:eastAsia="zh-CN"/>
        </w:rPr>
        <w:t>建筑信息模型（</w:t>
      </w:r>
      <w:r>
        <w:rPr>
          <w:rFonts w:hint="eastAsia" w:ascii="仿宋_GB2312" w:hAnsi="仿宋_GB2312" w:eastAsia="仿宋_GB2312" w:cs="仿宋_GB2312"/>
          <w:color w:val="000000"/>
          <w:spacing w:val="0"/>
          <w:kern w:val="0"/>
          <w:position w:val="0"/>
          <w:sz w:val="32"/>
          <w:szCs w:val="32"/>
          <w:lang w:val="en-US" w:eastAsia="zh-CN" w:bidi="ar-SA"/>
        </w:rPr>
        <w:t>简称“BIM”</w:t>
      </w:r>
      <w:r>
        <w:rPr>
          <w:rFonts w:hint="eastAsia" w:ascii="仿宋_GB2312" w:hAnsi="仿宋_GB2312" w:eastAsia="仿宋_GB2312" w:cs="仿宋_GB2312"/>
          <w:b w:val="0"/>
          <w:bCs w:val="0"/>
          <w:color w:val="auto"/>
          <w:spacing w:val="0"/>
          <w:kern w:val="0"/>
          <w:positio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val="en-US" w:eastAsia="zh-CN"/>
        </w:rPr>
      </w:pPr>
      <w:r>
        <w:rPr>
          <w:rFonts w:hint="eastAsia" w:ascii="仿宋_GB2312" w:hAnsi="仿宋_GB2312" w:eastAsia="仿宋_GB2312" w:cs="仿宋_GB2312"/>
          <w:color w:val="auto"/>
          <w:spacing w:val="0"/>
          <w:kern w:val="0"/>
          <w:position w:val="0"/>
          <w:sz w:val="32"/>
          <w:szCs w:val="32"/>
          <w:highlight w:val="none"/>
          <w:lang w:val="en-US" w:eastAsia="zh-CN"/>
        </w:rPr>
        <w:t>在建设工程及设施全生命期内，对其物理和功能特性进行数字化表达，并依此设计、施工、运营的过程和结果的总称。</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b w:val="0"/>
          <w:bCs w:val="0"/>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8</w:t>
      </w:r>
      <w:r>
        <w:rPr>
          <w:rFonts w:hint="eastAsia" w:ascii="仿宋_GB2312" w:hAnsi="仿宋_GB2312" w:eastAsia="仿宋_GB2312" w:cs="仿宋_GB2312"/>
          <w:b w:val="0"/>
          <w:bCs w:val="0"/>
          <w:color w:val="auto"/>
          <w:spacing w:val="0"/>
          <w:kern w:val="0"/>
          <w:position w:val="0"/>
          <w:sz w:val="32"/>
          <w:szCs w:val="32"/>
          <w:highlight w:val="none"/>
          <w:lang w:eastAsia="zh-CN"/>
        </w:rPr>
        <w:t>　</w:t>
      </w:r>
      <w:r>
        <w:rPr>
          <w:rFonts w:hint="eastAsia" w:ascii="仿宋_GB2312" w:hAnsi="仿宋_GB2312" w:eastAsia="仿宋_GB2312" w:cs="仿宋_GB2312"/>
          <w:b w:val="0"/>
          <w:bCs w:val="0"/>
          <w:color w:val="auto"/>
          <w:spacing w:val="0"/>
          <w:kern w:val="0"/>
          <w:position w:val="0"/>
          <w:sz w:val="32"/>
          <w:szCs w:val="32"/>
          <w:highlight w:val="none"/>
        </w:rPr>
        <w:t>绿色建筑建设指标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b w:val="0"/>
          <w:bCs w:val="0"/>
          <w:color w:val="auto"/>
          <w:spacing w:val="0"/>
          <w:kern w:val="0"/>
          <w:position w:val="0"/>
          <w:sz w:val="32"/>
          <w:szCs w:val="32"/>
          <w:highlight w:val="none"/>
          <w:lang w:eastAsia="zh-CN"/>
        </w:rPr>
      </w:pPr>
      <w:r>
        <w:rPr>
          <w:rFonts w:hint="eastAsia" w:ascii="仿宋_GB2312" w:hAnsi="仿宋_GB2312" w:eastAsia="仿宋_GB2312" w:cs="仿宋_GB2312"/>
          <w:b w:val="0"/>
          <w:bCs w:val="0"/>
          <w:color w:val="auto"/>
          <w:spacing w:val="0"/>
          <w:kern w:val="0"/>
          <w:position w:val="0"/>
          <w:sz w:val="32"/>
          <w:szCs w:val="32"/>
          <w:highlight w:val="none"/>
        </w:rPr>
        <w:t>按照绿色建筑发展要求对规划</w:t>
      </w:r>
      <w:r>
        <w:rPr>
          <w:rFonts w:hint="eastAsia" w:ascii="仿宋_GB2312" w:hAnsi="仿宋_GB2312" w:eastAsia="仿宋_GB2312" w:cs="仿宋_GB2312"/>
          <w:b w:val="0"/>
          <w:bCs w:val="0"/>
          <w:color w:val="auto"/>
          <w:spacing w:val="0"/>
          <w:kern w:val="0"/>
          <w:position w:val="0"/>
          <w:sz w:val="32"/>
          <w:szCs w:val="32"/>
          <w:highlight w:val="none"/>
          <w:lang w:eastAsia="zh-CN"/>
        </w:rPr>
        <w:t>区域</w:t>
      </w:r>
      <w:r>
        <w:rPr>
          <w:rFonts w:hint="eastAsia" w:ascii="仿宋_GB2312" w:hAnsi="仿宋_GB2312" w:eastAsia="仿宋_GB2312" w:cs="仿宋_GB2312"/>
          <w:b w:val="0"/>
          <w:bCs w:val="0"/>
          <w:color w:val="auto"/>
          <w:spacing w:val="0"/>
          <w:kern w:val="0"/>
          <w:position w:val="0"/>
          <w:sz w:val="32"/>
          <w:szCs w:val="32"/>
          <w:highlight w:val="none"/>
        </w:rPr>
        <w:t>内的建筑提出的具体建设参数和标准，包括绿色建筑等级、装配率、可再生能源应用要求、既有建筑绿色化改造面积以及其他更高节能降碳建设标准等内容</w:t>
      </w:r>
      <w:r>
        <w:rPr>
          <w:rFonts w:hint="eastAsia" w:ascii="仿宋_GB2312" w:hAnsi="仿宋_GB2312" w:eastAsia="仿宋_GB2312" w:cs="仿宋_GB2312"/>
          <w:b w:val="0"/>
          <w:bCs w:val="0"/>
          <w:color w:val="auto"/>
          <w:spacing w:val="0"/>
          <w:kern w:val="0"/>
          <w:positio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eastAsia="zh-CN"/>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9</w:t>
      </w:r>
      <w:r>
        <w:rPr>
          <w:rFonts w:hint="eastAsia" w:ascii="仿宋_GB2312" w:hAnsi="仿宋_GB2312" w:eastAsia="仿宋_GB2312" w:cs="仿宋_GB2312"/>
          <w:color w:val="auto"/>
          <w:spacing w:val="0"/>
          <w:kern w:val="0"/>
          <w:position w:val="0"/>
          <w:sz w:val="32"/>
          <w:szCs w:val="32"/>
          <w:highlight w:val="none"/>
          <w:lang w:eastAsia="zh-CN"/>
        </w:rPr>
        <w:t>　通用性控制指标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lang w:eastAsia="zh-CN"/>
        </w:rPr>
      </w:pPr>
      <w:r>
        <w:rPr>
          <w:rFonts w:hint="eastAsia" w:ascii="仿宋_GB2312" w:hAnsi="仿宋_GB2312" w:eastAsia="仿宋_GB2312" w:cs="仿宋_GB2312"/>
          <w:color w:val="auto"/>
          <w:spacing w:val="0"/>
          <w:kern w:val="0"/>
          <w:position w:val="0"/>
          <w:sz w:val="32"/>
          <w:szCs w:val="32"/>
          <w:highlight w:val="none"/>
          <w:lang w:eastAsia="zh-CN"/>
        </w:rPr>
        <w:t>根据绿色建筑发展相关政策要求，</w:t>
      </w:r>
      <w:r>
        <w:rPr>
          <w:rFonts w:hint="eastAsia" w:ascii="仿宋_GB2312" w:hAnsi="仿宋_GB2312" w:eastAsia="仿宋_GB2312" w:cs="仿宋_GB2312"/>
          <w:color w:val="auto"/>
          <w:spacing w:val="0"/>
          <w:kern w:val="0"/>
          <w:position w:val="0"/>
          <w:sz w:val="32"/>
          <w:szCs w:val="32"/>
          <w:highlight w:val="none"/>
        </w:rPr>
        <w:t>针对</w:t>
      </w:r>
      <w:r>
        <w:rPr>
          <w:rFonts w:hint="eastAsia" w:ascii="仿宋_GB2312" w:hAnsi="仿宋_GB2312" w:eastAsia="仿宋_GB2312" w:cs="仿宋_GB2312"/>
          <w:color w:val="auto"/>
          <w:spacing w:val="0"/>
          <w:kern w:val="0"/>
          <w:position w:val="0"/>
          <w:sz w:val="32"/>
          <w:szCs w:val="32"/>
          <w:highlight w:val="none"/>
          <w:lang w:val="en-US" w:eastAsia="zh-CN"/>
        </w:rPr>
        <w:t>规划区域内不同类别建设用地和不同类型建筑提出的</w:t>
      </w:r>
      <w:r>
        <w:rPr>
          <w:rFonts w:hint="eastAsia" w:ascii="仿宋_GB2312" w:hAnsi="仿宋_GB2312" w:eastAsia="仿宋_GB2312" w:cs="仿宋_GB2312"/>
          <w:color w:val="auto"/>
          <w:spacing w:val="0"/>
          <w:kern w:val="0"/>
          <w:position w:val="0"/>
          <w:sz w:val="32"/>
          <w:szCs w:val="32"/>
          <w:highlight w:val="none"/>
          <w:lang w:eastAsia="zh-CN"/>
        </w:rPr>
        <w:t>应当达到</w:t>
      </w:r>
      <w:r>
        <w:rPr>
          <w:rFonts w:hint="eastAsia" w:ascii="仿宋_GB2312" w:hAnsi="仿宋_GB2312" w:eastAsia="仿宋_GB2312" w:cs="仿宋_GB2312"/>
          <w:color w:val="auto"/>
          <w:spacing w:val="0"/>
          <w:kern w:val="0"/>
          <w:position w:val="0"/>
          <w:sz w:val="32"/>
          <w:szCs w:val="32"/>
          <w:highlight w:val="none"/>
        </w:rPr>
        <w:t>的建设指标</w:t>
      </w:r>
      <w:r>
        <w:rPr>
          <w:rFonts w:hint="eastAsia" w:ascii="仿宋_GB2312" w:hAnsi="仿宋_GB2312" w:eastAsia="仿宋_GB2312" w:cs="仿宋_GB2312"/>
          <w:color w:val="auto"/>
          <w:spacing w:val="0"/>
          <w:kern w:val="0"/>
          <w:positio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2"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b/>
          <w:bCs/>
          <w:color w:val="auto"/>
          <w:spacing w:val="0"/>
          <w:kern w:val="0"/>
          <w:position w:val="0"/>
          <w:sz w:val="32"/>
          <w:szCs w:val="32"/>
          <w:highlight w:val="none"/>
        </w:rPr>
        <w:t>2.0.</w:t>
      </w:r>
      <w:r>
        <w:rPr>
          <w:rFonts w:hint="eastAsia" w:ascii="仿宋_GB2312" w:hAnsi="仿宋_GB2312" w:eastAsia="仿宋_GB2312" w:cs="仿宋_GB2312"/>
          <w:b/>
          <w:bCs/>
          <w:color w:val="auto"/>
          <w:spacing w:val="0"/>
          <w:kern w:val="0"/>
          <w:position w:val="0"/>
          <w:sz w:val="32"/>
          <w:szCs w:val="32"/>
          <w:highlight w:val="none"/>
          <w:lang w:val="en-US" w:eastAsia="zh-CN"/>
        </w:rPr>
        <w:t>10　</w:t>
      </w:r>
      <w:r>
        <w:rPr>
          <w:rFonts w:hint="eastAsia" w:ascii="仿宋_GB2312" w:hAnsi="仿宋_GB2312" w:eastAsia="仿宋_GB2312" w:cs="仿宋_GB2312"/>
          <w:color w:val="auto"/>
          <w:spacing w:val="0"/>
          <w:kern w:val="0"/>
          <w:position w:val="0"/>
          <w:sz w:val="32"/>
          <w:szCs w:val="32"/>
          <w:highlight w:val="none"/>
          <w:lang w:eastAsia="zh-CN"/>
        </w:rPr>
        <w:t>引导性</w:t>
      </w:r>
      <w:r>
        <w:rPr>
          <w:rFonts w:hint="eastAsia" w:ascii="仿宋_GB2312" w:hAnsi="仿宋_GB2312" w:eastAsia="仿宋_GB2312" w:cs="仿宋_GB2312"/>
          <w:color w:val="auto"/>
          <w:spacing w:val="0"/>
          <w:kern w:val="0"/>
          <w:position w:val="0"/>
          <w:sz w:val="32"/>
          <w:szCs w:val="32"/>
          <w:highlight w:val="none"/>
        </w:rPr>
        <w:t>指标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baseline"/>
        <w:outlineLvl w:val="9"/>
        <w:rPr>
          <w:rFonts w:hint="eastAsia" w:ascii="仿宋_GB2312" w:hAnsi="仿宋_GB2312" w:eastAsia="仿宋_GB2312" w:cs="仿宋_GB2312"/>
          <w:color w:val="auto"/>
          <w:spacing w:val="0"/>
          <w:kern w:val="0"/>
          <w:position w:val="0"/>
          <w:sz w:val="32"/>
          <w:szCs w:val="32"/>
          <w:highlight w:val="none"/>
        </w:rPr>
      </w:pPr>
      <w:r>
        <w:rPr>
          <w:rFonts w:hint="eastAsia" w:ascii="仿宋_GB2312" w:hAnsi="仿宋_GB2312" w:eastAsia="仿宋_GB2312" w:cs="仿宋_GB2312"/>
          <w:color w:val="auto"/>
          <w:spacing w:val="0"/>
          <w:kern w:val="0"/>
          <w:position w:val="0"/>
          <w:sz w:val="32"/>
          <w:szCs w:val="32"/>
          <w:highlight w:val="none"/>
        </w:rPr>
        <w:t>为引导绿色建筑发展，针对</w:t>
      </w:r>
      <w:r>
        <w:rPr>
          <w:rFonts w:hint="eastAsia" w:ascii="仿宋_GB2312" w:hAnsi="仿宋_GB2312" w:eastAsia="仿宋_GB2312" w:cs="仿宋_GB2312"/>
          <w:color w:val="auto"/>
          <w:spacing w:val="0"/>
          <w:kern w:val="0"/>
          <w:position w:val="0"/>
          <w:sz w:val="32"/>
          <w:szCs w:val="32"/>
          <w:highlight w:val="none"/>
          <w:lang w:val="en-US" w:eastAsia="zh-CN"/>
        </w:rPr>
        <w:t>规划区域内不同类别建设用地和不同类型建筑</w:t>
      </w:r>
      <w:r>
        <w:rPr>
          <w:rFonts w:hint="eastAsia" w:ascii="仿宋_GB2312" w:hAnsi="仿宋_GB2312" w:eastAsia="仿宋_GB2312" w:cs="仿宋_GB2312"/>
          <w:color w:val="auto"/>
          <w:spacing w:val="0"/>
          <w:kern w:val="0"/>
          <w:position w:val="0"/>
          <w:sz w:val="32"/>
          <w:szCs w:val="32"/>
          <w:highlight w:val="none"/>
        </w:rPr>
        <w:t>提出的建议达到的建设指标。</w:t>
      </w:r>
    </w:p>
    <w:p>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ind w:firstLine="0" w:firstLineChars="0"/>
        <w:textAlignment w:val="auto"/>
        <w:outlineLvl w:val="0"/>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基本规定</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3.0.1</w:t>
      </w:r>
      <w:r>
        <w:rPr>
          <w:rFonts w:hint="eastAsia" w:ascii="仿宋_GB2312" w:hAnsi="仿宋_GB2312" w:eastAsia="仿宋_GB2312" w:cs="仿宋_GB2312"/>
          <w:sz w:val="32"/>
          <w:szCs w:val="32"/>
          <w:lang w:val="en-US" w:eastAsia="zh-CN"/>
        </w:rPr>
        <w:t>　专项规划应依据《山西省绿色建筑发展条例》等相关法律、法规编制，符合国民经济和社会发展规划以及国土空间规划，与相关专项规划相衔接，明确绿色建筑发展目标、总体布局、重点发展区域等内容。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3.0.2　</w:t>
      </w:r>
      <w:r>
        <w:rPr>
          <w:rFonts w:hint="eastAsia" w:ascii="仿宋_GB2312" w:hAnsi="仿宋_GB2312" w:eastAsia="仿宋_GB2312" w:cs="仿宋_GB2312"/>
          <w:sz w:val="32"/>
          <w:szCs w:val="32"/>
        </w:rPr>
        <w:t>专项规划的编制应坚持“因地制宜、适度超前，整体推进、重点突破，统筹兼顾、分类实施，创新驱动、科技支撑”的原则，立足规划区域实际，综合考虑各类绿色建筑技术的协调发展。</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3.0.3　</w:t>
      </w:r>
      <w:r>
        <w:rPr>
          <w:rFonts w:hint="eastAsia" w:ascii="仿宋_GB2312" w:hAnsi="仿宋_GB2312" w:eastAsia="仿宋_GB2312" w:cs="仿宋_GB2312"/>
          <w:sz w:val="32"/>
          <w:szCs w:val="32"/>
          <w:lang w:val="en-US" w:eastAsia="zh-CN"/>
        </w:rPr>
        <w:t>专项规划编制应进行充分的调查研究，深入分析规划区域内绿色建筑发展现状，结合规划区域气候、环境、能源、经济及产业发展等特点，合理确定绿色建筑发展目标、重点发展区域、控制要求、实施计划和保障措施等，并妥善处理近期与中远期、局部与整体等关系。</w:t>
      </w:r>
      <w:r>
        <w:rPr>
          <w:rFonts w:hint="eastAsia" w:ascii="仿宋_GB2312" w:hAnsi="仿宋_GB2312" w:eastAsia="仿宋_GB2312" w:cs="仿宋_GB2312"/>
          <w:sz w:val="32"/>
          <w:szCs w:val="32"/>
          <w:lang w:eastAsia="zh-CN"/>
        </w:rPr>
        <w:t>专项规划编制路线见附录</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应坚持“因地制宜、适度超前，</w:t>
      </w:r>
      <w:r>
        <w:rPr>
          <w:rFonts w:hint="eastAsia" w:ascii="仿宋_GB2312" w:hAnsi="仿宋_GB2312" w:eastAsia="仿宋_GB2312" w:cs="仿宋_GB2312"/>
          <w:sz w:val="32"/>
          <w:szCs w:val="32"/>
          <w:lang w:eastAsia="zh-CN"/>
        </w:rPr>
        <w:t>整体推进</w:t>
      </w:r>
      <w:r>
        <w:rPr>
          <w:rFonts w:hint="eastAsia" w:ascii="仿宋_GB2312" w:hAnsi="仿宋_GB2312" w:eastAsia="仿宋_GB2312" w:cs="仿宋_GB2312"/>
          <w:sz w:val="32"/>
          <w:szCs w:val="32"/>
        </w:rPr>
        <w:t>、重点突</w:t>
      </w:r>
      <w:r>
        <w:rPr>
          <w:rFonts w:hint="eastAsia" w:ascii="仿宋_GB2312" w:hAnsi="仿宋_GB2312" w:eastAsia="仿宋_GB2312" w:cs="仿宋_GB2312"/>
          <w:sz w:val="32"/>
          <w:szCs w:val="32"/>
          <w:lang w:eastAsia="zh-CN"/>
        </w:rPr>
        <w:t>破，统筹兼顾、分类实施，创新驱动、科技支撑</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，立足规划区域实际，</w:t>
      </w:r>
      <w:r>
        <w:rPr>
          <w:rFonts w:hint="eastAsia" w:ascii="仿宋_GB2312" w:hAnsi="仿宋_GB2312" w:eastAsia="仿宋_GB2312" w:cs="仿宋_GB2312"/>
          <w:sz w:val="32"/>
          <w:szCs w:val="32"/>
          <w:lang w:val="en-US" w:eastAsia="zh-CN"/>
        </w:rPr>
        <w:t>综合考虑各类绿色建筑技术的协调发展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3.0.4</w:t>
      </w:r>
      <w:r>
        <w:rPr>
          <w:rFonts w:hint="eastAsia" w:ascii="仿宋_GB2312" w:hAnsi="仿宋_GB2312" w:eastAsia="仿宋_GB2312" w:cs="仿宋_GB2312"/>
          <w:sz w:val="32"/>
          <w:szCs w:val="32"/>
          <w:lang w:val="en-US" w:eastAsia="zh-CN"/>
        </w:rPr>
        <w:t>　专项规划宜按照城市更新的要求，在节能普查与能耗统计基础上，结合规划区域既有建筑的建筑类型、建成年代、结构形式、室内热环境及用能状况等特点，合理确定规划区域内既有建筑绿色化改造的目标、实施计划、保障措施等。</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3.0.</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　设区的市、县（市）人民政府住房和城乡建设主管部门</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lang w:val="en-US" w:eastAsia="zh-CN"/>
        </w:rPr>
        <w:t>会同相关部门编制本行政区域的绿色建筑发展专项规划,公开征求意见，经评审、公示，报本级人民政府批准后实施。</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3.0.6</w:t>
      </w:r>
      <w:r>
        <w:rPr>
          <w:rFonts w:hint="eastAsia" w:ascii="仿宋_GB2312" w:hAnsi="仿宋_GB2312" w:eastAsia="仿宋_GB2312" w:cs="仿宋_GB2312"/>
          <w:sz w:val="32"/>
          <w:szCs w:val="32"/>
          <w:lang w:val="en-US" w:eastAsia="zh-CN"/>
        </w:rPr>
        <w:t>　专项规划实施应强化实时监测、动态维护、统筹衔接、互动支撑和全过程管理，</w:t>
      </w:r>
      <w:r>
        <w:rPr>
          <w:rFonts w:hint="eastAsia" w:ascii="仿宋_GB2312" w:hAnsi="仿宋_GB2312" w:eastAsia="仿宋_GB2312" w:cs="仿宋_GB2312"/>
          <w:spacing w:val="-6"/>
          <w:sz w:val="32"/>
          <w:szCs w:val="32"/>
          <w:lang w:val="en-US" w:eastAsia="zh-CN"/>
        </w:rPr>
        <w:t>形成贯穿规划编制、任务分解、实施分析、督查问责、反馈落实的全周期管理实施机制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8"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29" w:name="_Toc5587"/>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4　编制内容及要求</w:t>
      </w:r>
      <w:bookmarkEnd w:id="29"/>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0" w:name="_Toc23412"/>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4.1</w:t>
      </w: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编制内容</w:t>
      </w:r>
      <w:bookmarkEnd w:id="30"/>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专项规划应当包括下列内容：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总则；</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lang w:val="en-US" w:eastAsia="zh-CN"/>
        </w:rPr>
        <w:t>　绿色建筑</w:t>
      </w:r>
      <w:r>
        <w:rPr>
          <w:rFonts w:hint="eastAsia" w:ascii="仿宋_GB2312" w:hAnsi="仿宋_GB2312" w:eastAsia="仿宋_GB2312" w:cs="仿宋_GB2312"/>
          <w:sz w:val="32"/>
          <w:szCs w:val="32"/>
        </w:rPr>
        <w:t>发展现状分析；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val="en-US" w:eastAsia="zh-CN"/>
        </w:rPr>
        <w:t>　绿色建筑发展</w:t>
      </w:r>
      <w:r>
        <w:rPr>
          <w:rFonts w:hint="eastAsia" w:ascii="仿宋_GB2312" w:hAnsi="仿宋_GB2312" w:eastAsia="仿宋_GB2312" w:cs="仿宋_GB2312"/>
          <w:sz w:val="32"/>
          <w:szCs w:val="32"/>
        </w:rPr>
        <w:t>目标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w:t>
      </w:r>
      <w:r>
        <w:rPr>
          <w:rFonts w:hint="eastAsia" w:ascii="仿宋_GB2312" w:hAnsi="仿宋_GB2312" w:eastAsia="仿宋_GB2312" w:cs="仿宋_GB2312"/>
          <w:sz w:val="32"/>
          <w:szCs w:val="32"/>
          <w:lang w:val="en-US" w:eastAsia="zh-CN"/>
        </w:rPr>
        <w:t>　区域划分和绿色建筑建设指标要求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　实施计划和</w:t>
      </w:r>
      <w:r>
        <w:rPr>
          <w:rFonts w:hint="eastAsia" w:ascii="仿宋_GB2312" w:hAnsi="仿宋_GB2312" w:eastAsia="仿宋_GB2312" w:cs="仿宋_GB2312"/>
          <w:sz w:val="32"/>
          <w:szCs w:val="32"/>
        </w:rPr>
        <w:t>保障措施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1" w:name="_Toc24018"/>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4.2</w:t>
      </w: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总　则</w:t>
      </w:r>
      <w:bookmarkEnd w:id="31"/>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sz w:val="32"/>
          <w:szCs w:val="32"/>
          <w:lang w:eastAsia="zh-CN"/>
        </w:rPr>
        <w:t>　总则应明确指导思想、目的、原则、编制依据、范围、期限等事项。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4.2.2</w:t>
      </w:r>
      <w:r>
        <w:rPr>
          <w:rFonts w:hint="eastAsia" w:ascii="仿宋_GB2312" w:hAnsi="仿宋_GB2312" w:eastAsia="仿宋_GB2312" w:cs="仿宋_GB2312"/>
          <w:sz w:val="32"/>
          <w:szCs w:val="32"/>
          <w:lang w:eastAsia="zh-CN"/>
        </w:rPr>
        <w:t>　专项规划应贯彻绿色发展理念，落实</w:t>
      </w:r>
      <w:r>
        <w:rPr>
          <w:rFonts w:hint="eastAsia" w:ascii="仿宋_GB2312" w:hAnsi="仿宋_GB2312" w:eastAsia="仿宋_GB2312" w:cs="仿宋_GB2312"/>
          <w:sz w:val="32"/>
          <w:szCs w:val="32"/>
          <w:lang w:val="en-US" w:eastAsia="zh-CN"/>
        </w:rPr>
        <w:t>有关法律法规及</w:t>
      </w:r>
      <w:r>
        <w:rPr>
          <w:rFonts w:hint="eastAsia" w:ascii="仿宋_GB2312" w:hAnsi="仿宋_GB2312" w:eastAsia="仿宋_GB2312" w:cs="仿宋_GB2312"/>
          <w:sz w:val="32"/>
          <w:szCs w:val="32"/>
          <w:lang w:eastAsia="zh-CN"/>
        </w:rPr>
        <w:t>城乡建设绿色发展、碳达峰碳中和等政策要求，提出专项规划的指导思想、目的和原则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4.2.3</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eastAsia="zh-CN"/>
        </w:rPr>
        <w:t>编制依据应详细列出编制专项规划的主要依据，包括有关的法律法规、技术标准及其他相关政策文件（</w:t>
      </w:r>
      <w:r>
        <w:rPr>
          <w:rFonts w:hint="eastAsia" w:ascii="仿宋_GB2312" w:hAnsi="仿宋_GB2312" w:eastAsia="仿宋_GB2312" w:cs="仿宋_GB2312"/>
          <w:sz w:val="32"/>
          <w:szCs w:val="32"/>
          <w:lang w:val="en-US" w:eastAsia="zh-CN"/>
        </w:rPr>
        <w:t>见附录B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4.2.4</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专项规划期限应与</w:t>
      </w:r>
      <w:r>
        <w:rPr>
          <w:rFonts w:hint="eastAsia" w:ascii="仿宋_GB2312" w:hAnsi="仿宋_GB2312" w:eastAsia="仿宋_GB2312" w:cs="仿宋_GB2312"/>
          <w:sz w:val="32"/>
          <w:szCs w:val="32"/>
          <w:lang w:val="en-US" w:eastAsia="zh-CN"/>
        </w:rPr>
        <w:t>国民经济和社会发展规划、</w:t>
      </w:r>
      <w:r>
        <w:rPr>
          <w:rFonts w:hint="eastAsia" w:ascii="仿宋_GB2312" w:hAnsi="仿宋_GB2312" w:eastAsia="仿宋_GB2312" w:cs="仿宋_GB2312"/>
          <w:sz w:val="32"/>
          <w:szCs w:val="32"/>
        </w:rPr>
        <w:t>国土空间规划期限</w:t>
      </w:r>
      <w:r>
        <w:rPr>
          <w:rFonts w:hint="eastAsia" w:ascii="仿宋_GB2312" w:hAnsi="仿宋_GB2312" w:eastAsia="仿宋_GB2312" w:cs="仿宋_GB2312"/>
          <w:sz w:val="32"/>
          <w:szCs w:val="32"/>
          <w:lang w:val="en-US" w:eastAsia="zh-CN"/>
        </w:rPr>
        <w:t>协调一致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近期规划5年，</w:t>
      </w:r>
      <w:r>
        <w:rPr>
          <w:rFonts w:hint="eastAsia" w:ascii="仿宋_GB2312" w:hAnsi="仿宋_GB2312" w:eastAsia="仿宋_GB2312" w:cs="仿宋_GB2312"/>
          <w:sz w:val="32"/>
          <w:szCs w:val="32"/>
          <w:lang w:val="en-US" w:eastAsia="zh-CN"/>
        </w:rPr>
        <w:t>中期规划10年，</w:t>
      </w:r>
      <w:r>
        <w:rPr>
          <w:rFonts w:hint="eastAsia" w:ascii="仿宋_GB2312" w:hAnsi="仿宋_GB2312" w:eastAsia="仿宋_GB2312" w:cs="仿宋_GB2312"/>
          <w:sz w:val="32"/>
          <w:szCs w:val="32"/>
        </w:rPr>
        <w:t>远期规划15年，并根据上位规划、绿色建筑发展进程</w:t>
      </w:r>
      <w:r>
        <w:rPr>
          <w:rFonts w:hint="eastAsia" w:ascii="仿宋_GB2312" w:hAnsi="仿宋_GB2312" w:eastAsia="仿宋_GB2312" w:cs="仿宋_GB2312"/>
          <w:sz w:val="32"/>
          <w:szCs w:val="32"/>
          <w:lang w:val="en-US" w:eastAsia="zh-CN"/>
        </w:rPr>
        <w:t>每五年进行修编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4.2.5</w:t>
      </w:r>
      <w:r>
        <w:rPr>
          <w:rFonts w:hint="eastAsia" w:ascii="仿宋_GB2312" w:hAnsi="仿宋_GB2312" w:eastAsia="仿宋_GB2312" w:cs="仿宋_GB2312"/>
          <w:sz w:val="32"/>
          <w:szCs w:val="32"/>
          <w:lang w:val="en-US" w:eastAsia="zh-CN"/>
        </w:rPr>
        <w:t>　设区的市应以中心城区规划范围进行编制，并对市域范围内其他县（市）提出指导管控要求；县（市）应以中心城区规划范围进行编制，有条件的，应涵盖乡村地区；涉及开发区等独立园区的可根据实际情况单独或合并编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2" w:name="_Toc26473"/>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4.3</w:t>
      </w: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绿色建筑发展现状分析</w:t>
      </w:r>
      <w:bookmarkEnd w:id="32"/>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4.</w:t>
      </w: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sz w:val="32"/>
          <w:szCs w:val="32"/>
          <w:lang w:val="en-US" w:eastAsia="zh-CN"/>
        </w:rPr>
        <w:t xml:space="preserve">  绿色建筑</w:t>
      </w:r>
      <w:r>
        <w:rPr>
          <w:rFonts w:hint="eastAsia" w:ascii="仿宋_GB2312" w:hAnsi="仿宋_GB2312" w:eastAsia="仿宋_GB2312" w:cs="仿宋_GB2312"/>
          <w:sz w:val="32"/>
          <w:szCs w:val="32"/>
        </w:rPr>
        <w:t>发展现状分析应包括以下内容：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 xml:space="preserve">  国民经济和社会发展规划、国土空间规划、相关专项规划中与绿色建筑发展相关的内容分析；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 xml:space="preserve">  规划区域内绿色建筑发展相关政策及制度分析；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 xml:space="preserve">  绿色建筑、装配式建筑、可再生能源应用、既有建筑节能改造，以及超低能耗、近零能耗、低碳、零碳建筑、绿色建材应用、</w:t>
      </w:r>
      <w:r>
        <w:rPr>
          <w:rFonts w:hint="eastAsia" w:ascii="仿宋_GB2312" w:hAnsi="仿宋_GB2312" w:eastAsia="仿宋_GB2312" w:cs="仿宋_GB2312"/>
          <w:sz w:val="32"/>
          <w:szCs w:val="32"/>
        </w:rPr>
        <w:t>公共建筑电气化、BIM技术应用</w:t>
      </w:r>
      <w:r>
        <w:rPr>
          <w:rFonts w:hint="eastAsia" w:ascii="仿宋_GB2312" w:hAnsi="仿宋_GB2312" w:eastAsia="仿宋_GB2312" w:cs="仿宋_GB2312"/>
          <w:sz w:val="32"/>
          <w:szCs w:val="32"/>
          <w:lang w:eastAsia="zh-CN"/>
        </w:rPr>
        <w:t>等高质量发展要求</w:t>
      </w:r>
      <w:r>
        <w:rPr>
          <w:rFonts w:hint="eastAsia" w:ascii="仿宋_GB2312" w:hAnsi="仿宋_GB2312" w:eastAsia="仿宋_GB2312" w:cs="仿宋_GB2312"/>
          <w:sz w:val="32"/>
          <w:szCs w:val="32"/>
          <w:lang w:val="en-US" w:eastAsia="zh-CN"/>
        </w:rPr>
        <w:t>的实施现状、存在的问题和潜力分析；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lang w:val="en-US" w:eastAsia="zh-CN"/>
        </w:rPr>
        <w:t xml:space="preserve">  规划区域内与绿色建筑发展相关的其他分析。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4.3.2  </w:t>
      </w:r>
      <w:r>
        <w:rPr>
          <w:rFonts w:hint="eastAsia" w:ascii="仿宋_GB2312" w:hAnsi="仿宋_GB2312" w:eastAsia="仿宋_GB2312" w:cs="仿宋_GB2312"/>
          <w:sz w:val="32"/>
          <w:szCs w:val="32"/>
          <w:lang w:val="en-US" w:eastAsia="zh-CN"/>
        </w:rPr>
        <w:t>绿色建筑发展现状分析应进行充分的调研，可采用现场调研、文献调研、问卷调查、实地座谈等调研方式，调研资料搜集清单详见附录C。</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3" w:name="_Toc14658"/>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 xml:space="preserve">4.4 </w:t>
      </w: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 xml:space="preserve">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绿色建筑发展目标</w:t>
      </w:r>
      <w:bookmarkEnd w:id="33"/>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4.4.1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规划区域的</w:t>
      </w:r>
      <w:r>
        <w:rPr>
          <w:rFonts w:hint="eastAsia" w:ascii="仿宋_GB2312" w:hAnsi="仿宋_GB2312" w:eastAsia="仿宋_GB2312" w:cs="仿宋_GB2312"/>
          <w:sz w:val="32"/>
          <w:szCs w:val="32"/>
          <w:lang w:val="en-US" w:eastAsia="zh-CN"/>
        </w:rPr>
        <w:t>绿色建筑发展目标应根据国家、省以及当地绿色建筑相关政策，结合城市发展定位、绿色建筑发展禀赋合理确定</w:t>
      </w:r>
      <w:r>
        <w:rPr>
          <w:rFonts w:hint="eastAsia" w:ascii="仿宋_GB2312" w:hAnsi="仿宋_GB2312" w:eastAsia="仿宋_GB2312" w:cs="仿宋_GB2312"/>
          <w:sz w:val="32"/>
          <w:szCs w:val="32"/>
        </w:rPr>
        <w:t>近期和中、远期发展目标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4.4.2 </w:t>
      </w:r>
      <w:r>
        <w:rPr>
          <w:rFonts w:hint="eastAsia" w:ascii="仿宋_GB2312" w:hAnsi="仿宋_GB2312" w:eastAsia="仿宋_GB2312" w:cs="仿宋_GB2312"/>
          <w:sz w:val="32"/>
          <w:szCs w:val="32"/>
          <w:lang w:val="en-US" w:eastAsia="zh-CN"/>
        </w:rPr>
        <w:t xml:space="preserve"> 发展目标</w:t>
      </w:r>
      <w:r>
        <w:rPr>
          <w:rFonts w:hint="eastAsia" w:ascii="仿宋_GB2312" w:hAnsi="仿宋_GB2312" w:eastAsia="仿宋_GB2312" w:cs="仿宋_GB2312"/>
          <w:sz w:val="32"/>
          <w:szCs w:val="32"/>
          <w:lang w:eastAsia="zh-CN"/>
        </w:rPr>
        <w:t>主要包括以下内容：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sz w:val="32"/>
          <w:szCs w:val="32"/>
          <w:lang w:val="en-US" w:eastAsia="zh-CN"/>
        </w:rPr>
        <w:t xml:space="preserve"> 绿色建筑占新建建筑面积的比例；</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 xml:space="preserve">  星级绿色建筑占新建建筑面积的比例；</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 xml:space="preserve">  新开工装配式建筑占新建建筑面积的比例；</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lang w:val="en-US" w:eastAsia="zh-CN"/>
        </w:rPr>
        <w:t xml:space="preserve">  可再生能源</w:t>
      </w:r>
      <w:r>
        <w:rPr>
          <w:rFonts w:hint="eastAsia" w:ascii="仿宋_GB2312" w:hAnsi="仿宋_GB2312" w:eastAsia="仿宋_GB2312" w:cs="仿宋_GB2312"/>
          <w:sz w:val="32"/>
          <w:szCs w:val="32"/>
          <w:lang w:eastAsia="zh-CN"/>
        </w:rPr>
        <w:t>替代</w:t>
      </w:r>
      <w:r>
        <w:rPr>
          <w:rFonts w:hint="eastAsia" w:ascii="仿宋_GB2312" w:hAnsi="仿宋_GB2312" w:eastAsia="仿宋_GB2312" w:cs="仿宋_GB2312"/>
          <w:sz w:val="32"/>
          <w:szCs w:val="32"/>
          <w:lang w:val="en-US" w:eastAsia="zh-CN"/>
        </w:rPr>
        <w:t>率；</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 xml:space="preserve">  既有建筑绿色化改造目标；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其他绿色建筑发展目标，如超低能耗、近零能耗、低碳、零碳建筑面积、</w:t>
      </w:r>
      <w:r>
        <w:rPr>
          <w:rFonts w:hint="eastAsia" w:ascii="仿宋_GB2312" w:hAnsi="仿宋_GB2312" w:eastAsia="仿宋_GB2312" w:cs="仿宋_GB2312"/>
          <w:sz w:val="32"/>
          <w:szCs w:val="32"/>
          <w:lang w:val="en-US" w:eastAsia="zh-CN"/>
        </w:rPr>
        <w:t>绿色建材应用、</w:t>
      </w:r>
      <w:r>
        <w:rPr>
          <w:rFonts w:hint="eastAsia" w:ascii="仿宋_GB2312" w:hAnsi="仿宋_GB2312" w:eastAsia="仿宋_GB2312" w:cs="仿宋_GB2312"/>
          <w:sz w:val="32"/>
          <w:szCs w:val="32"/>
        </w:rPr>
        <w:t>公共建筑电气化比例、BIM技术应用等</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lang w:val="en-US" w:eastAsia="zh-CN"/>
        </w:rPr>
        <w:t>发展要求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4.4.3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专项规划应根据绿色建筑发展目标，结合规划区域特点，提出</w:t>
      </w:r>
      <w:r>
        <w:rPr>
          <w:rFonts w:hint="eastAsia" w:ascii="仿宋_GB2312" w:hAnsi="仿宋_GB2312" w:eastAsia="仿宋_GB2312" w:cs="仿宋_GB2312"/>
          <w:sz w:val="32"/>
          <w:szCs w:val="32"/>
          <w:lang w:val="en-US" w:eastAsia="zh-CN"/>
        </w:rPr>
        <w:t>绿色建筑</w:t>
      </w:r>
      <w:r>
        <w:rPr>
          <w:rFonts w:hint="eastAsia" w:ascii="仿宋_GB2312" w:hAnsi="仿宋_GB2312" w:eastAsia="仿宋_GB2312" w:cs="仿宋_GB2312"/>
          <w:sz w:val="32"/>
          <w:szCs w:val="32"/>
          <w:lang w:eastAsia="zh-CN"/>
        </w:rPr>
        <w:t>发展、节能低碳、绿色化改造</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lang w:val="en-US" w:eastAsia="zh-CN"/>
        </w:rPr>
        <w:t>发展的</w:t>
      </w:r>
      <w:r>
        <w:rPr>
          <w:rFonts w:hint="eastAsia" w:ascii="仿宋_GB2312" w:hAnsi="仿宋_GB2312" w:eastAsia="仿宋_GB2312" w:cs="仿宋_GB2312"/>
          <w:sz w:val="32"/>
          <w:szCs w:val="32"/>
          <w:lang w:eastAsia="zh-CN"/>
        </w:rPr>
        <w:t>总体工作思路、重点任务和技术路线。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4" w:name="_Toc21963"/>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 xml:space="preserve">4.5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区域划分和绿色建筑建设指标要求</w:t>
      </w:r>
      <w:bookmarkEnd w:id="34"/>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4.5.1 </w:t>
      </w:r>
      <w:r>
        <w:rPr>
          <w:rFonts w:hint="eastAsia" w:ascii="仿宋_GB2312" w:hAnsi="仿宋_GB2312" w:eastAsia="仿宋_GB2312" w:cs="仿宋_GB2312"/>
          <w:sz w:val="32"/>
          <w:szCs w:val="32"/>
          <w:lang w:val="en-US" w:eastAsia="zh-CN"/>
        </w:rPr>
        <w:t xml:space="preserve"> 专项规划应按照功能定位、开发强度、绿色潜力等，将规划区域划分为重点发展区域、一般发展区域和改造更新区域，将绿色发展目标分解至各区域（见附录D），并提出不同类型区域的绿色建筑建设指标要求，包括通用性控制指标和引导性指标（见附录E）。</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4.5.2  </w:t>
      </w:r>
      <w:r>
        <w:rPr>
          <w:rFonts w:hint="eastAsia" w:ascii="仿宋_GB2312" w:hAnsi="仿宋_GB2312" w:eastAsia="仿宋_GB2312" w:cs="仿宋_GB2312"/>
          <w:sz w:val="32"/>
          <w:szCs w:val="32"/>
          <w:lang w:val="en-US" w:eastAsia="zh-CN"/>
        </w:rPr>
        <w:t>通用性控制指标应包括以下内容：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 xml:space="preserve">  按建设用地类别应明确以下指标：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1）新建建筑的绿色建筑等级要求；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新建建筑的</w:t>
      </w:r>
      <w:r>
        <w:rPr>
          <w:rFonts w:hint="eastAsia" w:ascii="仿宋_GB2312" w:hAnsi="仿宋_GB2312" w:eastAsia="仿宋_GB2312" w:cs="仿宋_GB2312"/>
          <w:sz w:val="32"/>
          <w:szCs w:val="32"/>
          <w:lang w:eastAsia="zh-CN"/>
        </w:rPr>
        <w:t>装配率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新建建筑太阳能光热应用</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新建建筑光伏发电应用</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新建建筑地热能</w:t>
      </w:r>
      <w:r>
        <w:rPr>
          <w:rFonts w:hint="eastAsia" w:ascii="仿宋_GB2312" w:hAnsi="仿宋_GB2312" w:eastAsia="仿宋_GB2312" w:cs="仿宋_GB2312"/>
          <w:sz w:val="32"/>
          <w:szCs w:val="32"/>
          <w:lang w:eastAsia="zh-CN"/>
        </w:rPr>
        <w:t>应用要求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其他可再生能源应用要求；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既有建筑绿色化改造目标；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8）其他绿色建筑建设要求。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2  </w:t>
      </w:r>
      <w:r>
        <w:rPr>
          <w:rFonts w:hint="eastAsia" w:ascii="仿宋_GB2312" w:hAnsi="仿宋_GB2312" w:eastAsia="仿宋_GB2312" w:cs="仿宋_GB2312"/>
          <w:sz w:val="32"/>
          <w:szCs w:val="32"/>
          <w:lang w:val="en-US" w:eastAsia="zh-CN"/>
        </w:rPr>
        <w:t>按建筑类型应明确如下指标：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1）公共建筑应按照一星级以上标准进行建设，重点项目应提高绿色建筑等级；</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2）超高层、超限高层建筑应当按照三星级标准进行建设；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3）具备条件的政府投资新立项公共建筑，全部采用“地热能+”多能互补的形式解决供暖（制冷）用能需求；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4）政府投资的新建党政机关、新立项的学校医院、文化体育科技类场馆等公共机构建筑应建设分布式光伏发电系统；</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5）大型公共建筑、装配式建筑等绿色建筑项目应用BIM技术；</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6）其他绿色建筑建设要求。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4.5.3</w:t>
      </w:r>
      <w:r>
        <w:rPr>
          <w:rFonts w:hint="eastAsia" w:ascii="仿宋_GB2312" w:hAnsi="仿宋_GB2312" w:eastAsia="仿宋_GB2312" w:cs="仿宋_GB2312"/>
          <w:sz w:val="32"/>
          <w:szCs w:val="32"/>
          <w:lang w:val="en-US" w:eastAsia="zh-CN"/>
        </w:rPr>
        <w:t xml:space="preserve">  引导性指标应包括以下内容：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1）新建建筑超低能耗、近零能耗建筑建设要求；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2）新建建筑低碳、零碳建筑建设要求；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3）新建建筑绿色建材应用要求；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4）新建</w:t>
      </w:r>
      <w:r>
        <w:rPr>
          <w:rFonts w:hint="eastAsia" w:ascii="仿宋_GB2312" w:hAnsi="仿宋_GB2312" w:eastAsia="仿宋_GB2312" w:cs="仿宋_GB2312"/>
          <w:sz w:val="32"/>
          <w:szCs w:val="32"/>
        </w:rPr>
        <w:t>公共建筑电气化</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5）BIM技术应用要求；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6）其他建设技术应用要求。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4.5.4 </w:t>
      </w:r>
      <w:r>
        <w:rPr>
          <w:rFonts w:hint="eastAsia" w:ascii="仿宋_GB2312" w:hAnsi="仿宋_GB2312" w:eastAsia="仿宋_GB2312" w:cs="仿宋_GB2312"/>
          <w:sz w:val="32"/>
          <w:szCs w:val="32"/>
          <w:lang w:val="en-US" w:eastAsia="zh-CN"/>
        </w:rPr>
        <w:t xml:space="preserve"> 重点发展区域应起到示范引领作用，区域内绿色建筑发展目标和建设指标要求应高于其他区域，应根据实际情况将部分引导性指标调整为通用性控制指标。</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4.5.5 </w:t>
      </w:r>
      <w:r>
        <w:rPr>
          <w:rFonts w:hint="eastAsia" w:ascii="仿宋_GB2312" w:hAnsi="仿宋_GB2312" w:eastAsia="仿宋_GB2312" w:cs="仿宋_GB2312"/>
          <w:sz w:val="32"/>
          <w:szCs w:val="32"/>
          <w:lang w:val="en-US" w:eastAsia="zh-CN"/>
        </w:rPr>
        <w:t>一般发展区域绿色建筑发展目标和建设指标要求应不低于绿色建筑相关政策制度确定的低限要求，可根据实际情况将部分引导性指标调整为通用性控制指标。</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4.5.6</w:t>
      </w:r>
      <w:r>
        <w:rPr>
          <w:rFonts w:hint="eastAsia" w:ascii="仿宋_GB2312" w:hAnsi="仿宋_GB2312" w:eastAsia="仿宋_GB2312" w:cs="仿宋_GB2312"/>
          <w:sz w:val="32"/>
          <w:szCs w:val="32"/>
          <w:lang w:val="en-US" w:eastAsia="zh-CN"/>
        </w:rPr>
        <w:t xml:space="preserve">  改造更新区域可结合实际情况弹性制定发展目标，并根据既有建筑现状特点，确定节能、绿色化改造技术方案和目标。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4.5.7</w:t>
      </w:r>
      <w:r>
        <w:rPr>
          <w:rFonts w:hint="eastAsia" w:ascii="仿宋_GB2312" w:hAnsi="仿宋_GB2312" w:eastAsia="仿宋_GB2312" w:cs="仿宋_GB2312"/>
          <w:sz w:val="32"/>
          <w:szCs w:val="32"/>
          <w:lang w:val="en-US" w:eastAsia="zh-CN"/>
        </w:rPr>
        <w:t xml:space="preserve">  不同类型规划区域可统筹考虑自然地理界限、行政管辖范围、发展潜力等因素，</w:t>
      </w:r>
      <w:r>
        <w:rPr>
          <w:rFonts w:hint="eastAsia" w:ascii="仿宋_GB2312" w:hAnsi="仿宋_GB2312" w:eastAsia="仿宋_GB2312" w:cs="仿宋_GB2312"/>
          <w:spacing w:val="-6"/>
          <w:sz w:val="32"/>
          <w:szCs w:val="32"/>
          <w:lang w:val="en-US" w:eastAsia="zh-CN"/>
        </w:rPr>
        <w:t>进一步因地制宜地进行分区控制，提出各分区不同的发展目标和绿色建筑建设指标要求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4.5.8 </w:t>
      </w:r>
      <w:r>
        <w:rPr>
          <w:rFonts w:hint="eastAsia" w:ascii="仿宋_GB2312" w:hAnsi="仿宋_GB2312" w:eastAsia="仿宋_GB2312" w:cs="仿宋_GB2312"/>
          <w:sz w:val="32"/>
          <w:szCs w:val="32"/>
          <w:lang w:val="en-US" w:eastAsia="zh-CN"/>
        </w:rPr>
        <w:t xml:space="preserve"> 专项规划应妥善处理局部与整体的关系，个别区域或分区的绿色</w:t>
      </w:r>
      <w:r>
        <w:rPr>
          <w:rFonts w:hint="eastAsia" w:ascii="仿宋_GB2312" w:hAnsi="仿宋_GB2312" w:eastAsia="仿宋_GB2312" w:cs="仿宋_GB2312"/>
          <w:sz w:val="32"/>
          <w:szCs w:val="32"/>
          <w:lang w:eastAsia="zh-CN"/>
        </w:rPr>
        <w:t>建筑发展目标</w:t>
      </w:r>
      <w:r>
        <w:rPr>
          <w:rFonts w:hint="eastAsia" w:ascii="仿宋_GB2312" w:hAnsi="仿宋_GB2312" w:eastAsia="仿宋_GB2312" w:cs="仿宋_GB2312"/>
          <w:sz w:val="32"/>
          <w:szCs w:val="32"/>
          <w:lang w:val="en-US" w:eastAsia="zh-CN"/>
        </w:rPr>
        <w:t>发生变化，应及时调整其他区域的发展目标，确保整个规划区域总建设目标满足要求。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4.5.9 </w:t>
      </w:r>
      <w:r>
        <w:rPr>
          <w:rFonts w:hint="eastAsia" w:ascii="仿宋_GB2312" w:hAnsi="仿宋_GB2312" w:eastAsia="仿宋_GB2312" w:cs="仿宋_GB2312"/>
          <w:sz w:val="32"/>
          <w:szCs w:val="32"/>
          <w:lang w:val="en-US" w:eastAsia="zh-CN"/>
        </w:rPr>
        <w:t xml:space="preserve"> 专项规划应结合政策要求、区域实际情况以及项目建设特点，以政府投资项目、大型公共建筑重点，确定一批重点项目，因地制宜地提出更高水平节能低碳建设要求，打造高质量绿色建筑。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8" w:lineRule="exact"/>
        <w:ind w:firstLine="0" w:firstLineChars="0"/>
        <w:jc w:val="center"/>
        <w:textAlignment w:val="baseline"/>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pPr>
      <w:bookmarkStart w:id="35" w:name="_Toc28709"/>
      <w:r>
        <w:rPr>
          <w:rFonts w:hint="eastAsia" w:ascii="仿宋_GB2312" w:hAnsi="仿宋_GB2312" w:eastAsia="仿宋_GB2312" w:cs="仿宋_GB2312"/>
          <w:b/>
          <w:bCs/>
          <w:snapToGrid/>
          <w:color w:val="000000" w:themeColor="text1"/>
          <w:kern w:val="2"/>
          <w:sz w:val="32"/>
          <w:szCs w:val="32"/>
          <w:highlight w:val="none"/>
          <w:lang w:val="en-US" w:eastAsia="zh-CN" w:bidi="ar-SA"/>
          <w14:textFill>
            <w14:solidFill>
              <w14:schemeClr w14:val="tx1"/>
            </w14:solidFill>
          </w14:textFill>
        </w:rPr>
        <w:t>4.6</w:t>
      </w:r>
      <w:r>
        <w:rPr>
          <w:rFonts w:hint="eastAsia" w:ascii="仿宋_GB2312" w:hAnsi="仿宋_GB2312" w:eastAsia="仿宋_GB2312" w:cs="仿宋_GB2312"/>
          <w:b w:val="0"/>
          <w:bCs w:val="0"/>
          <w:snapToGrid/>
          <w:color w:val="000000" w:themeColor="text1"/>
          <w:kern w:val="2"/>
          <w:sz w:val="32"/>
          <w:szCs w:val="32"/>
          <w:highlight w:val="none"/>
          <w:lang w:val="en-US" w:eastAsia="zh-CN" w:bidi="ar-SA"/>
          <w14:textFill>
            <w14:solidFill>
              <w14:schemeClr w14:val="tx1"/>
            </w14:solidFill>
          </w14:textFill>
        </w:rPr>
        <w:t xml:space="preserve">  </w:t>
      </w:r>
      <w:r>
        <w:rPr>
          <w:rFonts w:hint="eastAsia" w:ascii="楷体_GB2312" w:hAnsi="楷体_GB2312" w:eastAsia="楷体_GB2312" w:cs="楷体_GB2312"/>
          <w:b/>
          <w:bCs/>
          <w:snapToGrid/>
          <w:color w:val="000000" w:themeColor="text1"/>
          <w:kern w:val="2"/>
          <w:sz w:val="32"/>
          <w:szCs w:val="32"/>
          <w:highlight w:val="none"/>
          <w:lang w:val="en-US" w:eastAsia="zh-CN" w:bidi="ar-SA"/>
          <w14:textFill>
            <w14:solidFill>
              <w14:schemeClr w14:val="tx1"/>
            </w14:solidFill>
          </w14:textFill>
        </w:rPr>
        <w:t>实施计划和保障措施</w:t>
      </w:r>
      <w:bookmarkEnd w:id="35"/>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4.6.1</w:t>
      </w:r>
      <w:r>
        <w:rPr>
          <w:rFonts w:hint="eastAsia" w:ascii="仿宋_GB2312" w:hAnsi="仿宋_GB2312" w:eastAsia="仿宋_GB2312" w:cs="仿宋_GB2312"/>
          <w:sz w:val="32"/>
          <w:szCs w:val="32"/>
          <w:lang w:val="en-US" w:eastAsia="zh-CN"/>
        </w:rPr>
        <w:t xml:space="preserve">  实施计划应遵循客观性原则，结合本地具体情况，逐年列出近期各年度目标计划（见附录F），并提出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远期工作思路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4.6.2 </w:t>
      </w:r>
      <w:r>
        <w:rPr>
          <w:rFonts w:hint="eastAsia" w:ascii="仿宋_GB2312" w:hAnsi="仿宋_GB2312" w:eastAsia="仿宋_GB2312" w:cs="仿宋_GB2312"/>
          <w:sz w:val="32"/>
          <w:szCs w:val="32"/>
          <w:lang w:val="en-US" w:eastAsia="zh-CN"/>
        </w:rPr>
        <w:t xml:space="preserve"> 保障措施应结合当地绿色建筑建设管理工作制定，包括政策保障、组织管理、规划协调、技术支撑、动态评价、宣传教育、资金与市场引导和质量监管等方面内容。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4.6.3  </w:t>
      </w:r>
      <w:r>
        <w:rPr>
          <w:rFonts w:hint="eastAsia" w:ascii="仿宋_GB2312" w:hAnsi="仿宋_GB2312" w:eastAsia="仿宋_GB2312" w:cs="仿宋_GB2312"/>
          <w:sz w:val="32"/>
          <w:szCs w:val="32"/>
          <w:lang w:val="en-US" w:eastAsia="zh-CN"/>
        </w:rPr>
        <w:t>经批准的绿色建筑发展专项规划，是城乡规划、建设和管理的依据之一，未经法定程序不得修改。</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4.6.4 </w:t>
      </w:r>
      <w:r>
        <w:rPr>
          <w:rFonts w:hint="eastAsia" w:ascii="仿宋_GB2312" w:hAnsi="仿宋_GB2312" w:eastAsia="仿宋_GB2312" w:cs="仿宋_GB2312"/>
          <w:sz w:val="32"/>
          <w:szCs w:val="32"/>
          <w:lang w:val="en-US" w:eastAsia="zh-CN"/>
        </w:rPr>
        <w:t xml:space="preserve"> 发展改革、审批服务管理部门</w:t>
      </w:r>
      <w:r>
        <w:rPr>
          <w:rFonts w:hint="eastAsia" w:ascii="仿宋_GB2312" w:hAnsi="仿宋_GB2312" w:eastAsia="仿宋_GB2312" w:cs="仿宋_GB2312"/>
          <w:sz w:val="32"/>
          <w:szCs w:val="32"/>
          <w:lang w:eastAsia="zh-CN"/>
        </w:rPr>
        <w:t>出具的建设项目审批、核准文件应当</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专项规划载明</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绿色建筑建设指标</w:t>
      </w:r>
      <w:r>
        <w:rPr>
          <w:rFonts w:hint="eastAsia" w:ascii="仿宋_GB2312" w:hAnsi="仿宋_GB2312" w:eastAsia="仿宋_GB2312" w:cs="仿宋_GB2312"/>
          <w:sz w:val="32"/>
          <w:szCs w:val="32"/>
          <w:lang w:val="en-US" w:eastAsia="zh-CN"/>
        </w:rPr>
        <w:t>纳入项目评估和审查范围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规划主管部门在土地出让或划拨时，应当将绿色建筑建设指标纳入国有土地使用权出让合同或者国有土地划拨决定书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在规划审查阶段，就建设工程设计方案是否符合</w:t>
      </w:r>
      <w:r>
        <w:rPr>
          <w:rFonts w:hint="eastAsia" w:ascii="仿宋_GB2312" w:hAnsi="仿宋_GB2312" w:eastAsia="仿宋_GB2312" w:cs="仿宋_GB2312"/>
          <w:sz w:val="32"/>
          <w:szCs w:val="32"/>
          <w:lang w:val="en-US" w:eastAsia="zh-CN"/>
        </w:rPr>
        <w:t>绿色建筑建设指标</w:t>
      </w:r>
      <w:r>
        <w:rPr>
          <w:rFonts w:hint="eastAsia" w:ascii="仿宋_GB2312" w:hAnsi="仿宋_GB2312" w:eastAsia="仿宋_GB2312" w:cs="仿宋_GB2312"/>
          <w:sz w:val="32"/>
          <w:szCs w:val="32"/>
          <w:lang w:eastAsia="zh-CN"/>
        </w:rPr>
        <w:t>进行核查。</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4.6.5</w:t>
      </w:r>
      <w:r>
        <w:rPr>
          <w:rFonts w:hint="eastAsia" w:ascii="仿宋_GB2312" w:hAnsi="仿宋_GB2312" w:eastAsia="仿宋_GB2312" w:cs="仿宋_GB2312"/>
          <w:sz w:val="32"/>
          <w:szCs w:val="32"/>
          <w:lang w:val="en-US" w:eastAsia="zh-CN"/>
        </w:rPr>
        <w:t xml:space="preserve">  保障措施应强调组织领导，细化目标任务，</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lang w:val="en-US" w:eastAsia="zh-CN"/>
        </w:rPr>
        <w:t>支持政策，强化工作责任</w:t>
      </w:r>
      <w:r>
        <w:rPr>
          <w:rFonts w:hint="eastAsia" w:ascii="仿宋_GB2312" w:hAnsi="仿宋_GB2312" w:eastAsia="仿宋_GB2312" w:cs="仿宋_GB2312"/>
          <w:sz w:val="32"/>
          <w:szCs w:val="32"/>
          <w:lang w:eastAsia="zh-CN"/>
        </w:rPr>
        <w:t>，加强部门协同，建立住房城乡建设、发展改革、自然资源、行政审批等</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lang w:eastAsia="zh-CN"/>
        </w:rPr>
        <w:t>部门协同推进工作机制，加强土地出让、项目立项、规划审查、施工图专家论证等环节管理。</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val="en-US" w:eastAsia="zh-CN"/>
        </w:rPr>
        <w:t>4.6.6</w:t>
      </w:r>
      <w:r>
        <w:rPr>
          <w:rFonts w:hint="eastAsia" w:ascii="仿宋_GB2312" w:hAnsi="仿宋_GB2312" w:eastAsia="仿宋_GB2312" w:cs="仿宋_GB2312"/>
          <w:sz w:val="32"/>
          <w:szCs w:val="32"/>
          <w:lang w:val="en-US" w:eastAsia="zh-CN"/>
        </w:rPr>
        <w:t xml:space="preserve">  保</w:t>
      </w:r>
      <w:r>
        <w:rPr>
          <w:rFonts w:hint="eastAsia" w:ascii="仿宋_GB2312" w:hAnsi="仿宋_GB2312" w:eastAsia="仿宋_GB2312" w:cs="仿宋_GB2312"/>
          <w:spacing w:val="6"/>
          <w:sz w:val="32"/>
          <w:szCs w:val="32"/>
          <w:lang w:val="en-US" w:eastAsia="zh-CN"/>
        </w:rPr>
        <w:t>障措施应突出绩效评价，提出各相关部门目标责任、发展成效的评价考核建议。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4.6.7 </w:t>
      </w:r>
      <w:r>
        <w:rPr>
          <w:rFonts w:hint="eastAsia" w:ascii="仿宋_GB2312" w:hAnsi="仿宋_GB2312" w:eastAsia="仿宋_GB2312" w:cs="仿宋_GB2312"/>
          <w:sz w:val="32"/>
          <w:szCs w:val="32"/>
          <w:lang w:val="en-US" w:eastAsia="zh-CN"/>
        </w:rPr>
        <w:t xml:space="preserve"> 专项规划编制部门应会同相关部门，每年向本级人民政府提交实施情况报告，客观分析绿色建筑发展取得的成效和存在的问题。同时应每年制定贯彻落实专项规划的实施方案，提出年度工作目标、任务和重点项目（应包含项目名称、项目类型、项目地址、建设要求、建设内容及规模、建设周期、总投资、责任单位等信息，详见附录G）等。</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8"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36" w:name="_Toc7849"/>
      <w:r>
        <w:rPr>
          <w:rFonts w:hint="default" w:ascii="黑体" w:hAnsi="黑体" w:eastAsia="黑体" w:cs="黑体"/>
          <w:b/>
          <w:bCs/>
          <w:snapToGrid w:val="0"/>
          <w:color w:val="000000" w:themeColor="text1"/>
          <w:kern w:val="2"/>
          <w:sz w:val="32"/>
          <w:szCs w:val="32"/>
          <w:lang w:val="en-US" w:eastAsia="zh-CN" w:bidi="ar-SA"/>
          <w14:textFill>
            <w14:solidFill>
              <w14:schemeClr w14:val="tx1"/>
            </w14:solidFill>
          </w14:textFill>
        </w:rPr>
        <w:t>5</w:t>
      </w:r>
      <w:r>
        <w:rPr>
          <w:rFonts w:hint="eastAsia" w:ascii="黑体" w:hAnsi="黑体" w:eastAsia="黑体" w:cs="黑体"/>
          <w:b/>
          <w:bCs/>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bCs/>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成果要求</w:t>
      </w:r>
      <w:bookmarkEnd w:id="36"/>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.0.1</w:t>
      </w:r>
      <w:r>
        <w:rPr>
          <w:rFonts w:hint="eastAsia" w:ascii="仿宋_GB2312" w:hAnsi="仿宋_GB2312" w:eastAsia="仿宋_GB2312" w:cs="仿宋_GB2312"/>
          <w:sz w:val="32"/>
          <w:szCs w:val="32"/>
          <w:lang w:val="en-US" w:eastAsia="zh-CN"/>
        </w:rPr>
        <w:t xml:space="preserve">  专项</w:t>
      </w:r>
      <w:r>
        <w:rPr>
          <w:rFonts w:hint="eastAsia" w:ascii="仿宋_GB2312" w:hAnsi="仿宋_GB2312" w:eastAsia="仿宋_GB2312" w:cs="仿宋_GB2312"/>
          <w:sz w:val="32"/>
          <w:szCs w:val="32"/>
        </w:rPr>
        <w:t>规划成果</w:t>
      </w:r>
      <w:r>
        <w:rPr>
          <w:rFonts w:hint="eastAsia" w:ascii="仿宋_GB2312" w:hAnsi="仿宋_GB2312" w:eastAsia="仿宋_GB2312" w:cs="仿宋_GB2312"/>
          <w:sz w:val="32"/>
          <w:szCs w:val="32"/>
          <w:lang w:val="en-US" w:eastAsia="zh-CN"/>
        </w:rPr>
        <w:t>主要为规划</w:t>
      </w:r>
      <w:r>
        <w:rPr>
          <w:rFonts w:hint="eastAsia" w:ascii="仿宋_GB2312" w:hAnsi="仿宋_GB2312" w:eastAsia="仿宋_GB2312" w:cs="仿宋_GB2312"/>
          <w:sz w:val="32"/>
          <w:szCs w:val="32"/>
        </w:rPr>
        <w:t>文本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含说明书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必要时可包括</w:t>
      </w:r>
      <w:r>
        <w:rPr>
          <w:rFonts w:hint="eastAsia" w:ascii="仿宋_GB2312" w:hAnsi="仿宋_GB2312" w:eastAsia="仿宋_GB2312" w:cs="仿宋_GB2312"/>
          <w:sz w:val="32"/>
          <w:szCs w:val="32"/>
          <w:lang w:eastAsia="zh-CN"/>
        </w:rPr>
        <w:t>专题研究报告</w:t>
      </w:r>
      <w:r>
        <w:rPr>
          <w:rFonts w:hint="eastAsia" w:ascii="仿宋_GB2312" w:hAnsi="仿宋_GB2312" w:eastAsia="仿宋_GB2312" w:cs="仿宋_GB2312"/>
          <w:sz w:val="32"/>
          <w:szCs w:val="32"/>
        </w:rPr>
        <w:t>等。成果表达应当清晰、准确、规范。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.0.2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文本主要内容应</w:t>
      </w:r>
      <w:r>
        <w:rPr>
          <w:rFonts w:hint="eastAsia" w:ascii="仿宋_GB2312" w:hAnsi="仿宋_GB2312" w:eastAsia="仿宋_GB2312" w:cs="仿宋_GB2312"/>
          <w:sz w:val="32"/>
          <w:szCs w:val="32"/>
          <w:lang w:val="en-US" w:eastAsia="zh-CN"/>
        </w:rPr>
        <w:t>符合4.1要求，说明书主要内容包括：</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总则中</w:t>
      </w:r>
      <w:r>
        <w:rPr>
          <w:rFonts w:hint="eastAsia" w:ascii="仿宋_GB2312" w:hAnsi="仿宋_GB2312" w:eastAsia="仿宋_GB2312" w:cs="仿宋_GB2312"/>
          <w:sz w:val="32"/>
          <w:szCs w:val="32"/>
          <w:lang w:val="en-US" w:eastAsia="zh-CN"/>
        </w:rPr>
        <w:t>规划的指导思想、目的、原则、编制依据、范围、期限以及其他事项</w:t>
      </w:r>
      <w:r>
        <w:rPr>
          <w:rFonts w:hint="eastAsia" w:ascii="仿宋_GB2312" w:hAnsi="仿宋_GB2312" w:eastAsia="仿宋_GB2312" w:cs="仿宋_GB2312"/>
          <w:sz w:val="32"/>
          <w:szCs w:val="32"/>
        </w:rPr>
        <w:t>的说明；</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lang w:val="en-US" w:eastAsia="zh-CN"/>
        </w:rPr>
        <w:t xml:space="preserve">  绿色建筑的调研资料情况、现状分析的说明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3 </w:t>
      </w:r>
      <w:r>
        <w:rPr>
          <w:rFonts w:hint="eastAsia" w:ascii="仿宋_GB2312" w:hAnsi="仿宋_GB2312" w:eastAsia="仿宋_GB2312" w:cs="仿宋_GB2312"/>
          <w:sz w:val="32"/>
          <w:szCs w:val="32"/>
          <w:lang w:val="en-US" w:eastAsia="zh-CN"/>
        </w:rPr>
        <w:t xml:space="preserve"> 绿色建筑发展目标的说明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4 </w:t>
      </w:r>
      <w:r>
        <w:rPr>
          <w:rFonts w:hint="eastAsia" w:ascii="仿宋_GB2312" w:hAnsi="仿宋_GB2312" w:eastAsia="仿宋_GB2312" w:cs="仿宋_GB2312"/>
          <w:sz w:val="32"/>
          <w:szCs w:val="32"/>
          <w:lang w:val="en-US" w:eastAsia="zh-CN"/>
        </w:rPr>
        <w:t xml:space="preserve"> 规划区域划分和绿色建筑建设指标要求的说明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实施计划</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保障措施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6  </w:t>
      </w:r>
      <w:r>
        <w:rPr>
          <w:rFonts w:hint="eastAsia" w:ascii="仿宋_GB2312" w:hAnsi="仿宋_GB2312" w:eastAsia="仿宋_GB2312" w:cs="仿宋_GB2312"/>
          <w:sz w:val="32"/>
          <w:szCs w:val="32"/>
          <w:lang w:val="en-US" w:eastAsia="zh-CN"/>
        </w:rPr>
        <w:t>表达规划意图的其他说明。</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5.0.3  </w:t>
      </w:r>
      <w:r>
        <w:rPr>
          <w:rFonts w:hint="eastAsia" w:ascii="仿宋_GB2312" w:hAnsi="仿宋_GB2312" w:eastAsia="仿宋_GB2312" w:cs="仿宋_GB2312"/>
          <w:sz w:val="32"/>
          <w:szCs w:val="32"/>
          <w:lang w:eastAsia="zh-CN"/>
        </w:rPr>
        <w:t>专题研究报告</w:t>
      </w:r>
      <w:r>
        <w:rPr>
          <w:rFonts w:hint="eastAsia" w:ascii="仿宋_GB2312" w:hAnsi="仿宋_GB2312" w:eastAsia="仿宋_GB2312" w:cs="仿宋_GB2312"/>
          <w:sz w:val="32"/>
          <w:szCs w:val="32"/>
          <w:lang w:val="en-US" w:eastAsia="zh-CN"/>
        </w:rPr>
        <w:t>应包括绿色建筑、装配式建筑、可再生能源应用、既有建筑节能改造，以及超低能耗、近零能耗、低碳、零碳建筑、绿色建材应用、公共建筑电气化、BIM技术应用等高质量发展要求的实施现状、存在的问题和潜力分析，科学预测并进行</w:t>
      </w:r>
      <w:r>
        <w:rPr>
          <w:rFonts w:hint="eastAsia" w:ascii="仿宋_GB2312" w:hAnsi="仿宋_GB2312" w:eastAsia="仿宋_GB2312" w:cs="仿宋_GB2312"/>
          <w:sz w:val="32"/>
          <w:szCs w:val="32"/>
          <w:lang w:eastAsia="zh-CN"/>
        </w:rPr>
        <w:t>综合效益</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为绿色建筑建设指标设定提供依据和参考。</w:t>
      </w:r>
    </w:p>
    <w:p>
      <w:pPr>
        <w:keepNext w:val="0"/>
        <w:keepLines w:val="0"/>
        <w:pageBreakBefore w:val="0"/>
        <w:wordWrap/>
        <w:overflowPunct/>
        <w:topLinePunct w:val="0"/>
        <w:bidi w:val="0"/>
        <w:spacing w:line="578" w:lineRule="exact"/>
        <w:ind w:firstLine="640" w:firstLineChars="200"/>
        <w:rPr>
          <w:sz w:val="32"/>
          <w:szCs w:val="32"/>
        </w:rPr>
      </w:pPr>
      <w:r>
        <w:rPr>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20"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37" w:name="_Toc29206"/>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8"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page">
                  <wp:posOffset>935355</wp:posOffset>
                </wp:positionH>
                <wp:positionV relativeFrom="page">
                  <wp:posOffset>4613910</wp:posOffset>
                </wp:positionV>
                <wp:extent cx="123825" cy="20701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23825" cy="207010"/>
                        </a:xfrm>
                        <a:prstGeom prst="rect">
                          <a:avLst/>
                        </a:prstGeom>
                        <a:noFill/>
                        <a:ln>
                          <a:noFill/>
                        </a:ln>
                      </wps:spPr>
                      <wps:txbx>
                        <w:txbxContent>
                          <w:p>
                            <w:pPr>
                              <w:spacing w:before="20" w:line="192" w:lineRule="auto"/>
                              <w:ind w:left="20"/>
                              <w:rPr>
                                <w:rFonts w:ascii="Times New Roman" w:hAnsi="Times New Roman" w:eastAsia="Times New Roman" w:cs="Times New Roman"/>
                                <w:sz w:val="31"/>
                                <w:szCs w:val="31"/>
                              </w:rPr>
                            </w:pPr>
                          </w:p>
                        </w:txbxContent>
                      </wps:txbx>
                      <wps:bodyPr lIns="0" tIns="0" rIns="0" bIns="0" upright="true"/>
                    </wps:wsp>
                  </a:graphicData>
                </a:graphic>
              </wp:anchor>
            </w:drawing>
          </mc:Choice>
          <mc:Fallback>
            <w:pict>
              <v:shape id="_x0000_s1026" o:spid="_x0000_s1026" o:spt="202" type="#_x0000_t202" style="position:absolute;left:0pt;margin-left:73.65pt;margin-top:363.3pt;height:16.3pt;width:9.75pt;mso-position-horizontal-relative:page;mso-position-vertical-relative:page;z-index:251659264;mso-width-relative:page;mso-height-relative:page;" filled="f" stroked="f" coordsize="21600,21600" o:allowincell="f" o:gfxdata="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PZ0ke2QAAAAsBAAAPAAAAAAAAAAEAIAAAADgAAABkcnMvZG93bnJldi54bWxQSwECFAAU&#10;AAAACACHTuJAOVkiKqEBAAArAwAADgAAAAAAAAABACAAAAA+AQAAZHJzL2Uyb0RvYy54bWxQSwUG&#10;AAAAAAYABgBZAQAAUQUAAAAA&#10;">
                <v:fill on="f" focussize="0,0"/>
                <v:stroke on="f"/>
                <v:imagedata o:title=""/>
                <o:lock v:ext="edit" aspectratio="f"/>
                <v:textbox inset="0mm,0mm,0mm,0mm">
                  <w:txbxContent>
                    <w:p>
                      <w:pPr>
                        <w:spacing w:before="20" w:line="192" w:lineRule="auto"/>
                        <w:ind w:left="20"/>
                        <w:rPr>
                          <w:rFonts w:ascii="Times New Roman" w:hAnsi="Times New Roman" w:eastAsia="Times New Roman" w:cs="Times New Roman"/>
                          <w:sz w:val="31"/>
                          <w:szCs w:val="31"/>
                        </w:rPr>
                      </w:pPr>
                    </w:p>
                  </w:txbxContent>
                </v:textbox>
              </v:shape>
            </w:pict>
          </mc:Fallback>
        </mc:AlternateConten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附录A</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编制路线</w:t>
      </w:r>
      <w:bookmarkEnd w:id="37"/>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eastAsiaTheme="majorEastAsia"/>
          <w:sz w:val="32"/>
          <w:szCs w:val="32"/>
          <w:lang w:val="en-US" w:eastAsia="zh-CN"/>
        </w:rPr>
      </w:pPr>
      <w:r>
        <w:rPr>
          <w:rFonts w:hint="default" w:ascii="Times New Roman" w:hAnsi="Times New Roman" w:cs="Times New Roman" w:eastAsiaTheme="majorEastAsia"/>
          <w:sz w:val="32"/>
          <w:szCs w:val="32"/>
          <w:lang w:val="en-US" w:eastAsia="zh-CN"/>
        </w:rPr>
        <w:drawing>
          <wp:inline distT="0" distB="0" distL="114300" distR="114300">
            <wp:extent cx="5078095" cy="7309485"/>
            <wp:effectExtent l="0" t="0" r="8255" b="5715"/>
            <wp:docPr id="2" name="图片 2" descr="85150c9e1745d310d2b3f56d1f442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85150c9e1745d310d2b3f56d1f44238"/>
                    <pic:cNvPicPr>
                      <a:picLocks noChangeAspect="true"/>
                    </pic:cNvPicPr>
                  </pic:nvPicPr>
                  <pic:blipFill>
                    <a:blip r:embed="rId8"/>
                    <a:stretch>
                      <a:fillRect/>
                    </a:stretch>
                  </pic:blipFill>
                  <pic:spPr>
                    <a:xfrm>
                      <a:off x="0" y="0"/>
                      <a:ext cx="5078095" cy="7309485"/>
                    </a:xfrm>
                    <a:prstGeom prst="rect">
                      <a:avLst/>
                    </a:prstGeom>
                  </pic:spPr>
                </pic:pic>
              </a:graphicData>
            </a:graphic>
          </wp:inline>
        </w:drawing>
      </w:r>
    </w:p>
    <w:p>
      <w:pPr>
        <w:keepNext w:val="0"/>
        <w:keepLines w:val="0"/>
        <w:pageBreakBefore w:val="0"/>
        <w:wordWrap/>
        <w:overflowPunct/>
        <w:topLinePunct w:val="0"/>
        <w:bidi w:val="0"/>
        <w:spacing w:line="578" w:lineRule="exact"/>
        <w:ind w:firstLine="640" w:firstLineChars="200"/>
        <w:rPr>
          <w:rFonts w:hint="default" w:ascii="Times New Roman" w:hAnsi="Times New Roman" w:cs="Times New Roman" w:eastAsiaTheme="majorEastAsia"/>
          <w:sz w:val="32"/>
          <w:szCs w:val="32"/>
          <w:lang w:val="en-US" w:eastAsia="zh-CN"/>
        </w:rPr>
      </w:pPr>
      <w:r>
        <w:rPr>
          <w:rFonts w:hint="default" w:ascii="Times New Roman" w:hAnsi="Times New Roman" w:cs="Times New Roman" w:eastAsiaTheme="majorEastAsia"/>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0"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38" w:name="_Toc5074"/>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8"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附录B</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编制依据</w:t>
      </w:r>
      <w:bookmarkEnd w:id="38"/>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bookmarkStart w:id="39" w:name="_Toc30488"/>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法律法规</w:t>
      </w:r>
      <w:bookmarkEnd w:id="39"/>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省绿色建筑</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条例》</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山西省</w:t>
      </w:r>
      <w:r>
        <w:rPr>
          <w:rFonts w:hint="eastAsia" w:ascii="仿宋_GB2312" w:hAnsi="仿宋_GB2312" w:eastAsia="仿宋_GB2312" w:cs="仿宋_GB2312"/>
          <w:sz w:val="32"/>
          <w:szCs w:val="32"/>
        </w:rPr>
        <w:t>民用建筑节能条例》</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其他相关法律法规</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政策文件</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《中共中央国务院关于完整准确全面贯彻新发展理念做好碳达峰碳中和工作的意见》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中发〔2021〕36号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中共中央办公厅国务院办公厅印发〈关于推动城乡建设绿色发展的意见〉的通知》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中办发〔2021〕37号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国务院关于印发2030年前碳达峰行动方案的通知》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国发〔2021〕23号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eastAsia="zh-CN"/>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lang w:val="en-US" w:eastAsia="zh-CN"/>
        </w:rPr>
        <w:t>国务院办公厅关于大力发展装配式建筑的指导意见》（国办发〔2016〕71号）</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《住房和城乡建设部国家发展改革委教育部工业和信息化部人民银行国管局银保监会关于印发绿色建筑创建行动</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建标〔2020〕65号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6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《住房和城乡建设部关于印发“十四五”建筑节能与绿色建筑发展规划的通知》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建标〔2022〕24号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lang w:val="en-US" w:eastAsia="zh-CN"/>
        </w:rPr>
        <w:t xml:space="preserve">  省委办公厅 省政府办公厅《关于推动城乡建设绿色发展的实施意见》</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8 </w:t>
      </w:r>
      <w:r>
        <w:rPr>
          <w:rFonts w:hint="eastAsia" w:ascii="仿宋_GB2312" w:hAnsi="仿宋_GB2312" w:eastAsia="仿宋_GB2312" w:cs="仿宋_GB2312"/>
          <w:sz w:val="32"/>
          <w:szCs w:val="32"/>
          <w:lang w:val="en-US" w:eastAsia="zh-CN"/>
        </w:rPr>
        <w:t xml:space="preserve"> 山西省住房和城乡建设厅、省发展改革委《山西省城乡建设领域碳达峰实施方案》</w:t>
      </w:r>
      <w:r>
        <w:rPr>
          <w:rFonts w:hint="eastAsia" w:ascii="仿宋_GB2312" w:hAnsi="仿宋_GB2312" w:eastAsia="仿宋_GB2312" w:cs="仿宋_GB2312"/>
          <w:sz w:val="32"/>
          <w:szCs w:val="32"/>
          <w:lang w:eastAsia="zh-CN"/>
        </w:rPr>
        <w:t>（晋建科字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《山西省建筑节能、绿色建筑与科技标准“十四五”规划》</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10 </w:t>
      </w:r>
      <w:r>
        <w:rPr>
          <w:rFonts w:hint="eastAsia" w:ascii="仿宋_GB2312" w:hAnsi="仿宋_GB2312" w:eastAsia="仿宋_GB2312" w:cs="仿宋_GB2312"/>
          <w:sz w:val="32"/>
          <w:szCs w:val="32"/>
          <w:lang w:val="en-US" w:eastAsia="zh-CN"/>
        </w:rPr>
        <w:t xml:space="preserve"> 其他相关政策文件</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相关规划</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省、市国民经济和社会发展规划</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区域</w:t>
      </w:r>
      <w:r>
        <w:rPr>
          <w:rFonts w:hint="eastAsia" w:ascii="仿宋_GB2312" w:hAnsi="仿宋_GB2312" w:eastAsia="仿宋_GB2312" w:cs="仿宋_GB2312"/>
          <w:sz w:val="32"/>
          <w:szCs w:val="32"/>
        </w:rPr>
        <w:t>国土空间规划</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相关专项规划</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相关技术标准</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《绿色建筑评价标准》GB/T50378</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《装配式建筑评价标准》GB/T51129</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《既有建筑</w:t>
      </w:r>
      <w:r>
        <w:rPr>
          <w:rFonts w:hint="eastAsia" w:ascii="仿宋_GB2312" w:hAnsi="仿宋_GB2312" w:eastAsia="仿宋_GB2312" w:cs="仿宋_GB2312"/>
          <w:sz w:val="32"/>
          <w:szCs w:val="32"/>
          <w:lang w:eastAsia="zh-CN"/>
        </w:rPr>
        <w:t>绿色改造</w:t>
      </w:r>
      <w:r>
        <w:rPr>
          <w:rFonts w:hint="eastAsia" w:ascii="仿宋_GB2312" w:hAnsi="仿宋_GB2312" w:eastAsia="仿宋_GB2312" w:cs="仿宋_GB2312"/>
          <w:sz w:val="32"/>
          <w:szCs w:val="32"/>
        </w:rPr>
        <w:t xml:space="preserve">评价标准》GB/T51141 </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《近零能耗建筑技术标准》GB/T51350</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《建筑节能与可再生能源利用通用规范》GB 55015</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省《居住建筑节能设计标准》</w:t>
      </w:r>
      <w:r>
        <w:rPr>
          <w:rFonts w:hint="eastAsia" w:ascii="仿宋_GB2312" w:hAnsi="仿宋_GB2312" w:eastAsia="仿宋_GB2312" w:cs="仿宋_GB2312"/>
          <w:sz w:val="32"/>
          <w:szCs w:val="32"/>
          <w:lang w:val="en-US" w:eastAsia="zh-CN"/>
        </w:rPr>
        <w:t>DBJ04-242</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7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省《公共建筑节能设计标准》</w:t>
      </w:r>
      <w:r>
        <w:rPr>
          <w:rFonts w:hint="eastAsia" w:ascii="仿宋_GB2312" w:hAnsi="仿宋_GB2312" w:eastAsia="仿宋_GB2312" w:cs="仿宋_GB2312"/>
          <w:sz w:val="32"/>
          <w:szCs w:val="32"/>
          <w:lang w:val="en-US" w:eastAsia="zh-CN"/>
        </w:rPr>
        <w:t>DBJ04/T241</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w:t>
      </w:r>
      <w:r>
        <w:rPr>
          <w:rFonts w:hint="eastAsia" w:ascii="仿宋_GB2312" w:hAnsi="仿宋_GB2312" w:eastAsia="仿宋_GB2312" w:cs="仿宋_GB2312"/>
          <w:sz w:val="32"/>
          <w:szCs w:val="32"/>
        </w:rPr>
        <w:t>省《绿色建筑设计标准》DBJ</w:t>
      </w:r>
      <w:r>
        <w:rPr>
          <w:rFonts w:hint="eastAsia" w:ascii="仿宋_GB2312" w:hAnsi="仿宋_GB2312" w:eastAsia="仿宋_GB2312" w:cs="仿宋_GB2312"/>
          <w:sz w:val="32"/>
          <w:szCs w:val="32"/>
          <w:lang w:val="en-US" w:eastAsia="zh-CN"/>
        </w:rPr>
        <w:t>04-415</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其他相关技术标准</w:t>
      </w:r>
    </w:p>
    <w:p>
      <w:pPr>
        <w:keepNext w:val="0"/>
        <w:keepLines w:val="0"/>
        <w:pageBreakBefore w:val="0"/>
        <w:widowControl w:val="0"/>
        <w:kinsoku/>
        <w:wordWrap/>
        <w:overflowPunct/>
        <w:topLinePunct w:val="0"/>
        <w:autoSpaceDE/>
        <w:autoSpaceDN/>
        <w:bidi w:val="0"/>
        <w:adjustRightInd w:val="0"/>
        <w:snapToGrid w:val="0"/>
        <w:spacing w:line="578"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B.0.5</w:t>
      </w:r>
      <w:r>
        <w:rPr>
          <w:rFonts w:hint="eastAsia" w:ascii="仿宋_GB2312" w:hAnsi="仿宋_GB2312" w:eastAsia="仿宋_GB2312" w:cs="仿宋_GB2312"/>
          <w:sz w:val="32"/>
          <w:szCs w:val="32"/>
          <w:lang w:val="en-US" w:eastAsia="zh-CN"/>
        </w:rPr>
        <w:t xml:space="preserve">  如有新的法律、法规、政策文件、相关规划和技术标准，均以新发布的为准。</w:t>
      </w:r>
    </w:p>
    <w:p>
      <w:pPr>
        <w:keepNext w:val="0"/>
        <w:keepLines w:val="0"/>
        <w:pageBreakBefore w:val="0"/>
        <w:wordWrap/>
        <w:overflowPunct/>
        <w:topLinePunct w:val="0"/>
        <w:bidi w:val="0"/>
        <w:spacing w:line="578" w:lineRule="exact"/>
        <w:ind w:firstLine="640" w:firstLineChars="200"/>
        <w:rPr>
          <w:rFonts w:hint="default" w:ascii="Times New Roman" w:hAnsi="Times New Roman" w:cs="Times New Roman" w:eastAsiaTheme="majorEastAsia"/>
          <w:sz w:val="32"/>
          <w:szCs w:val="32"/>
          <w:lang w:val="en-US" w:eastAsia="zh-CN"/>
        </w:rPr>
      </w:pPr>
      <w:r>
        <w:rPr>
          <w:rFonts w:hint="default" w:ascii="Times New Roman" w:hAnsi="Times New Roman" w:cs="Times New Roman" w:eastAsiaTheme="majorEastAsia"/>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0"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40" w:name="_Toc28612"/>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8" w:lineRule="exact"/>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附录C</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调研资料清单</w:t>
      </w:r>
      <w:bookmarkEnd w:id="40"/>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bookmarkStart w:id="41" w:name="_Toc25554"/>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sz w:val="32"/>
          <w:szCs w:val="32"/>
          <w:lang w:val="en-US" w:eastAsia="zh-CN"/>
        </w:rPr>
        <w:t xml:space="preserve"> 国民经济和社会发展规划、国土空间规划、相关专项规划等与绿色建筑发展相关的内容；</w:t>
      </w:r>
      <w:bookmarkEnd w:id="41"/>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2 </w:t>
      </w:r>
      <w:r>
        <w:rPr>
          <w:rFonts w:hint="eastAsia" w:ascii="仿宋_GB2312" w:hAnsi="仿宋_GB2312" w:eastAsia="仿宋_GB2312" w:cs="仿宋_GB2312"/>
          <w:sz w:val="32"/>
          <w:szCs w:val="32"/>
          <w:lang w:val="en-US" w:eastAsia="zh-CN"/>
        </w:rPr>
        <w:t xml:space="preserve"> 规划区域内绿色建筑发展相关政策及制度；</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 xml:space="preserve">  绿色建筑建设现状，包括设计、施工、运行各阶段要求及落实情况；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4 </w:t>
      </w:r>
      <w:r>
        <w:rPr>
          <w:rFonts w:hint="eastAsia" w:ascii="仿宋_GB2312" w:hAnsi="仿宋_GB2312" w:eastAsia="仿宋_GB2312" w:cs="仿宋_GB2312"/>
          <w:sz w:val="32"/>
          <w:szCs w:val="32"/>
          <w:lang w:val="en-US" w:eastAsia="zh-CN"/>
        </w:rPr>
        <w:t xml:space="preserve"> 装配式建筑建设现状，装配式建筑生产基地的类型、主要生产规模与产能现状，全装修成品住房现状和发展状况；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 xml:space="preserve">  可再生能源应用现状、发展规划、地方标准规定及相关政策引导等；</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sz w:val="32"/>
          <w:szCs w:val="32"/>
          <w:lang w:val="en-US" w:eastAsia="zh-CN"/>
        </w:rPr>
        <w:t xml:space="preserve">  既有建筑节能改造、既有建筑绿色化改造相关数据及案例，建筑能耗统计和碳排放情况；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lang w:val="en-US" w:eastAsia="zh-CN"/>
        </w:rPr>
        <w:t xml:space="preserve">  超低能耗、</w:t>
      </w:r>
      <w:r>
        <w:rPr>
          <w:rFonts w:hint="eastAsia" w:ascii="仿宋_GB2312" w:hAnsi="仿宋_GB2312" w:eastAsia="仿宋_GB2312" w:cs="仿宋_GB2312"/>
          <w:sz w:val="32"/>
          <w:szCs w:val="32"/>
          <w:lang w:eastAsia="zh-CN"/>
        </w:rPr>
        <w:t>近零能耗、零能耗、低碳、零碳等高质量绿色建筑</w:t>
      </w:r>
      <w:r>
        <w:rPr>
          <w:rFonts w:hint="eastAsia" w:ascii="仿宋_GB2312" w:hAnsi="仿宋_GB2312" w:eastAsia="仿宋_GB2312" w:cs="仿宋_GB2312"/>
          <w:sz w:val="32"/>
          <w:szCs w:val="32"/>
          <w:lang w:val="en-US" w:eastAsia="zh-CN"/>
        </w:rPr>
        <w:t>建设情况；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sz w:val="32"/>
          <w:szCs w:val="32"/>
          <w:lang w:val="en-US" w:eastAsia="zh-CN"/>
        </w:rPr>
        <w:t xml:space="preserve">  当地建材、设备发展的现状及相关政策性文件，取得绿色建材产品标识情况；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sz w:val="32"/>
          <w:szCs w:val="32"/>
          <w:lang w:val="en-US" w:eastAsia="zh-CN"/>
        </w:rPr>
        <w:t xml:space="preserve">  公共建筑电气化节能分析、发展现状、电气化改造案例、电力驱动热泵等高效电气化技术应用情况；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10 </w:t>
      </w:r>
      <w:r>
        <w:rPr>
          <w:rFonts w:hint="eastAsia" w:ascii="仿宋_GB2312" w:hAnsi="仿宋_GB2312" w:eastAsia="仿宋_GB2312" w:cs="仿宋_GB2312"/>
          <w:sz w:val="32"/>
          <w:szCs w:val="32"/>
          <w:lang w:val="en-US" w:eastAsia="zh-CN"/>
        </w:rPr>
        <w:t xml:space="preserve"> BIM技术应用政策文件、技术框架和标准体系、发展现状等情况；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11 </w:t>
      </w:r>
      <w:r>
        <w:rPr>
          <w:rFonts w:hint="eastAsia" w:ascii="仿宋_GB2312" w:hAnsi="仿宋_GB2312" w:eastAsia="仿宋_GB2312" w:cs="仿宋_GB2312"/>
          <w:sz w:val="32"/>
          <w:szCs w:val="32"/>
          <w:lang w:val="en-US" w:eastAsia="zh-CN"/>
        </w:rPr>
        <w:t xml:space="preserve"> 区域内其他绿色建筑发展相关资料，如建筑产业发展、交通等基础设施建设情况等。</w:t>
      </w:r>
    </w:p>
    <w:p>
      <w:pPr>
        <w:keepNext w:val="0"/>
        <w:keepLines w:val="0"/>
        <w:pageBreakBefore w:val="0"/>
        <w:wordWrap/>
        <w:overflowPunct/>
        <w:topLinePunct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lang w:val="en-US" w:eastAsia="zh-CN"/>
        </w:rPr>
        <w:sectPr>
          <w:footerReference r:id="rId6" w:type="default"/>
          <w:pgSz w:w="11906" w:h="16838"/>
          <w:pgMar w:top="2098" w:right="1474" w:bottom="1984" w:left="1587" w:header="851" w:footer="1655" w:gutter="0"/>
          <w:pgNumType w:fmt="numberInDash" w:start="1"/>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42" w:name="_Toc6375"/>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附录D </w:t>
      </w:r>
      <w:bookmarkEnd w:id="42"/>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各区域（分区）发展目标汇总表</w:t>
      </w:r>
    </w:p>
    <w:tbl>
      <w:tblPr>
        <w:tblStyle w:val="10"/>
        <w:tblW w:w="127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544"/>
        <w:gridCol w:w="810"/>
        <w:gridCol w:w="383"/>
        <w:gridCol w:w="383"/>
        <w:gridCol w:w="384"/>
        <w:gridCol w:w="400"/>
        <w:gridCol w:w="400"/>
        <w:gridCol w:w="400"/>
        <w:gridCol w:w="430"/>
        <w:gridCol w:w="430"/>
        <w:gridCol w:w="430"/>
        <w:gridCol w:w="416"/>
        <w:gridCol w:w="416"/>
        <w:gridCol w:w="418"/>
        <w:gridCol w:w="386"/>
        <w:gridCol w:w="386"/>
        <w:gridCol w:w="388"/>
        <w:gridCol w:w="420"/>
        <w:gridCol w:w="420"/>
        <w:gridCol w:w="420"/>
        <w:gridCol w:w="413"/>
        <w:gridCol w:w="413"/>
        <w:gridCol w:w="414"/>
        <w:gridCol w:w="393"/>
        <w:gridCol w:w="393"/>
        <w:gridCol w:w="394"/>
        <w:gridCol w:w="377"/>
        <w:gridCol w:w="377"/>
        <w:gridCol w:w="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vMerge w:val="restart"/>
            <w:tcBorders>
              <w:top w:val="single" w:color="auto" w:sz="8"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bookmarkStart w:id="43" w:name="_Toc18878"/>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序号</w:t>
            </w:r>
          </w:p>
        </w:tc>
        <w:tc>
          <w:tcPr>
            <w:tcW w:w="544" w:type="dxa"/>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区域（分区）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名称</w:t>
            </w:r>
          </w:p>
        </w:tc>
        <w:tc>
          <w:tcPr>
            <w:tcW w:w="810" w:type="dxa"/>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区域</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类别</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（重点、一般、</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改造</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更新）</w:t>
            </w:r>
          </w:p>
        </w:tc>
        <w:tc>
          <w:tcPr>
            <w:tcW w:w="1150" w:type="dxa"/>
            <w:gridSpan w:val="3"/>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绿色建筑占</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面积的比例</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200" w:type="dxa"/>
            <w:gridSpan w:val="3"/>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星级绿色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建筑占新建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建筑面积的</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比例</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290" w:type="dxa"/>
            <w:gridSpan w:val="3"/>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新开工装配式建筑占新建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建筑面积的</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比例</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250" w:type="dxa"/>
            <w:gridSpan w:val="3"/>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可再生能源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替代率</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160" w:type="dxa"/>
            <w:gridSpan w:val="3"/>
            <w:vMerge w:val="restart"/>
            <w:tcBorders>
              <w:top w:val="single" w:color="auto" w:sz="8"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绿色化改造</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目标</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（万m</w:t>
            </w:r>
            <w:r>
              <w:rPr>
                <w:rFonts w:hint="default" w:ascii="Times New Roman" w:hAnsi="Times New Roman" w:eastAsia="宋体" w:cs="Times New Roman"/>
                <w:snapToGrid/>
                <w:color w:val="000000" w:themeColor="text1"/>
                <w:w w:val="100"/>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4813" w:type="dxa"/>
            <w:gridSpan w:val="12"/>
            <w:tcBorders>
              <w:top w:val="single" w:color="auto" w:sz="8"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高质量发展目标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vMerge w:val="continue"/>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44" w:type="dxa"/>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5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9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5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6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超低能耗、</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近零能耗、</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低碳、零碳</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建筑面积</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（平方米）</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绿色建材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应用比例</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电气化</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比例</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c>
          <w:tcPr>
            <w:tcW w:w="1133" w:type="dxa"/>
            <w:gridSpan w:val="3"/>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BIM技术</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覆盖率</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vMerge w:val="continue"/>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44" w:type="dxa"/>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期</w:t>
            </w: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期</w:t>
            </w: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期</w:t>
            </w: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期</w:t>
            </w: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近期</w:t>
            </w: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中期</w:t>
            </w: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远期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1</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3</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4</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5</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6</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7</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8</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9</w:t>
            </w:r>
          </w:p>
        </w:tc>
        <w:tc>
          <w:tcPr>
            <w:tcW w:w="54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4"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539" w:type="dxa"/>
            <w:tcBorders>
              <w:top w:val="single" w:color="auto" w:sz="4" w:space="0"/>
              <w:left w:val="single" w:color="auto" w:sz="8"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10</w:t>
            </w:r>
          </w:p>
        </w:tc>
        <w:tc>
          <w:tcPr>
            <w:tcW w:w="544"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4"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0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3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6"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8"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6"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88"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20"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14"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3"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94"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7" w:type="dxa"/>
            <w:tcBorders>
              <w:top w:val="single" w:color="auto" w:sz="4" w:space="0"/>
              <w:left w:val="single" w:color="auto" w:sz="4" w:space="0"/>
              <w:bottom w:val="single" w:color="auto" w:sz="8"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379" w:type="dxa"/>
            <w:tcBorders>
              <w:top w:val="single" w:color="auto" w:sz="4" w:space="0"/>
              <w:left w:val="single" w:color="auto" w:sz="4" w:space="0"/>
              <w:bottom w:val="single" w:color="auto" w:sz="8" w:space="0"/>
              <w:right w:val="single" w:color="auto" w:sz="8" w:space="0"/>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bookmarkEnd w:id="43"/>
    </w:tbl>
    <w:p>
      <w:pPr>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附录E </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各区域（分区）绿色建筑建设指标汇总表</w:t>
      </w:r>
    </w:p>
    <w:tbl>
      <w:tblPr>
        <w:tblStyle w:val="10"/>
        <w:tblW w:w="12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55"/>
        <w:gridCol w:w="911"/>
        <w:gridCol w:w="1135"/>
        <w:gridCol w:w="825"/>
        <w:gridCol w:w="729"/>
        <w:gridCol w:w="814"/>
        <w:gridCol w:w="654"/>
        <w:gridCol w:w="750"/>
        <w:gridCol w:w="718"/>
        <w:gridCol w:w="696"/>
        <w:gridCol w:w="622"/>
        <w:gridCol w:w="900"/>
        <w:gridCol w:w="675"/>
        <w:gridCol w:w="579"/>
        <w:gridCol w:w="728"/>
        <w:gridCol w:w="685"/>
        <w:gridCol w:w="5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restart"/>
            <w:tcBorders>
              <w:tl2br w:val="nil"/>
              <w:tr2bl w:val="nil"/>
            </w:tcBorders>
            <w:textDirection w:val="tbRlV"/>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vMerge w:val="restar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区域</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（分区）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名称</w:t>
            </w:r>
          </w:p>
        </w:tc>
        <w:tc>
          <w:tcPr>
            <w:tcW w:w="1135" w:type="dxa"/>
            <w:vMerge w:val="restar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区域类别</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（重点、</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一般、</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改造</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更新）</w:t>
            </w:r>
          </w:p>
        </w:tc>
        <w:tc>
          <w:tcPr>
            <w:tcW w:w="5808" w:type="dxa"/>
            <w:gridSpan w:val="8"/>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通用性控制指标（建设用地类别）</w:t>
            </w:r>
          </w:p>
        </w:tc>
        <w:tc>
          <w:tcPr>
            <w:tcW w:w="4147" w:type="dxa"/>
            <w:gridSpan w:val="6"/>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引导性指标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textDirection w:val="tbRlV"/>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vMerge w:val="continue"/>
            <w:tcBorders>
              <w:tl2br w:val="nil"/>
              <w:tr2bl w:val="nil"/>
            </w:tcBorders>
            <w:textDirection w:val="tbRlV"/>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vMerge w:val="continue"/>
            <w:tcBorders>
              <w:tl2br w:val="nil"/>
              <w:tr2bl w:val="nil"/>
            </w:tcBorders>
            <w:textDirection w:val="tbRlV"/>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的绿色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等级</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装配率</w:t>
            </w: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太阳能</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光热</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光伏</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发电</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地热能</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其他</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可再生</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能源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绿色化改造</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目标</w:t>
            </w: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其他</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超低</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能耗、</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近零</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能耗</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低碳、</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零碳</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电气化要求</w:t>
            </w: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碳排放强度</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其他</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技术</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restart"/>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控制</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指标</w:t>
            </w: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55" w:type="dxa"/>
            <w:vMerge w:val="continue"/>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11"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13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2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81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54"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1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6"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2"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90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7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9"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8"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8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80"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42" w:hRule="atLeast"/>
          <w:jc w:val="center"/>
        </w:trPr>
        <w:tc>
          <w:tcPr>
            <w:tcW w:w="755" w:type="dxa"/>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通用性控制</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指标</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（建筑类型）</w:t>
            </w:r>
          </w:p>
        </w:tc>
        <w:tc>
          <w:tcPr>
            <w:tcW w:w="12001" w:type="dxa"/>
            <w:gridSpan w:val="16"/>
            <w:tcBorders>
              <w:tl2br w:val="nil"/>
              <w:tr2bl w:val="nil"/>
            </w:tcBorders>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1</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公共建筑应按照一星级以上标准进行建设，重点发展项目应提高绿色建筑等级；</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超高层、超限高层建筑应当按照三星级标准进行建设;</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3</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具备条件的政府投资新立项公共建筑，全部采用“地热能+”多能互补的形式解决供暖（制冷）用能需求;</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4</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政府投资的新建党政机关、新立项的学校医院、文化体育科技类场馆等公共机构建筑应建设分布式光伏发电系统；</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5</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大型公共建筑、装配式建筑等绿色建筑项目应用BIM技术；</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10" w:firstLineChars="10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6</w:t>
            </w:r>
            <w:r>
              <w:rPr>
                <w:rFonts w:hint="eastAsia"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其他绿色建筑建设要求。</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bl>
    <w:p>
      <w:pPr>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bookmarkStart w:id="44" w:name="_Toc9501"/>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附录F  </w:t>
      </w:r>
      <w:r>
        <w:rPr>
          <w:rFonts w:hint="eastAsia" w:ascii="黑体" w:hAnsi="黑体" w:eastAsia="黑体" w:cs="黑体"/>
          <w:b w:val="0"/>
          <w:bCs w:val="0"/>
          <w:snapToGrid w:val="0"/>
          <w:color w:val="000000" w:themeColor="text1"/>
          <w:kern w:val="2"/>
          <w:sz w:val="32"/>
          <w:szCs w:val="32"/>
          <w:u w:val="single"/>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市</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县</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）近期（</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2023-2025年度</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目标计划</w:t>
      </w:r>
      <w:bookmarkEnd w:id="44"/>
    </w:p>
    <w:tbl>
      <w:tblPr>
        <w:tblStyle w:val="10"/>
        <w:tblW w:w="12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80"/>
        <w:gridCol w:w="1233"/>
        <w:gridCol w:w="983"/>
        <w:gridCol w:w="4352"/>
        <w:gridCol w:w="951"/>
        <w:gridCol w:w="951"/>
        <w:gridCol w:w="951"/>
        <w:gridCol w:w="951"/>
        <w:gridCol w:w="951"/>
        <w:gridCol w:w="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序号</w:t>
            </w:r>
          </w:p>
        </w:tc>
        <w:tc>
          <w:tcPr>
            <w:tcW w:w="132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目标类型</w:t>
            </w: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目标项</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2023年</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2024年</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2025年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1</w:t>
            </w:r>
          </w:p>
        </w:tc>
        <w:tc>
          <w:tcPr>
            <w:tcW w:w="1322"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绿色建筑</w:t>
            </w: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绿色建筑占新建建筑面积的比例（%））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一星级绿色建筑占新建建筑面积的比例（%）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高星级绿色建筑占新建建筑面积的比例（%）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w:t>
            </w:r>
          </w:p>
        </w:tc>
        <w:tc>
          <w:tcPr>
            <w:tcW w:w="1322"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装配式建筑</w:t>
            </w: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新开工装配式建筑占新建建筑面积的比例（%）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新开工装配率50%以上装配式建筑占新建建筑面积的比例（%）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3</w:t>
            </w:r>
          </w:p>
        </w:tc>
        <w:tc>
          <w:tcPr>
            <w:tcW w:w="1322"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可再生能源</w:t>
            </w:r>
          </w:p>
        </w:tc>
        <w:tc>
          <w:tcPr>
            <w:tcW w:w="1054"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可再生能源替代率（总体）（%）</w:t>
            </w: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新建建筑太阳能光热能源替代率（%）</w:t>
            </w:r>
          </w:p>
        </w:tc>
        <w:tc>
          <w:tcPr>
            <w:tcW w:w="1020"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新建建筑光伏发电能源替代率（%）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新建建筑地热能能源替代率（%）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新建建筑其他可再生能源替代率（%）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既有建筑太阳能光热能源替代率（%）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既有建筑光伏发电能源替代率（%）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既有建筑地热能能源替代率（%）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5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67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既有建筑其他可再生能源替代率（%）</w:t>
            </w: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4</w:t>
            </w:r>
          </w:p>
        </w:tc>
        <w:tc>
          <w:tcPr>
            <w:tcW w:w="132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绿色化改造</w:t>
            </w: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既有建筑绿色化改造面积（万平方米）</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5</w:t>
            </w:r>
          </w:p>
        </w:tc>
        <w:tc>
          <w:tcPr>
            <w:tcW w:w="1322" w:type="dxa"/>
            <w:vMerge w:val="restart"/>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其他绿色建筑发展目标</w:t>
            </w: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超低能耗、近零能耗建筑面积（万平方米）</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低碳、零碳建筑面积（万平方米）</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新建建筑中绿色建材应用比例（%）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公共建筑电气化比例（%）</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14"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322" w:type="dxa"/>
            <w:vMerge w:val="continue"/>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25"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BIM技术应用项目数（个）</w:t>
            </w: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020"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bl>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br w:type="page"/>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 xml:space="preserve">附录G  </w:t>
      </w:r>
      <w:r>
        <w:rPr>
          <w:rFonts w:hint="default" w:ascii="黑体" w:hAnsi="黑体" w:eastAsia="黑体" w:cs="黑体"/>
          <w:b w:val="0"/>
          <w:bCs w:val="0"/>
          <w:snapToGrid w:val="0"/>
          <w:color w:val="000000" w:themeColor="text1"/>
          <w:kern w:val="2"/>
          <w:sz w:val="32"/>
          <w:szCs w:val="32"/>
          <w:u w:val="single"/>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市</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县</w:t>
      </w:r>
      <w:r>
        <w:rPr>
          <w:rFonts w:hint="eastAsia"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绿色建筑专项规划</w:t>
      </w:r>
      <w:r>
        <w:rPr>
          <w:rFonts w:hint="default" w:ascii="黑体" w:hAnsi="黑体" w:eastAsia="黑体" w:cs="黑体"/>
          <w:b w:val="0"/>
          <w:bCs w:val="0"/>
          <w:snapToGrid w:val="0"/>
          <w:color w:val="000000" w:themeColor="text1"/>
          <w:kern w:val="2"/>
          <w:sz w:val="32"/>
          <w:szCs w:val="32"/>
          <w:u w:val="single"/>
          <w:lang w:val="en-US" w:eastAsia="zh-CN" w:bidi="ar-SA"/>
          <w14:textFill>
            <w14:solidFill>
              <w14:schemeClr w14:val="tx1"/>
            </w14:solidFill>
          </w14:textFill>
        </w:rPr>
        <w:t xml:space="preserve">     </w:t>
      </w:r>
      <w:r>
        <w:rPr>
          <w:rFonts w:hint="default" w:ascii="黑体" w:hAnsi="黑体" w:eastAsia="黑体" w:cs="黑体"/>
          <w:b w:val="0"/>
          <w:bCs w:val="0"/>
          <w:snapToGrid w:val="0"/>
          <w:color w:val="000000" w:themeColor="text1"/>
          <w:kern w:val="2"/>
          <w:sz w:val="32"/>
          <w:szCs w:val="32"/>
          <w:lang w:val="en-US" w:eastAsia="zh-CN" w:bidi="ar-SA"/>
          <w14:textFill>
            <w14:solidFill>
              <w14:schemeClr w14:val="tx1"/>
            </w14:solidFill>
          </w14:textFill>
        </w:rPr>
        <w:t>年度重点项目</w:t>
      </w:r>
    </w:p>
    <w:tbl>
      <w:tblPr>
        <w:tblStyle w:val="10"/>
        <w:tblW w:w="12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10"/>
        <w:gridCol w:w="642"/>
        <w:gridCol w:w="563"/>
        <w:gridCol w:w="474"/>
        <w:gridCol w:w="598"/>
        <w:gridCol w:w="693"/>
        <w:gridCol w:w="760"/>
        <w:gridCol w:w="740"/>
        <w:gridCol w:w="1519"/>
        <w:gridCol w:w="623"/>
        <w:gridCol w:w="727"/>
        <w:gridCol w:w="762"/>
        <w:gridCol w:w="1200"/>
        <w:gridCol w:w="553"/>
        <w:gridCol w:w="577"/>
        <w:gridCol w:w="750"/>
        <w:gridCol w:w="531"/>
        <w:gridCol w:w="5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序号</w:t>
            </w:r>
          </w:p>
        </w:tc>
        <w:tc>
          <w:tcPr>
            <w:tcW w:w="642"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项目</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类型</w:t>
            </w:r>
          </w:p>
        </w:tc>
        <w:tc>
          <w:tcPr>
            <w:tcW w:w="563"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项目</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名称</w:t>
            </w:r>
          </w:p>
        </w:tc>
        <w:tc>
          <w:tcPr>
            <w:tcW w:w="474"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项目</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地址</w:t>
            </w:r>
          </w:p>
        </w:tc>
        <w:tc>
          <w:tcPr>
            <w:tcW w:w="6422" w:type="dxa"/>
            <w:gridSpan w:val="8"/>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绿色建筑建设要求</w:t>
            </w:r>
          </w:p>
        </w:tc>
        <w:tc>
          <w:tcPr>
            <w:tcW w:w="1200"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建设内容</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及规模</w:t>
            </w:r>
          </w:p>
        </w:tc>
        <w:tc>
          <w:tcPr>
            <w:tcW w:w="1130" w:type="dxa"/>
            <w:gridSpan w:val="2"/>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建设周期</w:t>
            </w:r>
          </w:p>
        </w:tc>
        <w:tc>
          <w:tcPr>
            <w:tcW w:w="750"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总投资 （万元）</w:t>
            </w:r>
          </w:p>
        </w:tc>
        <w:tc>
          <w:tcPr>
            <w:tcW w:w="531"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责任单位</w:t>
            </w:r>
          </w:p>
        </w:tc>
        <w:tc>
          <w:tcPr>
            <w:tcW w:w="534" w:type="dxa"/>
            <w:vMerge w:val="restart"/>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Merge w:val="continue"/>
            <w:shd w:val="clear" w:color="auto" w:fill="FFFFFF"/>
            <w:textDirection w:val="tbRlV"/>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42"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等级</w:t>
            </w:r>
          </w:p>
        </w:tc>
        <w:tc>
          <w:tcPr>
            <w:tcW w:w="69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装配率</w:t>
            </w:r>
          </w:p>
        </w:tc>
        <w:tc>
          <w:tcPr>
            <w:tcW w:w="76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可再生</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能源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tc>
        <w:tc>
          <w:tcPr>
            <w:tcW w:w="74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既有</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绿色化改造</w:t>
            </w:r>
          </w:p>
        </w:tc>
        <w:tc>
          <w:tcPr>
            <w:tcW w:w="1519"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sym w:font="Wingdings 2" w:char="00A3"/>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超低能耗建筑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sym w:font="Wingdings 2" w:char="00A3"/>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近零能耗建筑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sym w:font="Wingdings 2" w:char="00A3"/>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低碳建筑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sym w:font="Wingdings 2" w:char="00A3"/>
            </w: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零碳建筑</w:t>
            </w:r>
          </w:p>
        </w:tc>
        <w:tc>
          <w:tcPr>
            <w:tcW w:w="62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绿色</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建材</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tc>
        <w:tc>
          <w:tcPr>
            <w:tcW w:w="727"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（公共建筑）</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电气化要求</w:t>
            </w:r>
          </w:p>
        </w:tc>
        <w:tc>
          <w:tcPr>
            <w:tcW w:w="762"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BIM</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技术</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应用</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要求</w:t>
            </w:r>
          </w:p>
        </w:tc>
        <w:tc>
          <w:tcPr>
            <w:tcW w:w="1200"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开工</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时间</w:t>
            </w:r>
          </w:p>
        </w:tc>
        <w:tc>
          <w:tcPr>
            <w:tcW w:w="577"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竣工</w:t>
            </w:r>
          </w:p>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时间</w:t>
            </w:r>
          </w:p>
        </w:tc>
        <w:tc>
          <w:tcPr>
            <w:tcW w:w="750"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Merge w:val="continue"/>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1</w:t>
            </w:r>
          </w:p>
        </w:tc>
        <w:tc>
          <w:tcPr>
            <w:tcW w:w="642"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shd w:val="clear" w:color="auto" w:fill="FFFFFF"/>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2</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3</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4</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5</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6</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1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t>7</w:t>
            </w:r>
          </w:p>
        </w:tc>
        <w:tc>
          <w:tcPr>
            <w:tcW w:w="64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6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47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98"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9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4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519"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62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2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62"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120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53"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77"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750"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1"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c>
          <w:tcPr>
            <w:tcW w:w="534" w:type="dxa"/>
            <w:vAlign w:val="center"/>
          </w:tcPr>
          <w:p>
            <w:pPr>
              <w:pStyle w:val="1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snapToGrid/>
                <w:color w:val="000000" w:themeColor="text1"/>
                <w:w w:val="100"/>
                <w:kern w:val="2"/>
                <w:sz w:val="21"/>
                <w:szCs w:val="21"/>
                <w:lang w:val="en-US" w:eastAsia="zh-CN" w:bidi="ar-SA"/>
                <w14:textFill>
                  <w14:solidFill>
                    <w14:schemeClr w14:val="tx1"/>
                  </w14:solidFill>
                </w14:textFill>
              </w:rPr>
            </w:pPr>
          </w:p>
        </w:tc>
      </w:tr>
    </w:tbl>
    <w:p>
      <w:pPr>
        <w:rPr>
          <w:rFonts w:hint="default" w:ascii="Times New Roman" w:hAnsi="Times New Roman" w:cs="Times New Roman" w:eastAsiaTheme="majorEastAsia"/>
          <w:sz w:val="24"/>
          <w:szCs w:val="24"/>
          <w:lang w:val="en-US" w:eastAsia="zh-CN"/>
        </w:rPr>
      </w:pPr>
    </w:p>
    <w:sectPr>
      <w:pgSz w:w="16838" w:h="11906" w:orient="landscape"/>
      <w:pgMar w:top="1587" w:right="2098" w:bottom="1474" w:left="1984" w:header="851" w:footer="1655"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21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YWE5M2IxMTdiMmNhZDljYTE2Yjc0NzFjNWI3N2YifQ=="/>
  </w:docVars>
  <w:rsids>
    <w:rsidRoot w:val="2DF70908"/>
    <w:rsid w:val="084751C9"/>
    <w:rsid w:val="09FAD87A"/>
    <w:rsid w:val="0A7B7DCB"/>
    <w:rsid w:val="2C7F5882"/>
    <w:rsid w:val="2DF70908"/>
    <w:rsid w:val="376E24AF"/>
    <w:rsid w:val="3CFD2752"/>
    <w:rsid w:val="3E7EB5DD"/>
    <w:rsid w:val="5A836A9E"/>
    <w:rsid w:val="5B76C963"/>
    <w:rsid w:val="67FFD1BA"/>
    <w:rsid w:val="6B4F1091"/>
    <w:rsid w:val="6FF3CFC2"/>
    <w:rsid w:val="7497E14A"/>
    <w:rsid w:val="74F7889F"/>
    <w:rsid w:val="77BE6726"/>
    <w:rsid w:val="7FD19547"/>
    <w:rsid w:val="7FDF437D"/>
    <w:rsid w:val="9DE76A64"/>
    <w:rsid w:val="BE3B9745"/>
    <w:rsid w:val="F5CBCB11"/>
    <w:rsid w:val="FBDE57C2"/>
    <w:rsid w:val="FE7DE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Body Text First Indent 2"/>
    <w:basedOn w:val="2"/>
    <w:qFormat/>
    <w:uiPriority w:val="99"/>
    <w:pPr>
      <w:ind w:firstLine="420" w:firstLineChars="200"/>
    </w:pPr>
  </w:style>
  <w:style w:type="paragraph" w:customStyle="1" w:styleId="9">
    <w:name w:val="章编号和标题"/>
    <w:basedOn w:val="1"/>
    <w:next w:val="1"/>
    <w:qFormat/>
    <w:uiPriority w:val="99"/>
    <w:pPr>
      <w:spacing w:before="120" w:after="120" w:line="600" w:lineRule="auto"/>
      <w:jc w:val="center"/>
    </w:pPr>
    <w:rPr>
      <w:b/>
      <w:bCs/>
      <w:sz w:val="36"/>
      <w:szCs w:val="36"/>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节编号和标题"/>
    <w:basedOn w:val="1"/>
    <w:next w:val="12"/>
    <w:qFormat/>
    <w:uiPriority w:val="99"/>
    <w:pPr>
      <w:spacing w:line="480" w:lineRule="auto"/>
      <w:jc w:val="center"/>
    </w:pPr>
    <w:rPr>
      <w:rFonts w:eastAsia="黑体"/>
      <w:b/>
      <w:bCs/>
    </w:rPr>
  </w:style>
  <w:style w:type="paragraph" w:customStyle="1" w:styleId="12">
    <w:name w:val="款，项编号及内容"/>
    <w:basedOn w:val="6"/>
    <w:qFormat/>
    <w:uiPriority w:val="99"/>
    <w:pPr>
      <w:spacing w:line="360" w:lineRule="auto"/>
      <w:ind w:left="0" w:leftChars="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7058</Words>
  <Characters>7461</Characters>
  <Lines>0</Lines>
  <Paragraphs>0</Paragraphs>
  <TotalTime>47</TotalTime>
  <ScaleCrop>false</ScaleCrop>
  <LinksUpToDate>false</LinksUpToDate>
  <CharactersWithSpaces>8104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2023-05-07T09:54:00Z</dcterms:created>
  <dc:creator>Administrator</dc:creator>
  <cp:lastModifiedBy>baixin</cp:lastModifiedBy>
  <cp:lastPrinted>2023-06-05T23:20:00Z</cp:lastPrinted>
  <dcterms:modified xsi:type="dcterms:W3CDTF">2023-06-05T15:31:19Z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8DF56D7CD92B4CBFB38C617D80B1A4FC_11</vt:lpwstr>
  </property>
</Properties>
</file>