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附件2</w:t>
      </w:r>
    </w:p>
    <w:p>
      <w:pPr>
        <w:adjustRightInd w:val="0"/>
        <w:snapToGrid w:val="0"/>
        <w:jc w:val="center"/>
        <w:rPr>
          <w:rFonts w:hint="default" w:eastAsia="仿宋" w:cs="宋体"/>
          <w:b/>
          <w:snapToGrid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default" w:eastAsia="仿宋" w:cs="宋体"/>
          <w:b/>
          <w:snapToGrid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default" w:eastAsia="仿宋" w:cs="宋体"/>
          <w:b/>
          <w:snapToGrid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default" w:ascii="黑体" w:hAnsi="黑体" w:eastAsia="黑体" w:cs="黑体"/>
          <w:snapToGrid w:val="0"/>
          <w:sz w:val="44"/>
          <w:szCs w:val="44"/>
        </w:rPr>
      </w:pPr>
      <w:r>
        <w:rPr>
          <w:rFonts w:ascii="黑体" w:hAnsi="黑体" w:eastAsia="黑体" w:cs="黑体"/>
          <w:snapToGrid w:val="0"/>
          <w:sz w:val="44"/>
          <w:szCs w:val="44"/>
        </w:rPr>
        <w:t>海南省装配式建筑</w:t>
      </w:r>
      <w:r>
        <w:rPr>
          <w:rFonts w:hint="eastAsia" w:ascii="黑体" w:hAnsi="黑体" w:eastAsia="黑体" w:cs="黑体"/>
          <w:snapToGrid w:val="0"/>
          <w:sz w:val="44"/>
          <w:szCs w:val="44"/>
          <w:lang w:val="en-US" w:eastAsia="zh-CN"/>
        </w:rPr>
        <w:t>施工图</w:t>
      </w:r>
      <w:r>
        <w:rPr>
          <w:rFonts w:ascii="黑体" w:hAnsi="黑体" w:eastAsia="黑体" w:cs="黑体"/>
          <w:snapToGrid w:val="0"/>
          <w:sz w:val="44"/>
          <w:szCs w:val="44"/>
        </w:rPr>
        <w:t>设计说明要点</w:t>
      </w: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adjustRightInd w:val="0"/>
        <w:snapToGrid w:val="0"/>
        <w:rPr>
          <w:rFonts w:hint="default" w:eastAsia="仿宋" w:cs="宋体"/>
          <w:sz w:val="28"/>
        </w:rPr>
      </w:pPr>
    </w:p>
    <w:p>
      <w:pPr>
        <w:tabs>
          <w:tab w:val="left" w:pos="6300"/>
        </w:tabs>
        <w:adjustRightInd w:val="0"/>
        <w:snapToGrid w:val="0"/>
        <w:spacing w:line="360" w:lineRule="auto"/>
        <w:ind w:left="2100" w:leftChars="1000"/>
        <w:rPr>
          <w:rFonts w:hint="default" w:eastAsia="仿宋" w:cs="仿宋"/>
          <w:snapToGrid w:val="0"/>
          <w:sz w:val="32"/>
          <w:szCs w:val="32"/>
        </w:rPr>
      </w:pPr>
      <w:r>
        <w:rPr>
          <w:rFonts w:eastAsia="仿宋" w:cs="仿宋"/>
          <w:snapToGrid w:val="0"/>
          <w:sz w:val="32"/>
          <w:szCs w:val="32"/>
        </w:rPr>
        <w:br w:type="page"/>
      </w:r>
    </w:p>
    <w:p>
      <w:pPr>
        <w:adjustRightInd w:val="0"/>
        <w:snapToGrid w:val="0"/>
        <w:rPr>
          <w:rFonts w:hint="default" w:eastAsia="仿宋" w:cs="仿宋_GB2312"/>
          <w:b/>
          <w:bCs/>
          <w:sz w:val="44"/>
          <w:szCs w:val="44"/>
          <w:lang w:val="zh-CN"/>
        </w:rPr>
      </w:pPr>
    </w:p>
    <w:sdt>
      <w:sdtPr>
        <w:rPr>
          <w:rFonts w:ascii="仿宋_GB2312" w:hAnsi="仿宋_GB2312" w:eastAsia="仿宋_GB2312" w:cs="仿宋_GB2312"/>
          <w:b/>
          <w:bCs/>
          <w:sz w:val="32"/>
          <w:szCs w:val="32"/>
        </w:rPr>
        <w:id w:val="147475923"/>
        <w15:color w:val="DBDBDB"/>
        <w:docPartObj>
          <w:docPartGallery w:val="Table of Contents"/>
          <w:docPartUnique/>
        </w:docPartObj>
      </w:sdtPr>
      <w:sdtEndPr>
        <w:rPr>
          <w:rFonts w:ascii="仿宋" w:hAnsi="仿宋" w:eastAsia="仿宋" w:cs="仿宋_GB2312"/>
          <w:b w:val="0"/>
          <w:bCs/>
          <w:sz w:val="28"/>
          <w:szCs w:val="28"/>
        </w:rPr>
      </w:sdtEndPr>
      <w:sdtContent>
        <w:p>
          <w:pPr>
            <w:jc w:val="center"/>
            <w:rPr>
              <w:rFonts w:ascii="仿宋_GB2312" w:hAnsi="仿宋_GB2312" w:eastAsia="仿宋_GB2312" w:cs="仿宋_GB2312"/>
              <w:b/>
              <w:bCs/>
              <w:sz w:val="32"/>
              <w:szCs w:val="32"/>
            </w:rPr>
          </w:pPr>
          <w:r>
            <w:rPr>
              <w:rFonts w:ascii="仿宋_GB2312" w:hAnsi="仿宋_GB2312" w:eastAsia="仿宋_GB2312" w:cs="仿宋_GB2312"/>
              <w:b/>
              <w:bCs/>
              <w:sz w:val="32"/>
              <w:szCs w:val="32"/>
            </w:rPr>
            <w:t>目</w:t>
          </w:r>
          <w:r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  <w:t xml:space="preserve"> </w:t>
          </w:r>
          <w:r>
            <w:rPr>
              <w:rFonts w:ascii="仿宋_GB2312" w:hAnsi="仿宋_GB2312" w:eastAsia="仿宋_GB2312" w:cs="仿宋_GB2312"/>
              <w:b/>
              <w:bCs/>
              <w:sz w:val="32"/>
              <w:szCs w:val="32"/>
            </w:rPr>
            <w:t>录</w:t>
          </w:r>
        </w:p>
        <w:p>
          <w:pPr>
            <w:jc w:val="center"/>
            <w:rPr>
              <w:rFonts w:hint="default" w:ascii="仿宋_GB2312" w:hAnsi="仿宋_GB2312" w:eastAsia="仿宋_GB2312" w:cs="仿宋_GB2312"/>
              <w:b/>
              <w:bCs/>
              <w:sz w:val="32"/>
              <w:szCs w:val="32"/>
            </w:rPr>
          </w:pPr>
        </w:p>
        <w:p>
          <w:pPr>
            <w:pStyle w:val="8"/>
            <w:tabs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Fonts w:ascii="仿宋" w:hAnsi="仿宋" w:eastAsia="仿宋" w:cs="仿宋_GB2312"/>
              <w:b w:val="0"/>
              <w:bCs/>
              <w:sz w:val="28"/>
              <w:szCs w:val="28"/>
            </w:rPr>
            <w:fldChar w:fldCharType="begin"/>
          </w:r>
          <w:r>
            <w:rPr>
              <w:rFonts w:ascii="仿宋" w:hAnsi="仿宋" w:eastAsia="仿宋" w:cs="仿宋_GB2312"/>
              <w:b w:val="0"/>
              <w:bCs/>
              <w:sz w:val="28"/>
              <w:szCs w:val="28"/>
            </w:rPr>
            <w:instrText xml:space="preserve">TOC \o "1-1" \h \u </w:instrText>
          </w:r>
          <w:r>
            <w:rPr>
              <w:rFonts w:ascii="仿宋" w:hAnsi="仿宋" w:eastAsia="仿宋" w:cs="仿宋_GB2312"/>
              <w:b w:val="0"/>
              <w:bCs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"_Toc136534501"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一、 设计依据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_Toc136534501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1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"_Toc136534502"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二、 装配式建筑实施概况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_Toc136534502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1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"_Toc136534506"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三、 装配式建筑评分表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_Toc136534506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2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"_Toc136534508"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四、 施工图中应包括以下内容：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_Toc136534508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4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left" w:pos="840"/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"_Toc136534509"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(一)</w:t>
          </w:r>
          <w:r>
            <w:rPr>
              <w:rFonts w:hint="default" w:ascii="仿宋" w:hAnsi="仿宋" w:eastAsia="仿宋" w:cstheme="minorBidi"/>
              <w:sz w:val="28"/>
              <w:szCs w:val="28"/>
            </w:rPr>
            <w:tab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建筑：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_Toc136534509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4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left" w:pos="840"/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"_Toc136534510"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(二)</w:t>
          </w:r>
          <w:r>
            <w:rPr>
              <w:rFonts w:hint="default" w:ascii="仿宋" w:hAnsi="仿宋" w:eastAsia="仿宋" w:cstheme="minorBidi"/>
              <w:sz w:val="28"/>
              <w:szCs w:val="28"/>
            </w:rPr>
            <w:tab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结构：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_Toc136534510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4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left" w:pos="840"/>
              <w:tab w:val="right" w:leader="dot" w:pos="8296"/>
            </w:tabs>
            <w:rPr>
              <w:rFonts w:hint="default" w:ascii="仿宋" w:hAnsi="仿宋" w:eastAsia="仿宋" w:cstheme="minorBidi"/>
              <w:sz w:val="28"/>
              <w:szCs w:val="28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"_Toc136534511"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(三)</w:t>
          </w:r>
          <w:r>
            <w:rPr>
              <w:rFonts w:hint="default" w:ascii="仿宋" w:hAnsi="仿宋" w:eastAsia="仿宋" w:cstheme="minorBidi"/>
              <w:sz w:val="28"/>
              <w:szCs w:val="28"/>
            </w:rPr>
            <w:tab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设备专业：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_Toc136534511 \h </w:instrText>
          </w:r>
          <w:r>
            <w:rPr>
              <w:rFonts w:hint="default" w:ascii="仿宋" w:hAnsi="仿宋" w:eastAsia="仿宋"/>
              <w:sz w:val="28"/>
              <w:szCs w:val="28"/>
            </w:rPr>
            <w:fldChar w:fldCharType="separate"/>
          </w:r>
          <w:r>
            <w:rPr>
              <w:rFonts w:hint="default" w:ascii="仿宋" w:hAnsi="仿宋" w:eastAsia="仿宋"/>
              <w:sz w:val="28"/>
              <w:szCs w:val="28"/>
            </w:rPr>
            <w:t>5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left" w:pos="840"/>
              <w:tab w:val="right" w:leader="dot" w:pos="8296"/>
            </w:tabs>
            <w:rPr>
              <w:rFonts w:hint="eastAsia" w:ascii="仿宋" w:hAnsi="仿宋" w:eastAsia="仿宋" w:cstheme="minorBidi"/>
              <w:sz w:val="28"/>
              <w:szCs w:val="28"/>
              <w:lang w:eastAsia="zh-CN"/>
            </w:rPr>
          </w:pP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Fonts w:ascii="仿宋" w:hAnsi="仿宋" w:eastAsia="仿宋"/>
              <w:sz w:val="28"/>
              <w:szCs w:val="28"/>
            </w:rPr>
            <w:instrText xml:space="preserve">HYPERLINK \l "_Toc136534512"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instrText xml:space="preserve"> </w:instrText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(四)</w:t>
          </w:r>
          <w:r>
            <w:rPr>
              <w:rFonts w:hint="default" w:ascii="仿宋" w:hAnsi="仿宋" w:eastAsia="仿宋" w:cstheme="minorBidi"/>
              <w:sz w:val="28"/>
              <w:szCs w:val="28"/>
            </w:rPr>
            <w:tab/>
          </w:r>
          <w:r>
            <w:rPr>
              <w:rStyle w:val="13"/>
              <w:rFonts w:ascii="仿宋" w:hAnsi="仿宋" w:eastAsia="仿宋" w:cs="仿宋_GB2312"/>
              <w:b w:val="0"/>
              <w:bCs/>
              <w:sz w:val="28"/>
              <w:szCs w:val="28"/>
            </w:rPr>
            <w:t>其他：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13"/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/>
              <w:sz w:val="28"/>
              <w:szCs w:val="28"/>
              <w:lang w:val="en-US" w:eastAsia="zh-CN"/>
            </w:rPr>
            <w:t>6</w:t>
          </w:r>
        </w:p>
        <w:p>
          <w:pPr>
            <w:adjustRightInd w:val="0"/>
            <w:snapToGrid w:val="0"/>
            <w:rPr>
              <w:rFonts w:hint="default" w:ascii="仿宋" w:hAnsi="仿宋" w:eastAsia="仿宋" w:cs="仿宋_GB2312"/>
              <w:b w:val="0"/>
              <w:bCs/>
              <w:sz w:val="28"/>
              <w:szCs w:val="28"/>
            </w:rPr>
          </w:pPr>
          <w:r>
            <w:rPr>
              <w:rFonts w:ascii="仿宋" w:hAnsi="仿宋" w:eastAsia="仿宋" w:cs="仿宋_GB2312"/>
              <w:bCs/>
              <w:sz w:val="28"/>
              <w:szCs w:val="28"/>
            </w:rPr>
            <w:fldChar w:fldCharType="end"/>
          </w:r>
        </w:p>
      </w:sdtContent>
    </w:sdt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adjustRightInd w:val="0"/>
        <w:snapToGrid w:val="0"/>
        <w:rPr>
          <w:rFonts w:hint="default" w:eastAsia="仿宋"/>
          <w:sz w:val="28"/>
          <w:szCs w:val="28"/>
        </w:rPr>
      </w:pPr>
    </w:p>
    <w:p>
      <w:pPr>
        <w:numPr>
          <w:ilvl w:val="0"/>
          <w:numId w:val="1"/>
        </w:numPr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0" w:name="_Toc136534501"/>
      <w:r>
        <w:rPr>
          <w:rFonts w:ascii="仿宋_GB2312" w:hAnsi="仿宋_GB2312" w:eastAsia="仿宋_GB2312" w:cs="仿宋_GB2312"/>
          <w:b/>
          <w:bCs/>
          <w:sz w:val="32"/>
          <w:szCs w:val="32"/>
        </w:rPr>
        <w:t>设计依据</w:t>
      </w:r>
      <w:bookmarkEnd w:id="0"/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outlineLvl w:val="9"/>
        <w:rPr>
          <w:rFonts w:hint="eastAsia" w:ascii="Times New Roman" w:hAnsi="Times New Roman" w:eastAsia="仿宋_GB2312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_GB2312" w:cs="宋体"/>
          <w:b w:val="0"/>
          <w:bCs w:val="0"/>
          <w:color w:val="auto"/>
          <w:sz w:val="28"/>
          <w:szCs w:val="28"/>
        </w:rPr>
        <w:t>各专业总说明中应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8"/>
          <w:szCs w:val="28"/>
          <w:lang w:eastAsia="zh-CN"/>
        </w:rPr>
        <w:t>根据项目情况</w:t>
      </w:r>
      <w:r>
        <w:rPr>
          <w:rFonts w:ascii="Times New Roman" w:hAnsi="Times New Roman" w:eastAsia="仿宋_GB2312" w:cs="宋体"/>
          <w:b w:val="0"/>
          <w:bCs w:val="0"/>
          <w:color w:val="auto"/>
          <w:sz w:val="28"/>
          <w:szCs w:val="28"/>
        </w:rPr>
        <w:t>列明装配式建筑相关设计依据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ascii="Times New Roman" w:hAnsi="Times New Roman" w:eastAsia="仿宋_GB2312" w:cs="宋体"/>
          <w:sz w:val="28"/>
          <w:szCs w:val="28"/>
        </w:rPr>
        <w:t>1.《装配式建筑评价标准》GB/T51129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hint="default" w:ascii="Times New Roman" w:hAnsi="Times New Roman" w:eastAsia="仿宋_GB2312" w:cs="宋体"/>
          <w:sz w:val="28"/>
          <w:szCs w:val="28"/>
        </w:rPr>
        <w:t>2</w:t>
      </w:r>
      <w:r>
        <w:rPr>
          <w:rFonts w:ascii="Times New Roman" w:hAnsi="Times New Roman" w:eastAsia="仿宋_GB2312" w:cs="宋体"/>
          <w:sz w:val="28"/>
          <w:szCs w:val="28"/>
        </w:rPr>
        <w:t>.《装配式混凝土建筑技术标准》GB/T51231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hint="default" w:ascii="Times New Roman" w:hAnsi="Times New Roman" w:eastAsia="仿宋_GB2312" w:cs="宋体"/>
          <w:sz w:val="28"/>
          <w:szCs w:val="28"/>
        </w:rPr>
        <w:t>3</w:t>
      </w:r>
      <w:r>
        <w:rPr>
          <w:rFonts w:ascii="Times New Roman" w:hAnsi="Times New Roman" w:eastAsia="仿宋_GB2312" w:cs="宋体"/>
          <w:sz w:val="28"/>
          <w:szCs w:val="28"/>
        </w:rPr>
        <w:t>.《装配式木结构建筑技术标准》GB/T51233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hint="default" w:ascii="Times New Roman" w:hAnsi="Times New Roman" w:eastAsia="仿宋_GB2312" w:cs="宋体"/>
          <w:sz w:val="28"/>
          <w:szCs w:val="28"/>
        </w:rPr>
        <w:t>4</w:t>
      </w:r>
      <w:r>
        <w:rPr>
          <w:rFonts w:ascii="Times New Roman" w:hAnsi="Times New Roman" w:eastAsia="仿宋_GB2312" w:cs="宋体"/>
          <w:sz w:val="28"/>
          <w:szCs w:val="28"/>
        </w:rPr>
        <w:t>.《装配式钢结构建筑技术标准》GB/T51232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ascii="Times New Roman" w:hAnsi="Times New Roman" w:eastAsia="仿宋_GB2312" w:cs="宋体"/>
          <w:sz w:val="28"/>
          <w:szCs w:val="28"/>
        </w:rPr>
        <w:t>5.《海南省装配式建筑标准化设计技术标准》DBJ46-061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ascii="Times New Roman" w:hAnsi="Times New Roman" w:eastAsia="仿宋_GB2312" w:cs="宋体"/>
          <w:sz w:val="28"/>
          <w:szCs w:val="28"/>
        </w:rPr>
        <w:t>6.</w:t>
      </w:r>
      <w:r>
        <w:rPr>
          <w:rFonts w:ascii="Times New Roman" w:hAnsi="Times New Roman" w:eastAsia="仿宋_GB2312" w:cs="宋体"/>
          <w:sz w:val="28"/>
          <w:szCs w:val="28"/>
          <w:lang w:val="zh-CN"/>
        </w:rPr>
        <w:t>《</w:t>
      </w:r>
      <w:r>
        <w:rPr>
          <w:rFonts w:ascii="Times New Roman" w:hAnsi="Times New Roman" w:eastAsia="仿宋_GB2312" w:cs="宋体"/>
          <w:sz w:val="28"/>
          <w:szCs w:val="28"/>
        </w:rPr>
        <w:t>海南省装配式内装修技术标准</w:t>
      </w:r>
      <w:r>
        <w:rPr>
          <w:rFonts w:ascii="Times New Roman" w:hAnsi="Times New Roman" w:eastAsia="仿宋_GB2312" w:cs="宋体"/>
          <w:sz w:val="28"/>
          <w:szCs w:val="28"/>
          <w:lang w:val="zh-CN"/>
        </w:rPr>
        <w:t>》</w:t>
      </w:r>
      <w:r>
        <w:rPr>
          <w:rFonts w:ascii="Times New Roman" w:hAnsi="Times New Roman" w:eastAsia="仿宋_GB2312" w:cs="宋体"/>
          <w:sz w:val="28"/>
          <w:szCs w:val="28"/>
        </w:rPr>
        <w:t>DBJ46-063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宋体"/>
          <w:sz w:val="28"/>
          <w:szCs w:val="28"/>
        </w:rPr>
      </w:pPr>
      <w:r>
        <w:rPr>
          <w:rFonts w:ascii="Times New Roman" w:hAnsi="Times New Roman" w:eastAsia="仿宋_GB2312" w:cs="宋体"/>
          <w:sz w:val="28"/>
          <w:szCs w:val="28"/>
        </w:rPr>
        <w:t>7.</w:t>
      </w:r>
      <w:r>
        <w:rPr>
          <w:rFonts w:ascii="Times New Roman" w:hAnsi="Times New Roman" w:eastAsia="仿宋_GB2312" w:cs="宋体"/>
          <w:sz w:val="28"/>
          <w:szCs w:val="28"/>
          <w:lang w:val="zh-CN"/>
        </w:rPr>
        <w:t>《</w:t>
      </w:r>
      <w:r>
        <w:rPr>
          <w:rFonts w:ascii="Times New Roman" w:hAnsi="Times New Roman" w:eastAsia="仿宋_GB2312" w:cs="宋体"/>
          <w:sz w:val="28"/>
          <w:szCs w:val="28"/>
        </w:rPr>
        <w:t>海南省建筑钢结构防腐技术标准</w:t>
      </w:r>
      <w:r>
        <w:rPr>
          <w:rFonts w:ascii="Times New Roman" w:hAnsi="Times New Roman" w:eastAsia="仿宋_GB2312" w:cs="宋体"/>
          <w:sz w:val="28"/>
          <w:szCs w:val="28"/>
          <w:lang w:val="zh-CN"/>
        </w:rPr>
        <w:t>》</w:t>
      </w:r>
      <w:r>
        <w:rPr>
          <w:rFonts w:ascii="Times New Roman" w:hAnsi="Times New Roman" w:eastAsia="仿宋_GB2312" w:cs="宋体"/>
          <w:sz w:val="28"/>
          <w:szCs w:val="28"/>
        </w:rPr>
        <w:t>DBJ46-057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宋体"/>
          <w:sz w:val="28"/>
          <w:szCs w:val="28"/>
        </w:rPr>
        <w:t>.《海南省装配式建筑装配率计算规则》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宋体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 w:cs="宋体"/>
          <w:sz w:val="28"/>
          <w:szCs w:val="28"/>
        </w:rPr>
        <w:t>. 国家、海南省现行的相关法律、法规、规范性文件等</w:t>
      </w:r>
    </w:p>
    <w:p>
      <w:pPr>
        <w:numPr>
          <w:ilvl w:val="0"/>
          <w:numId w:val="1"/>
        </w:numPr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1" w:name="_Toc136534502"/>
      <w:r>
        <w:rPr>
          <w:rFonts w:ascii="仿宋_GB2312" w:hAnsi="仿宋_GB2312" w:eastAsia="仿宋_GB2312" w:cs="仿宋_GB2312"/>
          <w:b/>
          <w:bCs/>
          <w:sz w:val="32"/>
          <w:szCs w:val="32"/>
        </w:rPr>
        <w:t>装配式建筑实施概况</w:t>
      </w:r>
      <w:bookmarkEnd w:id="1"/>
    </w:p>
    <w:p>
      <w:pPr>
        <w:spacing w:line="360" w:lineRule="auto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 实施装配式建筑面积：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ascii="仿宋_GB2312" w:hAnsi="仿宋_GB2312" w:eastAsia="仿宋_GB2312" w:cs="仿宋_GB2312"/>
          <w:sz w:val="28"/>
          <w:szCs w:val="28"/>
        </w:rPr>
        <w:t>m</w:t>
      </w:r>
      <w:r>
        <w:rPr>
          <w:rFonts w:ascii="仿宋_GB2312" w:hAnsi="仿宋_GB2312" w:eastAsia="仿宋_GB2312" w:cs="仿宋_GB2312"/>
          <w:sz w:val="28"/>
          <w:szCs w:val="28"/>
          <w:vertAlign w:val="superscript"/>
        </w:rPr>
        <w:t xml:space="preserve">2 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tbl>
      <w:tblPr>
        <w:tblStyle w:val="11"/>
        <w:tblpPr w:leftFromText="180" w:rightFromText="180" w:vertAnchor="text" w:horzAnchor="page" w:tblpX="12097" w:tblpY="45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77"/>
        <w:gridCol w:w="1763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单体编号</w:t>
            </w: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层数</w:t>
            </w: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装配式实施范围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  <w:highlight w:val="yellow"/>
              </w:rPr>
              <w:t>装配式技术应用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单体装配式面积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单体编号</w:t>
            </w: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层数</w:t>
            </w: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装配式实施范围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  <w:highlight w:val="yellow"/>
              </w:rPr>
              <w:t>装配式技术应用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单体装配式面积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单体编号</w:t>
            </w: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层数</w:t>
            </w: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装配式实施范围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  <w:highlight w:val="yellow"/>
              </w:rPr>
              <w:t>装配式技术应用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单体装配式面积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单体编号</w:t>
            </w: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层数</w:t>
            </w: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装配式实施范围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  <w:highlight w:val="yellow"/>
              </w:rPr>
              <w:t>装配式技术应用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单体装配式面积</w:t>
            </w: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632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34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33" w:type="pct"/>
          </w:tcPr>
          <w:p>
            <w:pPr>
              <w:spacing w:line="360" w:lineRule="auto"/>
              <w:ind w:left="315" w:hanging="315" w:hangingChars="150"/>
              <w:jc w:val="center"/>
              <w:rPr>
                <w:rFonts w:hint="default" w:ascii="宋体" w:hAnsi="宋体" w:cs="宋体"/>
                <w:szCs w:val="21"/>
              </w:rPr>
            </w:pPr>
          </w:p>
        </w:tc>
      </w:tr>
    </w:tbl>
    <w:tbl>
      <w:tblPr>
        <w:tblStyle w:val="11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36"/>
        <w:gridCol w:w="1915"/>
        <w:gridCol w:w="1915"/>
        <w:gridCol w:w="225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单体编号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层数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装配式实施范围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装配式技术应用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单体装配建筑面积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例：1#楼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1F-15F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2F-15F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预制柱、叠合楼板、预制楼梯、预制内隔墙、装配式卫生间、管线分离等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XXXX㎡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51.2%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.装配式楼栋总平面示意图（项目总平面图中应标识清楚具体实施的装配式楼栋）。</w:t>
      </w:r>
    </w:p>
    <w:p>
      <w:pPr>
        <w:numPr>
          <w:ilvl w:val="0"/>
          <w:numId w:val="1"/>
        </w:numPr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2" w:name="_Toc136534506"/>
      <w:r>
        <w:rPr>
          <w:rFonts w:ascii="仿宋_GB2312" w:hAnsi="仿宋_GB2312" w:eastAsia="仿宋_GB2312" w:cs="仿宋_GB2312"/>
          <w:b/>
          <w:bCs/>
          <w:sz w:val="32"/>
          <w:szCs w:val="32"/>
        </w:rPr>
        <w:t>装配式建筑评分表</w:t>
      </w:r>
      <w:bookmarkEnd w:id="2"/>
      <w:bookmarkStart w:id="9" w:name="_GoBack"/>
      <w:bookmarkEnd w:id="9"/>
    </w:p>
    <w:p>
      <w:pPr>
        <w:spacing w:line="300" w:lineRule="auto"/>
        <w:jc w:val="center"/>
        <w:rPr>
          <w:rFonts w:hint="default"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海南省装配式建筑装配率计算规则（2021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年</w:t>
      </w:r>
      <w:r>
        <w:rPr>
          <w:rFonts w:ascii="仿宋" w:hAnsi="仿宋" w:eastAsia="仿宋" w:cs="仿宋"/>
          <w:b/>
          <w:bCs/>
          <w:sz w:val="24"/>
          <w:szCs w:val="24"/>
        </w:rPr>
        <w:t>修订版）评分表【必填】</w:t>
      </w:r>
    </w:p>
    <w:p>
      <w:pPr>
        <w:spacing w:line="300" w:lineRule="auto"/>
        <w:jc w:val="center"/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</w:rPr>
        <w:t>（建筑专业总说明中应包括评分表）</w:t>
      </w:r>
    </w:p>
    <w:tbl>
      <w:tblPr>
        <w:tblStyle w:val="10"/>
        <w:tblW w:w="910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338"/>
        <w:gridCol w:w="1575"/>
        <w:gridCol w:w="1200"/>
        <w:gridCol w:w="1675"/>
        <w:gridCol w:w="987"/>
        <w:gridCol w:w="713"/>
        <w:gridCol w:w="58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4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评价项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评价要求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评价分值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最低分值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实际</w:t>
            </w:r>
            <w:r>
              <w:rPr>
                <w:rFonts w:ascii="仿宋_GB2312" w:hAnsi="仿宋_GB2312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8" w:hRule="atLeast"/>
        </w:trPr>
        <w:tc>
          <w:tcPr>
            <w:tcW w:w="13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主体结构（50分）Q1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柱、支撑、承重墙、延性墙板等竖向构件（30分）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"/>
              </w:rPr>
              <w:t>20</w:t>
            </w:r>
            <w:r>
              <w:rPr>
                <w:rFonts w:ascii="仿宋_GB2312" w:hAnsi="仿宋_GB2312" w:eastAsia="仿宋_GB2312" w:cs="仿宋_GB2312"/>
                <w:szCs w:val="21"/>
              </w:rPr>
              <w:t>%≤竖向构件比例≤80%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0～30＊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梁、板、楼梯、阳台、空调板等水平构件（20分）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70%≤比例≤80%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10～20＊</w:t>
            </w: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围护墙和内隔墙</w:t>
            </w:r>
          </w:p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（20分）Q2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非承重围护墙非砌筑（5分）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比例≥80%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围护墙与隔热、装饰一体化（5分）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50%≤比例≤80%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2～5＊</w:t>
            </w: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内隔墙非砌筑（5分）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比例≥50%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内隔墙与管线、装修一体化（5分）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50%≤比例≤80%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2～5＊</w:t>
            </w: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8" w:hRule="atLeast"/>
        </w:trPr>
        <w:tc>
          <w:tcPr>
            <w:tcW w:w="13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装修和设备管线</w:t>
            </w:r>
          </w:p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（30分）Q3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干式工法楼面、地面（7分）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免找平薄贴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比例≥70%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2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  <w:highlight w:val="yellow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装配式装修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集成厨房（8分）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免找平薄贴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70%≤比例≤90%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2～4＊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装配式装修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4～8＊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集成卫生间（8分）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免找平薄贴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61"/>
                <w:tab w:val="right" w:pos="2402"/>
              </w:tabs>
              <w:snapToGrid w:val="0"/>
              <w:jc w:val="left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70%≤比例≤90%</w:t>
            </w:r>
            <w:r>
              <w:rPr>
                <w:rFonts w:ascii="仿宋_GB2312" w:hAnsi="仿宋_GB2312" w:eastAsia="仿宋_GB2312" w:cs="仿宋_GB2312"/>
                <w:szCs w:val="21"/>
              </w:rPr>
              <w:tab/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2～4＊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yellow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装配式装修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4～8＊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管线分离（7分）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50%≤比例≤80%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4～7＊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其他(6分)Qt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墙体与窗框一体化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比例≥70%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组合成型钢筋制品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比例≥70%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市政先行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小区配套附属工程标准化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"/>
              </w:rPr>
              <w:t>太阳能光伏应用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比例≥40%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比例≥60%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</w:trPr>
        <w:tc>
          <w:tcPr>
            <w:tcW w:w="74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评价项目中缺少的评价项分值总和：Q4</w:t>
            </w: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</w:trPr>
        <w:tc>
          <w:tcPr>
            <w:tcW w:w="74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装配率：P=（Q1+Q2+Q3+Qt）/（100-Q4）*100%</w:t>
            </w: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/>
          <w:bCs/>
          <w:sz w:val="22"/>
          <w:szCs w:val="22"/>
        </w:rPr>
      </w:pPr>
    </w:p>
    <w:p>
      <w:pPr>
        <w:spacing w:line="300" w:lineRule="auto"/>
        <w:jc w:val="center"/>
        <w:rPr>
          <w:rFonts w:hint="default"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《装配式建筑评价标准》GB/T51129-2017评分表【选填】</w:t>
      </w:r>
    </w:p>
    <w:tbl>
      <w:tblPr>
        <w:tblStyle w:val="11"/>
        <w:tblW w:w="53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577"/>
        <w:gridCol w:w="1797"/>
        <w:gridCol w:w="1258"/>
        <w:gridCol w:w="119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06" w:type="pct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评价项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评价要求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评价分值</w:t>
            </w:r>
          </w:p>
        </w:tc>
        <w:tc>
          <w:tcPr>
            <w:tcW w:w="65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最低分值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实际</w:t>
            </w:r>
            <w:r>
              <w:rPr>
                <w:rFonts w:ascii="仿宋_GB2312" w:hAnsi="仿宋_GB2312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9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主体结构（50分）Q1</w:t>
            </w: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柱、支撑、承重墙、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延性墙板等竖向构件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35%≤比例≤80%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20～30*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梁、板、楼梯、阳台、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空调板等构件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70%≤比例≤80%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10～20*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围护墙和内隔墙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（20分）Q2</w:t>
            </w: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非承重围护墙非砌筑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比例≥80%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围护墙与保温、隔热、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装饰一体化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50%≤比例≤80%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2～5*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内隔墙非砌筑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比例≥50%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内隔墙与管线、装修一体化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50%≤比例≤80%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2～5*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装修和设备管线（30分）Q3</w:t>
            </w: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全装修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5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干式工法楼面、地面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比例≥70%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集成厨房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70%≤比例≤90%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3～6*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集成卫生间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70%≤比例≤90%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3～6*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管线分离</w:t>
            </w:r>
          </w:p>
        </w:tc>
        <w:tc>
          <w:tcPr>
            <w:tcW w:w="984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50%≤比例≤70%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4～6*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  <w:tc>
          <w:tcPr>
            <w:tcW w:w="665" w:type="pc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9" w:type="pct"/>
            <w:gridSpan w:val="4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评价项目中缺少的评价项分值总和：Q4</w:t>
            </w:r>
          </w:p>
        </w:tc>
        <w:tc>
          <w:tcPr>
            <w:tcW w:w="1320" w:type="pct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9" w:type="pct"/>
            <w:gridSpan w:val="4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装配率：P=（Q1+Q2+Q3）/（100-Q4）*100%</w:t>
            </w:r>
          </w:p>
        </w:tc>
        <w:tc>
          <w:tcPr>
            <w:tcW w:w="1320" w:type="pct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560"/>
        <w:rPr>
          <w:rFonts w:hint="default" w:eastAsia="仿宋"/>
        </w:rPr>
      </w:pPr>
    </w:p>
    <w:p>
      <w:pPr>
        <w:numPr>
          <w:ilvl w:val="0"/>
          <w:numId w:val="0"/>
        </w:numPr>
        <w:jc w:val="both"/>
        <w:outlineLvl w:val="9"/>
        <w:rPr>
          <w:rFonts w:hint="default"/>
        </w:rPr>
      </w:pPr>
    </w:p>
    <w:p>
      <w:pPr>
        <w:numPr>
          <w:ilvl w:val="0"/>
          <w:numId w:val="1"/>
        </w:numPr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3" w:name="_Toc136534507"/>
      <w:bookmarkEnd w:id="3"/>
      <w:bookmarkStart w:id="4" w:name="_Toc136534508"/>
      <w:r>
        <w:rPr>
          <w:rFonts w:ascii="仿宋_GB2312" w:hAnsi="仿宋_GB2312" w:eastAsia="仿宋_GB2312" w:cs="仿宋_GB2312"/>
          <w:b/>
          <w:bCs/>
          <w:sz w:val="32"/>
          <w:szCs w:val="32"/>
        </w:rPr>
        <w:t>施工图中应包括以下内容：</w:t>
      </w:r>
      <w:bookmarkEnd w:id="4"/>
    </w:p>
    <w:p>
      <w:pPr>
        <w:pStyle w:val="16"/>
        <w:numPr>
          <w:ilvl w:val="0"/>
          <w:numId w:val="2"/>
        </w:numPr>
        <w:ind w:firstLineChars="0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5" w:name="_Toc136534509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建筑：</w:t>
      </w:r>
      <w:bookmarkEnd w:id="5"/>
    </w:p>
    <w:p>
      <w:pPr>
        <w:pStyle w:val="16"/>
        <w:numPr>
          <w:ilvl w:val="0"/>
          <w:numId w:val="3"/>
        </w:numPr>
        <w:ind w:firstLineChars="0"/>
        <w:jc w:val="left"/>
        <w:outlineLvl w:val="0"/>
        <w:rPr>
          <w:rFonts w:hint="default"/>
          <w:sz w:val="28"/>
          <w:szCs w:val="28"/>
        </w:rPr>
      </w:pPr>
      <w:r>
        <w:rPr>
          <w:sz w:val="28"/>
          <w:szCs w:val="28"/>
        </w:rPr>
        <w:t>总说明</w:t>
      </w:r>
    </w:p>
    <w:p>
      <w:pPr>
        <w:pStyle w:val="16"/>
        <w:numPr>
          <w:ilvl w:val="0"/>
          <w:numId w:val="4"/>
        </w:numPr>
        <w:ind w:left="0" w:firstLine="560"/>
        <w:jc w:val="left"/>
        <w:outlineLvl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装配式建筑设计概况及设计依据；</w:t>
      </w:r>
    </w:p>
    <w:p>
      <w:pPr>
        <w:pStyle w:val="16"/>
        <w:numPr>
          <w:ilvl w:val="0"/>
          <w:numId w:val="4"/>
        </w:numPr>
        <w:ind w:left="0" w:firstLine="560"/>
        <w:jc w:val="left"/>
        <w:outlineLvl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建筑专业技术选型内容，拟采用的</w:t>
      </w:r>
      <w:r>
        <w:rPr>
          <w:sz w:val="28"/>
          <w:szCs w:val="28"/>
        </w:rPr>
        <w:t>技术措施、连接节点、构造措施说明，包括但不限于非承重围护墙非砌筑、围护墙与隔热、装饰一体化应用、内隔墙非砌筑设计、内隔墙与管线、装修一体化设计、装配式装修、干式工法楼面、地面、集成厨房、集成卫生间、太阳能光伏应用等内容；</w:t>
      </w:r>
    </w:p>
    <w:p>
      <w:pPr>
        <w:pStyle w:val="16"/>
        <w:numPr>
          <w:ilvl w:val="0"/>
          <w:numId w:val="4"/>
        </w:numPr>
        <w:ind w:left="0" w:firstLine="560"/>
        <w:jc w:val="left"/>
        <w:outlineLvl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装配式装修设计的范围及技术内容；</w:t>
      </w:r>
    </w:p>
    <w:p>
      <w:pPr>
        <w:pStyle w:val="16"/>
        <w:numPr>
          <w:ilvl w:val="0"/>
          <w:numId w:val="4"/>
        </w:numPr>
        <w:ind w:left="0" w:firstLine="560"/>
        <w:jc w:val="left"/>
        <w:outlineLvl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装配式建筑特有的建筑节能设计内容</w:t>
      </w:r>
    </w:p>
    <w:p>
      <w:pPr>
        <w:pStyle w:val="16"/>
        <w:numPr>
          <w:ilvl w:val="0"/>
          <w:numId w:val="3"/>
        </w:numPr>
        <w:ind w:firstLineChars="0"/>
        <w:jc w:val="left"/>
        <w:outlineLvl w:val="0"/>
        <w:rPr>
          <w:rFonts w:hint="default"/>
          <w:sz w:val="28"/>
          <w:szCs w:val="28"/>
        </w:rPr>
      </w:pPr>
      <w:r>
        <w:rPr>
          <w:sz w:val="28"/>
          <w:szCs w:val="28"/>
        </w:rPr>
        <w:t>施工图</w:t>
      </w:r>
    </w:p>
    <w:p>
      <w:pPr>
        <w:numPr>
          <w:ilvl w:val="0"/>
          <w:numId w:val="0"/>
        </w:numPr>
        <w:ind w:firstLine="560" w:firstLineChars="20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在平面图、立面图、剖面图、详图等设计图纸中用不同图例注明采用预制构件（柱、剪力墙、内外墙体、凸窗等）位置、板块拼缝位置、防水、保温、隔声、防火等典型构造大样和建筑构筑配件安装措施、卫生间等有水房间的地面、墙体、吊顶节点大样、计算应用汇总数据等。</w:t>
      </w:r>
    </w:p>
    <w:p>
      <w:pPr>
        <w:pStyle w:val="16"/>
        <w:numPr>
          <w:ilvl w:val="0"/>
          <w:numId w:val="2"/>
        </w:numPr>
        <w:ind w:firstLineChars="0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6" w:name="_Toc136534510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结构：</w:t>
      </w:r>
      <w:bookmarkEnd w:id="6"/>
    </w:p>
    <w:p>
      <w:pPr>
        <w:pStyle w:val="16"/>
        <w:numPr>
          <w:ilvl w:val="0"/>
          <w:numId w:val="5"/>
        </w:numPr>
        <w:ind w:left="360" w:hanging="360" w:firstLineChars="0"/>
        <w:rPr>
          <w:rFonts w:hint="default"/>
          <w:sz w:val="28"/>
          <w:szCs w:val="28"/>
        </w:rPr>
      </w:pPr>
      <w:r>
        <w:rPr>
          <w:sz w:val="28"/>
          <w:szCs w:val="28"/>
        </w:rPr>
        <w:t>总说明</w:t>
      </w:r>
    </w:p>
    <w:p>
      <w:pPr>
        <w:pStyle w:val="16"/>
        <w:numPr>
          <w:ilvl w:val="0"/>
          <w:numId w:val="6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装配式建筑设计依据；</w:t>
      </w:r>
    </w:p>
    <w:p>
      <w:pPr>
        <w:pStyle w:val="16"/>
        <w:numPr>
          <w:ilvl w:val="0"/>
          <w:numId w:val="6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装配式建筑结构设计目标及结构技术总述；</w:t>
      </w:r>
    </w:p>
    <w:p>
      <w:pPr>
        <w:pStyle w:val="16"/>
        <w:numPr>
          <w:ilvl w:val="0"/>
          <w:numId w:val="6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预制构件技术相关说明，拟采用的</w:t>
      </w:r>
      <w:r>
        <w:rPr>
          <w:sz w:val="28"/>
          <w:szCs w:val="28"/>
        </w:rPr>
        <w:t>技术措施、典型连接节点、构造措施说明，包括但不限于竖向结构、水平结构、地下室装配式设计（包括预制构件混凝土强度等级、钢筋种类、钢筋保护层厚度等）等内容；</w:t>
      </w:r>
    </w:p>
    <w:p>
      <w:pPr>
        <w:pStyle w:val="16"/>
        <w:numPr>
          <w:ilvl w:val="0"/>
          <w:numId w:val="6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施工、吊装、临时支撑等特殊要求及其他需要说明的内容等；</w:t>
      </w:r>
    </w:p>
    <w:p>
      <w:pPr>
        <w:pStyle w:val="16"/>
        <w:numPr>
          <w:ilvl w:val="0"/>
          <w:numId w:val="6"/>
        </w:numPr>
        <w:ind w:left="0" w:firstLine="560"/>
        <w:jc w:val="left"/>
        <w:rPr>
          <w:rFonts w:hint="default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对预制构件脱模、翻转等要求。</w:t>
      </w:r>
    </w:p>
    <w:p>
      <w:pPr>
        <w:pStyle w:val="16"/>
        <w:numPr>
          <w:ilvl w:val="0"/>
          <w:numId w:val="5"/>
        </w:numPr>
        <w:ind w:left="360" w:hanging="360" w:firstLineChars="0"/>
        <w:rPr>
          <w:rFonts w:hint="default"/>
          <w:sz w:val="28"/>
          <w:szCs w:val="28"/>
        </w:rPr>
      </w:pPr>
      <w:r>
        <w:rPr>
          <w:sz w:val="28"/>
          <w:szCs w:val="28"/>
        </w:rPr>
        <w:t>施工图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在平面图、立面图、详图等设计图纸中用不同图例注明采用预制构件（柱、剪力墙、叠合楼板、预制楼梯等）位置、板块拼缝位置、计算应用汇总数据等。</w:t>
      </w:r>
    </w:p>
    <w:p>
      <w:pPr>
        <w:pStyle w:val="16"/>
        <w:numPr>
          <w:ilvl w:val="0"/>
          <w:numId w:val="2"/>
        </w:numPr>
        <w:ind w:firstLineChars="0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7" w:name="_Toc136534511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设备专业：</w:t>
      </w:r>
      <w:bookmarkEnd w:id="7"/>
    </w:p>
    <w:p>
      <w:pPr>
        <w:pStyle w:val="16"/>
        <w:numPr>
          <w:ilvl w:val="0"/>
          <w:numId w:val="7"/>
        </w:numPr>
        <w:ind w:left="360" w:hanging="360" w:firstLineChars="0"/>
        <w:rPr>
          <w:rFonts w:hint="default"/>
          <w:sz w:val="28"/>
          <w:szCs w:val="28"/>
        </w:rPr>
      </w:pPr>
      <w:r>
        <w:rPr>
          <w:sz w:val="28"/>
          <w:szCs w:val="28"/>
        </w:rPr>
        <w:t>总说明</w:t>
      </w:r>
    </w:p>
    <w:p>
      <w:pPr>
        <w:pStyle w:val="16"/>
        <w:numPr>
          <w:ilvl w:val="0"/>
          <w:numId w:val="8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装配式建筑给排水、电气专业设计概况及目标；</w:t>
      </w:r>
    </w:p>
    <w:p>
      <w:pPr>
        <w:pStyle w:val="16"/>
        <w:numPr>
          <w:ilvl w:val="0"/>
          <w:numId w:val="8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建筑设备、管线及附件等在预制构件中的敷设方式及处理原则</w:t>
      </w:r>
      <w:r>
        <w:rPr>
          <w:sz w:val="28"/>
          <w:szCs w:val="28"/>
        </w:rPr>
        <w:t>；</w:t>
      </w:r>
    </w:p>
    <w:p>
      <w:pPr>
        <w:pStyle w:val="16"/>
        <w:numPr>
          <w:ilvl w:val="0"/>
          <w:numId w:val="8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在预制构件中预留孔洞、沟槽、预埋管线等布置的设计原则；</w:t>
      </w:r>
    </w:p>
    <w:p>
      <w:pPr>
        <w:pStyle w:val="16"/>
        <w:numPr>
          <w:ilvl w:val="0"/>
          <w:numId w:val="8"/>
        </w:numPr>
        <w:ind w:left="0" w:firstLine="560"/>
        <w:jc w:val="left"/>
        <w:rPr>
          <w:sz w:val="28"/>
          <w:szCs w:val="28"/>
        </w:rPr>
      </w:pPr>
      <w:r>
        <w:rPr>
          <w:rFonts w:hint="default"/>
          <w:sz w:val="28"/>
          <w:szCs w:val="28"/>
        </w:rPr>
        <w:t>采用主要的装配式建筑技术和措施。如卫生间排水形式、管材材质及接口方式、预埋套管、管道安装方式等。</w:t>
      </w:r>
    </w:p>
    <w:p>
      <w:pPr>
        <w:pStyle w:val="16"/>
        <w:numPr>
          <w:ilvl w:val="0"/>
          <w:numId w:val="7"/>
        </w:numPr>
        <w:ind w:left="360" w:hanging="360" w:firstLineChars="0"/>
        <w:rPr>
          <w:rFonts w:hint="default"/>
          <w:sz w:val="28"/>
          <w:szCs w:val="28"/>
        </w:rPr>
      </w:pPr>
      <w:r>
        <w:rPr>
          <w:sz w:val="28"/>
          <w:szCs w:val="28"/>
        </w:rPr>
        <w:t>施工图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在平面图中用不同图例注明采用可分离管线与不可分离管线位置、长度及计算应用汇总数据等。</w:t>
      </w:r>
    </w:p>
    <w:p>
      <w:pPr>
        <w:numPr>
          <w:ilvl w:val="0"/>
          <w:numId w:val="0"/>
        </w:numPr>
        <w:jc w:val="both"/>
        <w:outlineLvl w:val="9"/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bookmarkStart w:id="8" w:name="_Toc136534512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pStyle w:val="16"/>
        <w:numPr>
          <w:ilvl w:val="0"/>
          <w:numId w:val="2"/>
        </w:numPr>
        <w:ind w:firstLineChars="0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其他：</w:t>
      </w:r>
      <w:bookmarkEnd w:id="8"/>
    </w:p>
    <w:p>
      <w:pPr>
        <w:pStyle w:val="16"/>
        <w:numPr>
          <w:ilvl w:val="0"/>
          <w:numId w:val="9"/>
        </w:numPr>
        <w:ind w:left="360" w:hanging="360" w:firstLineChars="0"/>
        <w:rPr>
          <w:rFonts w:hint="default"/>
          <w:sz w:val="28"/>
          <w:szCs w:val="28"/>
        </w:rPr>
      </w:pPr>
      <w:r>
        <w:rPr>
          <w:sz w:val="28"/>
          <w:szCs w:val="28"/>
        </w:rPr>
        <w:t>总说明</w:t>
      </w:r>
    </w:p>
    <w:p>
      <w:pPr>
        <w:pStyle w:val="16"/>
        <w:numPr>
          <w:ilvl w:val="0"/>
          <w:numId w:val="10"/>
        </w:numPr>
        <w:ind w:left="0" w:firstLine="56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其他得分项技术选型内容，拟采用的</w:t>
      </w:r>
      <w:r>
        <w:rPr>
          <w:sz w:val="28"/>
          <w:szCs w:val="28"/>
        </w:rPr>
        <w:t>技术措施、连接节点、构造措施说明等，包括但不限于市政先行、小区配套附属工程标准化、组合成型钢筋制品、墙体与窗框一体化等内容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jc w:val="both"/>
        <w:outlineLvl w:val="9"/>
      </w:pP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</w:p>
  <w:p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hint="default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521ED"/>
    <w:multiLevelType w:val="singleLevel"/>
    <w:tmpl w:val="009521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E006A0"/>
    <w:multiLevelType w:val="multilevel"/>
    <w:tmpl w:val="09E006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A055F8"/>
    <w:multiLevelType w:val="multilevel"/>
    <w:tmpl w:val="32A055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001440"/>
    <w:multiLevelType w:val="multilevel"/>
    <w:tmpl w:val="38001440"/>
    <w:lvl w:ilvl="0" w:tentative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EA4AB1"/>
    <w:multiLevelType w:val="multilevel"/>
    <w:tmpl w:val="46EA4A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47712D"/>
    <w:multiLevelType w:val="multilevel"/>
    <w:tmpl w:val="4947712D"/>
    <w:lvl w:ilvl="0" w:tentative="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B3C083C"/>
    <w:multiLevelType w:val="multilevel"/>
    <w:tmpl w:val="4B3C083C"/>
    <w:lvl w:ilvl="0" w:tentative="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50C717E"/>
    <w:multiLevelType w:val="multilevel"/>
    <w:tmpl w:val="550C71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487818"/>
    <w:multiLevelType w:val="multilevel"/>
    <w:tmpl w:val="60487818"/>
    <w:lvl w:ilvl="0" w:tentative="0">
      <w:start w:val="1"/>
      <w:numFmt w:val="decimal"/>
      <w:lvlText w:val="%1）"/>
      <w:lvlJc w:val="left"/>
      <w:pPr>
        <w:ind w:left="18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B53216B"/>
    <w:multiLevelType w:val="multilevel"/>
    <w:tmpl w:val="6B53216B"/>
    <w:lvl w:ilvl="0" w:tentative="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YTc2NGUyY2UwMjA0YWVhZjA0MTg4MWE1Y2I5NzUifQ=="/>
  </w:docVars>
  <w:rsids>
    <w:rsidRoot w:val="7C1033CA"/>
    <w:rsid w:val="00015732"/>
    <w:rsid w:val="001757EC"/>
    <w:rsid w:val="00224252"/>
    <w:rsid w:val="00232534"/>
    <w:rsid w:val="00253AD0"/>
    <w:rsid w:val="003C585C"/>
    <w:rsid w:val="0055736D"/>
    <w:rsid w:val="005876C8"/>
    <w:rsid w:val="005A4A15"/>
    <w:rsid w:val="005D379F"/>
    <w:rsid w:val="005F5B64"/>
    <w:rsid w:val="00734101"/>
    <w:rsid w:val="00797088"/>
    <w:rsid w:val="007A2A44"/>
    <w:rsid w:val="008436B0"/>
    <w:rsid w:val="0088468A"/>
    <w:rsid w:val="0093035F"/>
    <w:rsid w:val="00A46DAB"/>
    <w:rsid w:val="00A5682D"/>
    <w:rsid w:val="00A669BC"/>
    <w:rsid w:val="00AF0C56"/>
    <w:rsid w:val="00B2399F"/>
    <w:rsid w:val="00C6656A"/>
    <w:rsid w:val="00C90942"/>
    <w:rsid w:val="00D73C4A"/>
    <w:rsid w:val="00DA2FC7"/>
    <w:rsid w:val="00DC2F36"/>
    <w:rsid w:val="00E21D51"/>
    <w:rsid w:val="00F56B48"/>
    <w:rsid w:val="00F80F2B"/>
    <w:rsid w:val="0302294F"/>
    <w:rsid w:val="04AE0333"/>
    <w:rsid w:val="06EB1E29"/>
    <w:rsid w:val="0BCC58A1"/>
    <w:rsid w:val="12B35CFD"/>
    <w:rsid w:val="142632F6"/>
    <w:rsid w:val="145A469D"/>
    <w:rsid w:val="15E3048E"/>
    <w:rsid w:val="1731642A"/>
    <w:rsid w:val="18440F7D"/>
    <w:rsid w:val="1A965070"/>
    <w:rsid w:val="1C27413B"/>
    <w:rsid w:val="20C73955"/>
    <w:rsid w:val="220B2CE7"/>
    <w:rsid w:val="27C97EA4"/>
    <w:rsid w:val="281E73DF"/>
    <w:rsid w:val="29505963"/>
    <w:rsid w:val="295C4FE8"/>
    <w:rsid w:val="2A634029"/>
    <w:rsid w:val="2A8F42F2"/>
    <w:rsid w:val="2B77C659"/>
    <w:rsid w:val="2C416DBD"/>
    <w:rsid w:val="2C4231E6"/>
    <w:rsid w:val="2D6C160F"/>
    <w:rsid w:val="2F030A2A"/>
    <w:rsid w:val="2F8E71AA"/>
    <w:rsid w:val="31D125D7"/>
    <w:rsid w:val="333B433F"/>
    <w:rsid w:val="344B3FA7"/>
    <w:rsid w:val="37FA1204"/>
    <w:rsid w:val="3E842A6E"/>
    <w:rsid w:val="3F476FDD"/>
    <w:rsid w:val="3F570FB2"/>
    <w:rsid w:val="40D61850"/>
    <w:rsid w:val="43D21476"/>
    <w:rsid w:val="45CC15DB"/>
    <w:rsid w:val="49D03E56"/>
    <w:rsid w:val="4B726014"/>
    <w:rsid w:val="4FAD3644"/>
    <w:rsid w:val="53385177"/>
    <w:rsid w:val="55CC38A0"/>
    <w:rsid w:val="56085F32"/>
    <w:rsid w:val="560F58BD"/>
    <w:rsid w:val="56DE4C99"/>
    <w:rsid w:val="5BCB037B"/>
    <w:rsid w:val="5CEA1FDF"/>
    <w:rsid w:val="5ED47F98"/>
    <w:rsid w:val="5F1B7B4A"/>
    <w:rsid w:val="62861E42"/>
    <w:rsid w:val="64976A04"/>
    <w:rsid w:val="664942AD"/>
    <w:rsid w:val="703467AF"/>
    <w:rsid w:val="70FA4D98"/>
    <w:rsid w:val="71651051"/>
    <w:rsid w:val="71CA4040"/>
    <w:rsid w:val="75D948E9"/>
    <w:rsid w:val="7726371D"/>
    <w:rsid w:val="79BA68E9"/>
    <w:rsid w:val="7C1033CA"/>
    <w:rsid w:val="7CEC7892"/>
    <w:rsid w:val="7E3F34BB"/>
    <w:rsid w:val="DDFD5F99"/>
    <w:rsid w:val="FE3EC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</w:rPr>
  </w:style>
  <w:style w:type="paragraph" w:styleId="4">
    <w:name w:val="Body Text"/>
    <w:basedOn w:val="1"/>
    <w:qFormat/>
    <w:uiPriority w:val="1"/>
    <w:pPr>
      <w:autoSpaceDE w:val="0"/>
      <w:autoSpaceDN w:val="0"/>
    </w:pPr>
    <w:rPr>
      <w:rFonts w:ascii="宋体" w:hAnsi="宋体" w:cs="宋体"/>
      <w:sz w:val="28"/>
      <w:szCs w:val="28"/>
      <w:lang w:val="zh-CN" w:bidi="zh-CN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rPr>
      <w:szCs w:val="22"/>
    </w:rPr>
  </w:style>
  <w:style w:type="paragraph" w:styleId="9">
    <w:name w:val="annotation subject"/>
    <w:basedOn w:val="3"/>
    <w:next w:val="3"/>
    <w:link w:val="20"/>
    <w:qFormat/>
    <w:uiPriority w:val="0"/>
    <w:rPr>
      <w:rFonts w:ascii="Calibri" w:hAnsi="Calibri"/>
      <w:b/>
      <w:bCs/>
      <w:kern w:val="2"/>
      <w:sz w:val="21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styleId="16">
    <w:name w:val="List Paragraph"/>
    <w:basedOn w:val="1"/>
    <w:qFormat/>
    <w:uiPriority w:val="1"/>
    <w:pPr>
      <w:ind w:firstLine="420" w:firstLineChars="200"/>
    </w:pPr>
    <w:rPr>
      <w:szCs w:val="22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8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批注文字 Char"/>
    <w:basedOn w:val="12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批注主题 Char"/>
    <w:basedOn w:val="19"/>
    <w:link w:val="9"/>
    <w:qFormat/>
    <w:uiPriority w:val="0"/>
    <w:rPr>
      <w:rFonts w:ascii="Calibri" w:hAnsi="Calibri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2197</Words>
  <Characters>2471</Characters>
  <Lines>101</Lines>
  <Paragraphs>28</Paragraphs>
  <TotalTime>3</TotalTime>
  <ScaleCrop>false</ScaleCrop>
  <LinksUpToDate>false</LinksUpToDate>
  <CharactersWithSpaces>2529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2023-05-22T22:24:00Z</dcterms:created>
  <dc:creator>楊林青</dc:creator>
  <cp:lastModifiedBy>greatwall</cp:lastModifiedBy>
  <dcterms:modified xsi:type="dcterms:W3CDTF">2023-06-26T17:40:34Z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63397DC05A754FE8973BFEC7982ED08C</vt:lpwstr>
  </property>
</Properties>
</file>