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rPr>
      </w:pPr>
      <w:bookmarkStart w:id="0" w:name="_Toc99642392"/>
      <w:bookmarkStart w:id="1" w:name="_Toc99645942"/>
      <w:bookmarkStart w:id="2" w:name="_Toc99639517"/>
      <w:bookmarkStart w:id="3" w:name="_Toc78961151"/>
      <w:bookmarkStart w:id="4" w:name="_Toc92027389"/>
      <w:bookmarkStart w:id="5" w:name="_Toc99645823"/>
      <w:bookmarkStart w:id="6" w:name="_Toc397965640"/>
      <w:bookmarkStart w:id="7" w:name="_Toc86932857"/>
      <w:bookmarkStart w:id="8" w:name="_Toc99640027"/>
      <w:bookmarkStart w:id="9" w:name="_Toc82179362"/>
      <w:bookmarkStart w:id="10" w:name="_Toc99640542"/>
      <w:bookmarkStart w:id="11" w:name="_Toc99608276"/>
      <w:bookmarkStart w:id="12" w:name="_Toc99645546"/>
      <w:bookmarkStart w:id="13" w:name="_Toc404681284"/>
      <w:bookmarkStart w:id="14" w:name="_Toc99640453"/>
      <w:bookmarkStart w:id="15" w:name="_Toc99646245"/>
      <w:bookmarkStart w:id="16" w:name="_Toc43971102"/>
      <w:bookmarkStart w:id="17" w:name="_Toc99642144"/>
      <w:bookmarkStart w:id="18" w:name="_Toc99640832"/>
      <w:bookmarkStart w:id="19" w:name="_Toc99642751"/>
      <w:bookmarkStart w:id="20" w:name="_Toc99641511"/>
      <w:bookmarkStart w:id="21" w:name="_Toc30832"/>
      <w:bookmarkStart w:id="22" w:name="_Toc19985"/>
      <w:bookmarkStart w:id="23" w:name="_Toc28165"/>
      <w:r>
        <w:rPr>
          <w:b/>
          <w:sz w:val="28"/>
        </w:rPr>
        <mc:AlternateContent>
          <mc:Choice Requires="wps">
            <w:drawing>
              <wp:anchor distT="0" distB="0" distL="114300" distR="114300" simplePos="0" relativeHeight="251661312" behindDoc="0" locked="0" layoutInCell="1" allowOverlap="1">
                <wp:simplePos x="0" y="0"/>
                <wp:positionH relativeFrom="column">
                  <wp:posOffset>4133850</wp:posOffset>
                </wp:positionH>
                <wp:positionV relativeFrom="paragraph">
                  <wp:posOffset>-342900</wp:posOffset>
                </wp:positionV>
                <wp:extent cx="1981835" cy="1481455"/>
                <wp:effectExtent l="0" t="0" r="0" b="0"/>
                <wp:wrapNone/>
                <wp:docPr id="16" name="文本框 16"/>
                <wp:cNvGraphicFramePr/>
                <a:graphic xmlns:a="http://schemas.openxmlformats.org/drawingml/2006/main">
                  <a:graphicData uri="http://schemas.microsoft.com/office/word/2010/wordprocessingShape">
                    <wps:wsp>
                      <wps:cNvSpPr txBox="true">
                        <a:spLocks noChangeArrowheads="true"/>
                      </wps:cNvSpPr>
                      <wps:spPr bwMode="auto">
                        <a:xfrm>
                          <a:off x="0" y="0"/>
                          <a:ext cx="1981835" cy="1481455"/>
                        </a:xfrm>
                        <a:prstGeom prst="rect">
                          <a:avLst/>
                        </a:prstGeom>
                        <a:noFill/>
                        <a:ln>
                          <a:noFill/>
                        </a:ln>
                      </wps:spPr>
                      <wps:txbx>
                        <w:txbxContent>
                          <w:p>
                            <w:pPr>
                              <w:rPr>
                                <w:rFonts w:ascii="Adobe 黑体 Std R" w:hAnsi="Adobe 黑体 Std R" w:eastAsia="Adobe 黑体 Std R"/>
                                <w:sz w:val="144"/>
                                <w:szCs w:val="144"/>
                              </w:rPr>
                            </w:pPr>
                            <w:r>
                              <w:rPr>
                                <w:rFonts w:ascii="Adobe 黑体 Std R" w:hAnsi="Adobe 黑体 Std R" w:eastAsia="Adobe 黑体 Std R"/>
                                <w:sz w:val="144"/>
                                <w:szCs w:val="144"/>
                              </w:rPr>
                              <w:t>D</w:t>
                            </w:r>
                            <w:r>
                              <w:rPr>
                                <w:rFonts w:hint="eastAsia" w:ascii="Adobe 黑体 Std R" w:hAnsi="Adobe 黑体 Std R" w:eastAsia="Adobe 黑体 Std R"/>
                                <w:sz w:val="144"/>
                                <w:szCs w:val="144"/>
                              </w:rPr>
                              <w:t>B</w:t>
                            </w:r>
                          </w:p>
                        </w:txbxContent>
                      </wps:txbx>
                      <wps:bodyPr rot="0" vert="horz" wrap="square" lIns="91440" tIns="45720" rIns="91440" bIns="45720" anchor="t" anchorCtr="false" upright="true">
                        <a:noAutofit/>
                      </wps:bodyPr>
                    </wps:wsp>
                  </a:graphicData>
                </a:graphic>
              </wp:anchor>
            </w:drawing>
          </mc:Choice>
          <mc:Fallback>
            <w:pict>
              <v:shape id="_x0000_s1026" o:spid="_x0000_s1026" o:spt="202" type="#_x0000_t202" style="position:absolute;left:0pt;margin-left:325.5pt;margin-top:-27pt;height:116.65pt;width:156.05pt;z-index:251661312;mso-width-relative:page;mso-height-relative:page;" filled="f" stroked="f" coordsize="21600,21600" o:gfxdata="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BQQpXTYAAAACwEA&#10;AA8AAAAAAAAAAQAgAAAAOAAAAGRycy9kb3ducmV2LnhtbFBLAQIUABQAAAAIAIdO4kB9imIDBAIA&#10;ANcDAAAOAAAAAAAAAAEAIAAAAD0BAABkcnMvZTJvRG9jLnhtbFBLBQYAAAAABgAGAFkBAACzBQAA&#10;AAA=&#10;">
                <v:fill on="f" focussize="0,0"/>
                <v:stroke on="f"/>
                <v:imagedata o:title=""/>
                <o:lock v:ext="edit" aspectratio="f"/>
                <v:textbox>
                  <w:txbxContent>
                    <w:p>
                      <w:pPr>
                        <w:rPr>
                          <w:rFonts w:ascii="Adobe 黑体 Std R" w:hAnsi="Adobe 黑体 Std R" w:eastAsia="Adobe 黑体 Std R"/>
                          <w:sz w:val="144"/>
                          <w:szCs w:val="144"/>
                        </w:rPr>
                      </w:pPr>
                      <w:r>
                        <w:rPr>
                          <w:rFonts w:ascii="Adobe 黑体 Std R" w:hAnsi="Adobe 黑体 Std R" w:eastAsia="Adobe 黑体 Std R"/>
                          <w:sz w:val="144"/>
                          <w:szCs w:val="144"/>
                        </w:rPr>
                        <w:t>D</w:t>
                      </w:r>
                      <w:r>
                        <w:rPr>
                          <w:rFonts w:hint="eastAsia" w:ascii="Adobe 黑体 Std R" w:hAnsi="Adobe 黑体 Std R" w:eastAsia="Adobe 黑体 Std R"/>
                          <w:sz w:val="144"/>
                          <w:szCs w:val="144"/>
                        </w:rPr>
                        <w:t>B</w:t>
                      </w:r>
                    </w:p>
                  </w:txbxContent>
                </v:textbox>
              </v:shape>
            </w:pict>
          </mc:Fallback>
        </mc:AlternateContent>
      </w:r>
      <w:r>
        <w:rPr>
          <w:b/>
          <w:sz w:val="28"/>
        </w:rPr>
        <w:t>UG</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pPr>
        <w:ind w:firstLine="2400" w:firstLineChars="500"/>
        <w:rPr>
          <w:b/>
          <w:sz w:val="28"/>
          <w:szCs w:val="28"/>
        </w:rPr>
      </w:pPr>
      <w:r>
        <w:rPr>
          <w:rFonts w:eastAsia="黑体"/>
          <w:sz w:val="48"/>
          <w:szCs w:val="48"/>
        </w:rPr>
        <w:t>北京市地方标准</w:t>
      </w:r>
    </w:p>
    <w:p>
      <w:pPr>
        <w:ind w:firstLine="480" w:firstLineChars="100"/>
        <w:rPr>
          <w:rFonts w:eastAsia="黑体"/>
          <w:sz w:val="48"/>
          <w:szCs w:val="48"/>
        </w:rPr>
      </w:pPr>
    </w:p>
    <w:p>
      <w:pPr>
        <w:rPr>
          <w:b/>
          <w:szCs w:val="21"/>
        </w:rPr>
      </w:pPr>
    </w:p>
    <w:p>
      <w:pPr>
        <w:ind w:firstLine="2108" w:firstLineChars="1000"/>
        <w:rPr>
          <w:b/>
          <w:snapToGrid w:val="0"/>
          <w:kern w:val="0"/>
          <w:szCs w:val="21"/>
        </w:rPr>
      </w:pPr>
      <w:r>
        <w:rPr>
          <w:b/>
          <w:szCs w:val="21"/>
        </w:rPr>
        <w:t xml:space="preserve">                               </w:t>
      </w:r>
      <w:r>
        <w:rPr>
          <w:b/>
          <w:snapToGrid w:val="0"/>
          <w:kern w:val="0"/>
          <w:szCs w:val="21"/>
        </w:rPr>
        <w:t>编  号：DB11/</w:t>
      </w:r>
      <w:r>
        <w:rPr>
          <w:rFonts w:hint="eastAsia"/>
          <w:b/>
          <w:snapToGrid w:val="0"/>
          <w:kern w:val="0"/>
          <w:szCs w:val="21"/>
        </w:rPr>
        <w:t>T</w:t>
      </w:r>
      <w:r>
        <w:rPr>
          <w:b/>
          <w:snapToGrid w:val="0"/>
          <w:kern w:val="0"/>
          <w:szCs w:val="21"/>
        </w:rPr>
        <w:t xml:space="preserve"> X X X X－202X</w:t>
      </w:r>
    </w:p>
    <w:p>
      <w:pPr>
        <w:rPr>
          <w:b/>
          <w:szCs w:val="21"/>
        </w:rPr>
      </w:pPr>
      <w:r>
        <w:rPr>
          <w:b/>
          <w:szCs w:val="21"/>
        </w:rPr>
        <w:t xml:space="preserve">                                                   备案号：J×－202×</w:t>
      </w:r>
    </w:p>
    <w:p>
      <w:pPr>
        <w:rPr>
          <w:sz w:val="28"/>
          <w:szCs w:val="28"/>
        </w:rPr>
      </w:pPr>
      <w:r>
        <w:rPr>
          <w:szCs w:val="24"/>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48260</wp:posOffset>
                </wp:positionV>
                <wp:extent cx="5512435" cy="0"/>
                <wp:effectExtent l="0" t="0" r="0" b="0"/>
                <wp:wrapNone/>
                <wp:docPr id="15" name="直接连接符 15"/>
                <wp:cNvGraphicFramePr/>
                <a:graphic xmlns:a="http://schemas.openxmlformats.org/drawingml/2006/main">
                  <a:graphicData uri="http://schemas.microsoft.com/office/word/2010/wordprocessingShape">
                    <wps:wsp>
                      <wps:cNvCnPr>
                        <a:cxnSpLocks noChangeShapeType="true"/>
                      </wps:cNvCnPr>
                      <wps:spPr bwMode="auto">
                        <a:xfrm>
                          <a:off x="0" y="0"/>
                          <a:ext cx="551243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5pt;margin-top:3.8pt;height:0pt;width:434.05pt;z-index:251659264;mso-width-relative:page;mso-height-relative:page;" filled="f" stroked="t" coordsize="21600,21600" o:gfxdata="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BYAAABkcnMvUEsBAhQAFAAAAAgAh07iQAog0C7VAAAABgEAAA8A&#10;AAAAAAAAAQAgAAAAOAAAAGRycy9kb3ducmV2LnhtbFBLAQIUABQAAAAIAIdO4kCJxs5UywEAAGED&#10;AAAOAAAAAAAAAAEAIAAAADoBAABkcnMvZTJvRG9jLnhtbFBLBQYAAAAABgAGAFkBAAB3BQAAAAA=&#10;">
                <v:fill on="f" focussize="0,0"/>
                <v:stroke color="#000000" joinstyle="round"/>
                <v:imagedata o:title=""/>
                <o:lock v:ext="edit" aspectratio="f"/>
              </v:line>
            </w:pict>
          </mc:Fallback>
        </mc:AlternateContent>
      </w:r>
    </w:p>
    <w:p>
      <w:pPr>
        <w:rPr>
          <w:sz w:val="28"/>
          <w:szCs w:val="28"/>
        </w:rPr>
      </w:pPr>
    </w:p>
    <w:p>
      <w:pPr>
        <w:jc w:val="center"/>
        <w:rPr>
          <w:rFonts w:eastAsia="黑体"/>
          <w:sz w:val="44"/>
          <w:szCs w:val="44"/>
        </w:rPr>
      </w:pPr>
    </w:p>
    <w:p>
      <w:pPr>
        <w:jc w:val="center"/>
        <w:rPr>
          <w:rFonts w:eastAsia="黑体"/>
          <w:sz w:val="44"/>
          <w:szCs w:val="44"/>
        </w:rPr>
      </w:pPr>
    </w:p>
    <w:p>
      <w:pPr>
        <w:jc w:val="center"/>
        <w:rPr>
          <w:rFonts w:eastAsia="黑体"/>
          <w:sz w:val="44"/>
          <w:szCs w:val="44"/>
        </w:rPr>
      </w:pPr>
      <w:bookmarkStart w:id="266" w:name="_GoBack"/>
      <w:bookmarkStart w:id="24" w:name="_Hlk72566829"/>
      <w:r>
        <w:rPr>
          <w:rFonts w:eastAsia="黑体"/>
          <w:sz w:val="44"/>
          <w:szCs w:val="44"/>
        </w:rPr>
        <w:t>装配式混凝土结构检测技术标准</w:t>
      </w:r>
      <w:bookmarkEnd w:id="24"/>
    </w:p>
    <w:bookmarkEnd w:id="266"/>
    <w:p>
      <w:pPr>
        <w:autoSpaceDE w:val="0"/>
        <w:autoSpaceDN w:val="0"/>
        <w:adjustRightInd w:val="0"/>
        <w:jc w:val="center"/>
        <w:rPr>
          <w:b/>
          <w:sz w:val="32"/>
          <w:szCs w:val="32"/>
        </w:rPr>
      </w:pPr>
      <w:r>
        <w:rPr>
          <w:b/>
          <w:sz w:val="32"/>
          <w:szCs w:val="32"/>
        </w:rPr>
        <w:t>Technical standard for inspection of precast concrete structures</w:t>
      </w:r>
    </w:p>
    <w:p>
      <w:pPr>
        <w:jc w:val="center"/>
        <w:rPr>
          <w:rFonts w:eastAsia="黑体"/>
          <w:kern w:val="0"/>
          <w:sz w:val="28"/>
          <w:szCs w:val="28"/>
        </w:rPr>
      </w:pPr>
      <w:r>
        <w:rPr>
          <w:rFonts w:eastAsia="黑体"/>
          <w:kern w:val="0"/>
          <w:sz w:val="28"/>
          <w:szCs w:val="28"/>
        </w:rPr>
        <w:t>（</w:t>
      </w:r>
      <w:r>
        <w:rPr>
          <w:rFonts w:hint="eastAsia" w:eastAsia="黑体"/>
          <w:kern w:val="0"/>
          <w:sz w:val="28"/>
          <w:szCs w:val="28"/>
        </w:rPr>
        <w:t>征求意见稿</w:t>
      </w:r>
      <w:r>
        <w:rPr>
          <w:rFonts w:eastAsia="黑体"/>
          <w:kern w:val="0"/>
          <w:sz w:val="28"/>
          <w:szCs w:val="28"/>
        </w:rPr>
        <w:t>）</w:t>
      </w:r>
    </w:p>
    <w:p>
      <w:pPr>
        <w:rPr>
          <w:sz w:val="28"/>
          <w:szCs w:val="28"/>
        </w:rPr>
      </w:pPr>
    </w:p>
    <w:p>
      <w:pPr>
        <w:rPr>
          <w:sz w:val="28"/>
          <w:szCs w:val="28"/>
        </w:rPr>
      </w:pPr>
    </w:p>
    <w:p>
      <w:pPr>
        <w:rPr>
          <w:sz w:val="28"/>
          <w:szCs w:val="28"/>
        </w:rPr>
      </w:pPr>
    </w:p>
    <w:p>
      <w:pPr>
        <w:rPr>
          <w:sz w:val="28"/>
          <w:szCs w:val="28"/>
        </w:rPr>
      </w:pPr>
    </w:p>
    <w:p>
      <w:pPr>
        <w:rPr>
          <w:sz w:val="28"/>
          <w:szCs w:val="28"/>
        </w:rPr>
      </w:pPr>
    </w:p>
    <w:p>
      <w:pPr>
        <w:jc w:val="center"/>
        <w:rPr>
          <w:rFonts w:eastAsia="黑体"/>
          <w:b/>
          <w:sz w:val="28"/>
          <w:szCs w:val="28"/>
        </w:rPr>
      </w:pPr>
      <w:r>
        <w:rPr>
          <w:rFonts w:eastAsia="黑体"/>
          <w:b/>
          <w:sz w:val="28"/>
          <w:szCs w:val="28"/>
        </w:rPr>
        <w:t>202×－××－××发布                         202×－××－××实施</w:t>
      </w:r>
    </w:p>
    <w:p>
      <w:pPr>
        <w:rPr>
          <w:sz w:val="28"/>
          <w:szCs w:val="28"/>
        </w:rPr>
      </w:pPr>
      <w:r>
        <w:rPr>
          <w:szCs w:val="24"/>
        </w:rPr>
        <mc:AlternateContent>
          <mc:Choice Requires="wps">
            <w:drawing>
              <wp:anchor distT="0" distB="0" distL="114300" distR="114300" simplePos="0" relativeHeight="251660288" behindDoc="0" locked="0" layoutInCell="1" allowOverlap="1">
                <wp:simplePos x="0" y="0"/>
                <wp:positionH relativeFrom="column">
                  <wp:posOffset>-66040</wp:posOffset>
                </wp:positionH>
                <wp:positionV relativeFrom="paragraph">
                  <wp:posOffset>23495</wp:posOffset>
                </wp:positionV>
                <wp:extent cx="5559425" cy="0"/>
                <wp:effectExtent l="0" t="0" r="0" b="0"/>
                <wp:wrapNone/>
                <wp:docPr id="14" name="直接连接符 14"/>
                <wp:cNvGraphicFramePr/>
                <a:graphic xmlns:a="http://schemas.openxmlformats.org/drawingml/2006/main">
                  <a:graphicData uri="http://schemas.microsoft.com/office/word/2010/wordprocessingShape">
                    <wps:wsp>
                      <wps:cNvCnPr>
                        <a:cxnSpLocks noChangeShapeType="true"/>
                      </wps:cNvCnPr>
                      <wps:spPr bwMode="auto">
                        <a:xfrm>
                          <a:off x="0" y="0"/>
                          <a:ext cx="555942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2pt;margin-top:1.85pt;height:0pt;width:437.75pt;z-index:251660288;mso-width-relative:page;mso-height-relative:page;" filled="f" stroked="t" coordsize="21600,21600" o:gfxdata="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WAAAAZHJzL1BLAQIUABQAAAAIAIdO4kDGiBxp1AAAAAcBAAAPAAAA&#10;AAAAAAEAIAAAADgAAABkcnMvZG93bnJldi54bWxQSwECFAAUAAAACACHTuJAqGnBYMoBAABhAwAA&#10;DgAAAAAAAAABACAAAAA5AQAAZHJzL2Uyb0RvYy54bWxQSwUGAAAAAAYABgBZAQAAdQUAAAAA&#10;">
                <v:fill on="f" focussize="0,0"/>
                <v:stroke color="#000000" joinstyle="round"/>
                <v:imagedata o:title=""/>
                <o:lock v:ext="edit" aspectratio="f"/>
              </v:line>
            </w:pict>
          </mc:Fallback>
        </mc:AlternateContent>
      </w:r>
    </w:p>
    <w:p>
      <w:pPr>
        <w:spacing w:before="93" w:beforeLines="30"/>
        <w:ind w:firstLine="1381" w:firstLineChars="441"/>
        <w:rPr>
          <w:rFonts w:eastAsia="黑体"/>
          <w:b/>
          <w:color w:val="000000"/>
          <w:spacing w:val="-4"/>
          <w:sz w:val="32"/>
          <w:szCs w:val="32"/>
        </w:rPr>
      </w:pPr>
      <w:r>
        <w:rPr>
          <w:rFonts w:eastAsia="黑体"/>
          <w:b/>
          <w:color w:val="000000"/>
          <w:spacing w:val="-4"/>
          <w:sz w:val="32"/>
          <w:szCs w:val="32"/>
        </w:rPr>
        <mc:AlternateContent>
          <mc:Choice Requires="wps">
            <w:drawing>
              <wp:anchor distT="0" distB="0" distL="114300" distR="114300" simplePos="0" relativeHeight="251662336" behindDoc="0" locked="0" layoutInCell="1" allowOverlap="1">
                <wp:simplePos x="0" y="0"/>
                <wp:positionH relativeFrom="column">
                  <wp:posOffset>3955415</wp:posOffset>
                </wp:positionH>
                <wp:positionV relativeFrom="paragraph">
                  <wp:posOffset>232410</wp:posOffset>
                </wp:positionV>
                <wp:extent cx="850900" cy="419735"/>
                <wp:effectExtent l="0" t="0" r="0" b="0"/>
                <wp:wrapNone/>
                <wp:docPr id="3" name="矩形 3"/>
                <wp:cNvGraphicFramePr/>
                <a:graphic xmlns:a="http://schemas.openxmlformats.org/drawingml/2006/main">
                  <a:graphicData uri="http://schemas.microsoft.com/office/word/2010/wordprocessingShape">
                    <wps:wsp>
                      <wps:cNvSpPr>
                        <a:spLocks noChangeArrowheads="true"/>
                      </wps:cNvSpPr>
                      <wps:spPr bwMode="auto">
                        <a:xfrm>
                          <a:off x="0" y="0"/>
                          <a:ext cx="850900" cy="419735"/>
                        </a:xfrm>
                        <a:prstGeom prst="rect">
                          <a:avLst/>
                        </a:prstGeom>
                        <a:noFill/>
                        <a:ln>
                          <a:noFill/>
                        </a:ln>
                      </wps:spPr>
                      <wps:txbx>
                        <w:txbxContent>
                          <w:p>
                            <w:pPr>
                              <w:rPr>
                                <w:rFonts w:ascii="黑体" w:hAnsi="黑体" w:eastAsia="黑体"/>
                                <w:b/>
                                <w:sz w:val="32"/>
                                <w:szCs w:val="32"/>
                              </w:rPr>
                            </w:pPr>
                            <w:r>
                              <w:rPr>
                                <w:rFonts w:hint="eastAsia" w:ascii="黑体" w:hAnsi="黑体" w:eastAsia="黑体"/>
                                <w:b/>
                                <w:sz w:val="32"/>
                                <w:szCs w:val="32"/>
                              </w:rPr>
                              <w:t>联合发布</w:t>
                            </w:r>
                          </w:p>
                        </w:txbxContent>
                      </wps:txbx>
                      <wps:bodyPr rot="0" vert="horz" wrap="square" lIns="0" tIns="0" rIns="0" bIns="0" anchor="t" anchorCtr="false" upright="true">
                        <a:noAutofit/>
                      </wps:bodyPr>
                    </wps:wsp>
                  </a:graphicData>
                </a:graphic>
              </wp:anchor>
            </w:drawing>
          </mc:Choice>
          <mc:Fallback>
            <w:pict>
              <v:rect id="_x0000_s1026" o:spid="_x0000_s1026" o:spt="1" style="position:absolute;left:0pt;margin-left:311.45pt;margin-top:18.3pt;height:33.05pt;width:67pt;z-index:251662336;mso-width-relative:page;mso-height-relative:page;" filled="f" stroked="f" coordsize="21600,21600" o:gfxdata="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&#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HMfoTDaAAAACgEAAA8AAAAAAAAAAQAgAAAAOAAAAGRy&#10;cy9kb3ducmV2LnhtbFBLAQIUABQAAAAIAIdO4kDjbvvs7QEAALMDAAAOAAAAAAAAAAEAIAAAAD8B&#10;AABkcnMvZTJvRG9jLnhtbFBLBQYAAAAABgAGAFkBAACeBQAAAAA=&#10;">
                <v:fill on="f" focussize="0,0"/>
                <v:stroke on="f"/>
                <v:imagedata o:title=""/>
                <o:lock v:ext="edit" aspectratio="f"/>
                <v:textbox inset="0mm,0mm,0mm,0mm">
                  <w:txbxContent>
                    <w:p>
                      <w:pPr>
                        <w:rPr>
                          <w:rFonts w:ascii="黑体" w:hAnsi="黑体" w:eastAsia="黑体"/>
                          <w:b/>
                          <w:sz w:val="32"/>
                          <w:szCs w:val="32"/>
                        </w:rPr>
                      </w:pPr>
                      <w:r>
                        <w:rPr>
                          <w:rFonts w:hint="eastAsia" w:ascii="黑体" w:hAnsi="黑体" w:eastAsia="黑体"/>
                          <w:b/>
                          <w:sz w:val="32"/>
                          <w:szCs w:val="32"/>
                        </w:rPr>
                        <w:t>联合发布</w:t>
                      </w:r>
                    </w:p>
                  </w:txbxContent>
                </v:textbox>
              </v:rect>
            </w:pict>
          </mc:Fallback>
        </mc:AlternateContent>
      </w:r>
      <w:r>
        <w:rPr>
          <w:rFonts w:eastAsia="黑体"/>
          <w:b/>
          <w:color w:val="000000"/>
          <w:spacing w:val="-4"/>
          <w:sz w:val="32"/>
          <w:szCs w:val="32"/>
        </w:rPr>
        <w:t xml:space="preserve">北京市住房和城乡建设委员会    </w:t>
      </w:r>
    </w:p>
    <w:p>
      <w:pPr>
        <w:ind w:left="0" w:leftChars="0" w:firstLine="1400" w:firstLineChars="334"/>
        <w:jc w:val="left"/>
        <w:rPr>
          <w:rFonts w:eastAsia="黑体"/>
          <w:b/>
          <w:sz w:val="32"/>
          <w:szCs w:val="32"/>
        </w:rPr>
      </w:pPr>
      <w:r>
        <w:rPr>
          <w:rFonts w:eastAsia="黑体"/>
          <w:b/>
          <w:color w:val="000000"/>
          <w:spacing w:val="49"/>
          <w:kern w:val="0"/>
          <w:sz w:val="32"/>
          <w:szCs w:val="32"/>
        </w:rPr>
        <w:t>北京市市场监督管理</w:t>
      </w:r>
      <w:r>
        <w:rPr>
          <w:rFonts w:eastAsia="黑体"/>
          <w:b/>
          <w:color w:val="000000"/>
          <w:spacing w:val="1"/>
          <w:kern w:val="0"/>
          <w:sz w:val="32"/>
          <w:szCs w:val="32"/>
        </w:rPr>
        <w:t>局</w:t>
      </w:r>
    </w:p>
    <w:p>
      <w:pPr>
        <w:widowControl/>
        <w:jc w:val="left"/>
        <w:rPr>
          <w:rFonts w:eastAsia="黑体"/>
          <w:b/>
          <w:sz w:val="32"/>
          <w:szCs w:val="32"/>
        </w:rPr>
        <w:sectPr>
          <w:headerReference r:id="rId3" w:type="default"/>
          <w:footerReference r:id="rId4" w:type="default"/>
          <w:footerReference r:id="rId5" w:type="even"/>
          <w:pgSz w:w="11906" w:h="16838"/>
          <w:pgMar w:top="1440" w:right="1797" w:bottom="1440" w:left="1797" w:header="851" w:footer="992" w:gutter="0"/>
          <w:pgNumType w:start="1"/>
          <w:cols w:space="425" w:num="1"/>
          <w:docGrid w:type="lines" w:linePitch="312" w:charSpace="0"/>
        </w:sectPr>
      </w:pPr>
    </w:p>
    <w:p>
      <w:pPr>
        <w:jc w:val="center"/>
        <w:rPr>
          <w:rFonts w:eastAsia="黑体"/>
          <w:b/>
          <w:sz w:val="32"/>
          <w:szCs w:val="32"/>
        </w:rPr>
      </w:pPr>
      <w:r>
        <w:rPr>
          <w:rFonts w:eastAsia="黑体"/>
          <w:b/>
          <w:sz w:val="32"/>
          <w:szCs w:val="32"/>
        </w:rPr>
        <w:t>北京市地方标准</w:t>
      </w:r>
    </w:p>
    <w:p>
      <w:pPr>
        <w:jc w:val="center"/>
        <w:rPr>
          <w:rFonts w:eastAsia="黑体"/>
          <w:b/>
          <w:sz w:val="32"/>
          <w:szCs w:val="32"/>
        </w:rPr>
      </w:pPr>
    </w:p>
    <w:p>
      <w:pPr>
        <w:jc w:val="center"/>
        <w:rPr>
          <w:rFonts w:eastAsia="黑体"/>
          <w:b/>
          <w:sz w:val="32"/>
          <w:szCs w:val="32"/>
        </w:rPr>
      </w:pPr>
    </w:p>
    <w:p>
      <w:pPr>
        <w:jc w:val="center"/>
        <w:rPr>
          <w:rFonts w:eastAsia="黑体"/>
          <w:b/>
          <w:sz w:val="32"/>
          <w:szCs w:val="32"/>
        </w:rPr>
      </w:pPr>
    </w:p>
    <w:p>
      <w:pPr>
        <w:autoSpaceDE w:val="0"/>
        <w:autoSpaceDN w:val="0"/>
        <w:adjustRightInd w:val="0"/>
        <w:jc w:val="center"/>
        <w:rPr>
          <w:rFonts w:eastAsia="黑体"/>
          <w:sz w:val="44"/>
          <w:szCs w:val="44"/>
        </w:rPr>
      </w:pPr>
      <w:r>
        <w:rPr>
          <w:rFonts w:eastAsia="黑体"/>
          <w:sz w:val="44"/>
          <w:szCs w:val="44"/>
        </w:rPr>
        <w:t>装配式混凝土结构检测技术标准</w:t>
      </w:r>
    </w:p>
    <w:p>
      <w:pPr>
        <w:autoSpaceDE w:val="0"/>
        <w:autoSpaceDN w:val="0"/>
        <w:adjustRightInd w:val="0"/>
        <w:jc w:val="center"/>
        <w:rPr>
          <w:b/>
          <w:sz w:val="32"/>
          <w:szCs w:val="32"/>
        </w:rPr>
      </w:pPr>
      <w:r>
        <w:rPr>
          <w:b/>
          <w:sz w:val="32"/>
          <w:szCs w:val="32"/>
        </w:rPr>
        <w:t>Technical standard for inspection of precast concrete structures</w:t>
      </w:r>
    </w:p>
    <w:p>
      <w:pPr>
        <w:jc w:val="center"/>
        <w:rPr>
          <w:rFonts w:eastAsia="黑体"/>
          <w:b/>
          <w:sz w:val="32"/>
          <w:szCs w:val="32"/>
        </w:rPr>
      </w:pPr>
    </w:p>
    <w:p>
      <w:pPr>
        <w:jc w:val="center"/>
        <w:rPr>
          <w:rFonts w:eastAsia="黑体"/>
          <w:b/>
          <w:sz w:val="32"/>
          <w:szCs w:val="32"/>
        </w:rPr>
      </w:pPr>
    </w:p>
    <w:p>
      <w:pPr>
        <w:jc w:val="center"/>
        <w:rPr>
          <w:rFonts w:eastAsia="黑体"/>
          <w:b/>
          <w:sz w:val="32"/>
          <w:szCs w:val="32"/>
        </w:rPr>
      </w:pPr>
    </w:p>
    <w:p>
      <w:pPr>
        <w:jc w:val="center"/>
        <w:rPr>
          <w:rFonts w:eastAsia="黑体"/>
          <w:b/>
          <w:szCs w:val="21"/>
        </w:rPr>
      </w:pPr>
      <w:r>
        <w:rPr>
          <w:rFonts w:eastAsia="黑体"/>
          <w:b/>
          <w:szCs w:val="21"/>
        </w:rPr>
        <w:t>编  号：DB11/</w:t>
      </w:r>
      <w:r>
        <w:rPr>
          <w:rFonts w:hint="eastAsia" w:eastAsia="黑体"/>
          <w:b/>
          <w:szCs w:val="21"/>
        </w:rPr>
        <w:t>T</w:t>
      </w:r>
      <w:r>
        <w:rPr>
          <w:rFonts w:eastAsia="黑体"/>
          <w:b/>
          <w:szCs w:val="21"/>
        </w:rPr>
        <w:t xml:space="preserve"> XXXX-202X</w:t>
      </w:r>
    </w:p>
    <w:p>
      <w:pPr>
        <w:ind w:firstLine="2846" w:firstLineChars="1350"/>
        <w:rPr>
          <w:rFonts w:eastAsia="黑体"/>
          <w:b/>
          <w:sz w:val="32"/>
          <w:szCs w:val="32"/>
        </w:rPr>
      </w:pPr>
      <w:r>
        <w:rPr>
          <w:rFonts w:eastAsia="黑体"/>
          <w:b/>
          <w:szCs w:val="21"/>
        </w:rPr>
        <w:t>备案号：J</w:t>
      </w:r>
      <w:r>
        <w:rPr>
          <w:szCs w:val="21"/>
        </w:rPr>
        <w:t>×</w:t>
      </w:r>
      <w:r>
        <w:rPr>
          <w:rFonts w:eastAsia="黑体"/>
          <w:b/>
          <w:szCs w:val="21"/>
        </w:rPr>
        <w:t xml:space="preserve">   -202</w:t>
      </w:r>
      <w:r>
        <w:rPr>
          <w:szCs w:val="21"/>
        </w:rPr>
        <w:t>×</w:t>
      </w:r>
    </w:p>
    <w:p>
      <w:pPr>
        <w:rPr>
          <w:szCs w:val="21"/>
        </w:rPr>
      </w:pPr>
    </w:p>
    <w:p>
      <w:pPr>
        <w:rPr>
          <w:szCs w:val="21"/>
        </w:rPr>
      </w:pPr>
    </w:p>
    <w:p>
      <w:pPr>
        <w:rPr>
          <w:szCs w:val="21"/>
        </w:rPr>
      </w:pPr>
    </w:p>
    <w:p>
      <w:pPr>
        <w:rPr>
          <w:szCs w:val="21"/>
        </w:rPr>
      </w:pPr>
    </w:p>
    <w:p>
      <w:pPr>
        <w:ind w:firstLine="2520" w:firstLineChars="1200"/>
        <w:rPr>
          <w:szCs w:val="21"/>
        </w:rPr>
      </w:pPr>
      <w:r>
        <w:rPr>
          <w:szCs w:val="21"/>
        </w:rPr>
        <w:t>主编单位：建研院检测中心有限公司</w:t>
      </w:r>
    </w:p>
    <w:p>
      <w:pPr>
        <w:ind w:firstLine="3570" w:firstLineChars="1700"/>
        <w:rPr>
          <w:szCs w:val="21"/>
        </w:rPr>
      </w:pPr>
    </w:p>
    <w:p>
      <w:pPr>
        <w:ind w:firstLine="2520" w:firstLineChars="1200"/>
        <w:rPr>
          <w:szCs w:val="21"/>
        </w:rPr>
      </w:pPr>
      <w:r>
        <w:rPr>
          <w:szCs w:val="21"/>
        </w:rPr>
        <w:t>批准部门：北京市市场监督管理局</w:t>
      </w:r>
    </w:p>
    <w:p>
      <w:pPr>
        <w:ind w:firstLine="2520" w:firstLineChars="1200"/>
        <w:rPr>
          <w:szCs w:val="21"/>
        </w:rPr>
      </w:pPr>
    </w:p>
    <w:p>
      <w:pPr>
        <w:ind w:firstLine="2520" w:firstLineChars="1200"/>
        <w:rPr>
          <w:szCs w:val="21"/>
        </w:rPr>
      </w:pPr>
      <w:r>
        <w:rPr>
          <w:szCs w:val="21"/>
        </w:rPr>
        <w:t>施行日期：20××年×月×日</w:t>
      </w:r>
    </w:p>
    <w:p>
      <w:pPr>
        <w:rPr>
          <w:rFonts w:eastAsia="黑体"/>
          <w:b/>
          <w:sz w:val="32"/>
          <w:szCs w:val="32"/>
        </w:rPr>
      </w:pPr>
    </w:p>
    <w:p>
      <w:pPr>
        <w:rPr>
          <w:rFonts w:eastAsia="黑体"/>
          <w:b/>
          <w:sz w:val="32"/>
          <w:szCs w:val="32"/>
        </w:rPr>
      </w:pPr>
    </w:p>
    <w:p>
      <w:pPr>
        <w:rPr>
          <w:rFonts w:eastAsia="黑体"/>
          <w:b/>
          <w:sz w:val="32"/>
          <w:szCs w:val="32"/>
        </w:rPr>
      </w:pPr>
    </w:p>
    <w:p>
      <w:pPr>
        <w:rPr>
          <w:rFonts w:eastAsia="黑体"/>
          <w:b/>
          <w:sz w:val="32"/>
          <w:szCs w:val="32"/>
        </w:rPr>
      </w:pPr>
    </w:p>
    <w:p>
      <w:pPr>
        <w:jc w:val="center"/>
        <w:rPr>
          <w:rFonts w:eastAsia="黑体"/>
          <w:szCs w:val="21"/>
        </w:rPr>
      </w:pPr>
      <w:r>
        <w:rPr>
          <w:rFonts w:eastAsia="黑体"/>
          <w:szCs w:val="21"/>
        </w:rPr>
        <w:t>202</w:t>
      </w:r>
      <w:r>
        <w:rPr>
          <w:rFonts w:eastAsia="黑体"/>
          <w:b/>
          <w:sz w:val="28"/>
          <w:szCs w:val="28"/>
        </w:rPr>
        <w:t>×</w:t>
      </w:r>
      <w:r>
        <w:rPr>
          <w:rFonts w:eastAsia="黑体"/>
          <w:szCs w:val="21"/>
        </w:rPr>
        <w:t xml:space="preserve"> 北京</w:t>
      </w:r>
    </w:p>
    <w:p>
      <w:pPr>
        <w:jc w:val="center"/>
        <w:rPr>
          <w:rFonts w:eastAsia="黑体"/>
          <w:sz w:val="36"/>
        </w:rPr>
        <w:sectPr>
          <w:footerReference r:id="rId6" w:type="default"/>
          <w:pgSz w:w="11906" w:h="16838"/>
          <w:pgMar w:top="1440" w:right="1797" w:bottom="1440" w:left="1797" w:header="851" w:footer="992" w:gutter="0"/>
          <w:pgNumType w:start="1"/>
          <w:cols w:space="425" w:num="1"/>
          <w:docGrid w:type="lines" w:linePitch="312" w:charSpace="0"/>
        </w:sectPr>
      </w:pPr>
    </w:p>
    <w:p>
      <w:pPr>
        <w:jc w:val="center"/>
        <w:rPr>
          <w:rFonts w:eastAsia="黑体"/>
          <w:sz w:val="36"/>
        </w:rPr>
      </w:pPr>
      <w:r>
        <w:rPr>
          <w:rFonts w:hint="eastAsia" w:ascii="Times New Roman" w:hAnsi="Times New Roman" w:eastAsia="宋体" w:cs="Times New Roman"/>
          <w:b/>
          <w:bCs/>
          <w:caps/>
          <w:kern w:val="2"/>
          <w:sz w:val="32"/>
          <w:szCs w:val="32"/>
          <w:lang w:val="en-US" w:eastAsia="zh-CN" w:bidi="ar-SA"/>
        </w:rPr>
        <w:t>前    言</w:t>
      </w:r>
    </w:p>
    <w:p>
      <w:pPr>
        <w:jc w:val="center"/>
        <w:rPr>
          <w:rFonts w:eastAsia="黑体"/>
          <w:sz w:val="36"/>
        </w:rPr>
      </w:pPr>
    </w:p>
    <w:p>
      <w:pPr>
        <w:spacing w:line="360" w:lineRule="auto"/>
        <w:ind w:firstLine="420"/>
        <w:rPr>
          <w:sz w:val="24"/>
        </w:rPr>
      </w:pPr>
      <w:r>
        <w:rPr>
          <w:sz w:val="24"/>
        </w:rPr>
        <w:t>根据北京市市场监督管理局《2022年北京市地方标准制修订项目计划（第二批）》</w:t>
      </w:r>
      <w:r>
        <w:rPr>
          <w:rFonts w:hint="eastAsia"/>
          <w:sz w:val="24"/>
        </w:rPr>
        <w:t>（京市监发【202</w:t>
      </w:r>
      <w:r>
        <w:rPr>
          <w:sz w:val="24"/>
        </w:rPr>
        <w:t>2</w:t>
      </w:r>
      <w:r>
        <w:rPr>
          <w:rFonts w:hint="eastAsia"/>
          <w:sz w:val="24"/>
        </w:rPr>
        <w:t>】</w:t>
      </w:r>
      <w:r>
        <w:rPr>
          <w:sz w:val="24"/>
        </w:rPr>
        <w:t>30</w:t>
      </w:r>
      <w:r>
        <w:rPr>
          <w:rFonts w:hint="eastAsia"/>
          <w:sz w:val="24"/>
        </w:rPr>
        <w:t>号）</w:t>
      </w:r>
      <w:r>
        <w:rPr>
          <w:sz w:val="24"/>
        </w:rPr>
        <w:t>的要求，</w:t>
      </w:r>
      <w:r>
        <w:rPr>
          <w:rFonts w:hint="eastAsia"/>
          <w:sz w:val="24"/>
          <w:lang w:val="en-US" w:eastAsia="zh-CN"/>
        </w:rPr>
        <w:t>标准</w:t>
      </w:r>
      <w:r>
        <w:rPr>
          <w:rFonts w:hint="eastAsia"/>
          <w:sz w:val="24"/>
        </w:rPr>
        <w:t>编制组经广泛调查研究，认真总结实践经验，参考国内外的相关标准，并在广泛征求意见的基础上，制定本标准。</w:t>
      </w:r>
    </w:p>
    <w:p>
      <w:pPr>
        <w:spacing w:line="360" w:lineRule="auto"/>
        <w:ind w:firstLine="420"/>
        <w:rPr>
          <w:sz w:val="24"/>
        </w:rPr>
      </w:pPr>
      <w:r>
        <w:rPr>
          <w:sz w:val="24"/>
        </w:rPr>
        <w:t>本标准的主要技术内容是：1 总则；2</w:t>
      </w:r>
      <w:r>
        <w:rPr>
          <w:rFonts w:hint="eastAsia"/>
          <w:sz w:val="24"/>
        </w:rPr>
        <w:t xml:space="preserve"> </w:t>
      </w:r>
      <w:r>
        <w:rPr>
          <w:sz w:val="24"/>
        </w:rPr>
        <w:t>术语和符号；3</w:t>
      </w:r>
      <w:r>
        <w:rPr>
          <w:rFonts w:hint="eastAsia"/>
          <w:sz w:val="24"/>
        </w:rPr>
        <w:t xml:space="preserve"> </w:t>
      </w:r>
      <w:r>
        <w:rPr>
          <w:sz w:val="24"/>
        </w:rPr>
        <w:t xml:space="preserve">基本规定；4 </w:t>
      </w:r>
      <w:r>
        <w:rPr>
          <w:color w:val="000000" w:themeColor="text1"/>
          <w:sz w:val="24"/>
          <w:szCs w:val="24"/>
          <w14:textFill>
            <w14:solidFill>
              <w14:schemeClr w14:val="tx1"/>
            </w14:solidFill>
          </w14:textFill>
        </w:rPr>
        <w:t>预制构件</w:t>
      </w:r>
      <w:r>
        <w:rPr>
          <w:sz w:val="24"/>
        </w:rPr>
        <w:t xml:space="preserve">；5 </w:t>
      </w:r>
      <w:r>
        <w:rPr>
          <w:color w:val="000000" w:themeColor="text1"/>
          <w:sz w:val="24"/>
          <w:szCs w:val="24"/>
          <w14:textFill>
            <w14:solidFill>
              <w14:schemeClr w14:val="tx1"/>
            </w14:solidFill>
          </w14:textFill>
        </w:rPr>
        <w:t>混凝土结合面连接</w:t>
      </w:r>
      <w:r>
        <w:rPr>
          <w:sz w:val="24"/>
        </w:rPr>
        <w:t xml:space="preserve">；6 </w:t>
      </w:r>
      <w:r>
        <w:rPr>
          <w:color w:val="000000" w:themeColor="text1"/>
          <w:sz w:val="24"/>
          <w:szCs w:val="24"/>
          <w14:textFill>
            <w14:solidFill>
              <w14:schemeClr w14:val="tx1"/>
            </w14:solidFill>
          </w14:textFill>
        </w:rPr>
        <w:t>钢筋套筒灌浆连接</w:t>
      </w:r>
      <w:r>
        <w:rPr>
          <w:sz w:val="24"/>
        </w:rPr>
        <w:t xml:space="preserve">；7 </w:t>
      </w:r>
      <w:r>
        <w:rPr>
          <w:color w:val="000000" w:themeColor="text1"/>
          <w:sz w:val="24"/>
          <w:szCs w:val="24"/>
          <w14:textFill>
            <w14:solidFill>
              <w14:schemeClr w14:val="tx1"/>
            </w14:solidFill>
          </w14:textFill>
        </w:rPr>
        <w:t>装配式混凝土外墙拼缝连接等</w:t>
      </w:r>
      <w:r>
        <w:rPr>
          <w:sz w:val="24"/>
        </w:rPr>
        <w:t>。</w:t>
      </w:r>
    </w:p>
    <w:p>
      <w:pPr>
        <w:spacing w:line="360" w:lineRule="auto"/>
        <w:ind w:firstLine="420"/>
        <w:rPr>
          <w:sz w:val="24"/>
        </w:rPr>
      </w:pPr>
      <w:r>
        <w:rPr>
          <w:sz w:val="24"/>
        </w:rPr>
        <w:t>本标准由北京市住房和城乡建设委员会和北京市市场监督管理局共同负责管理，北京市住房和城乡建设委员会归口并组织实施，建研院检测中心有限公司负责本标准技术内容的解释。执行过程中如有意见或建议，请寄送至建研院检测中心有限公司（地址：北京市北三环东路30号；邮政编码：100013；电话：010-64517350）。</w:t>
      </w:r>
    </w:p>
    <w:p>
      <w:pPr>
        <w:spacing w:line="360" w:lineRule="auto"/>
        <w:ind w:left="2340" w:leftChars="200" w:hanging="1920" w:hangingChars="800"/>
        <w:rPr>
          <w:sz w:val="24"/>
        </w:rPr>
      </w:pPr>
      <w:r>
        <w:rPr>
          <w:sz w:val="24"/>
        </w:rPr>
        <w:t>本标准主编单位：建研院检测中心有限公司</w:t>
      </w:r>
    </w:p>
    <w:p>
      <w:pPr>
        <w:spacing w:line="360" w:lineRule="auto"/>
        <w:ind w:firstLine="420"/>
        <w:rPr>
          <w:sz w:val="24"/>
        </w:rPr>
      </w:pPr>
      <w:r>
        <w:rPr>
          <w:sz w:val="24"/>
        </w:rPr>
        <w:t>本标准参编单位：</w:t>
      </w:r>
      <w:r>
        <w:rPr>
          <w:rFonts w:hint="eastAsia"/>
          <w:sz w:val="24"/>
        </w:rPr>
        <w:t>国家建筑工程质量检验检测中心</w:t>
      </w:r>
    </w:p>
    <w:p>
      <w:pPr>
        <w:spacing w:line="360" w:lineRule="auto"/>
        <w:ind w:left="1842" w:leftChars="877" w:firstLine="482"/>
        <w:rPr>
          <w:sz w:val="24"/>
        </w:rPr>
      </w:pPr>
      <w:r>
        <w:rPr>
          <w:rFonts w:hint="eastAsia"/>
          <w:sz w:val="24"/>
        </w:rPr>
        <w:t>北京预制建筑工程研究院有限公司</w:t>
      </w:r>
    </w:p>
    <w:p>
      <w:pPr>
        <w:spacing w:line="360" w:lineRule="auto"/>
        <w:ind w:left="1917" w:leftChars="913" w:firstLine="420"/>
        <w:rPr>
          <w:sz w:val="24"/>
        </w:rPr>
      </w:pPr>
      <w:r>
        <w:rPr>
          <w:rFonts w:hint="eastAsia"/>
          <w:sz w:val="24"/>
        </w:rPr>
        <w:t>北京市建筑工程研究院有限公司</w:t>
      </w:r>
    </w:p>
    <w:p>
      <w:pPr>
        <w:spacing w:line="360" w:lineRule="auto"/>
        <w:ind w:left="1917" w:leftChars="913" w:firstLine="420"/>
        <w:rPr>
          <w:sz w:val="24"/>
        </w:rPr>
      </w:pPr>
      <w:r>
        <w:rPr>
          <w:rFonts w:hint="eastAsia"/>
          <w:sz w:val="24"/>
        </w:rPr>
        <w:t>北京市住宅产业化集团股份有限公司</w:t>
      </w:r>
    </w:p>
    <w:p>
      <w:pPr>
        <w:spacing w:line="360" w:lineRule="auto"/>
        <w:ind w:left="1917" w:leftChars="913" w:firstLine="420"/>
        <w:rPr>
          <w:sz w:val="24"/>
        </w:rPr>
      </w:pPr>
      <w:r>
        <w:rPr>
          <w:rFonts w:hint="eastAsia"/>
          <w:sz w:val="24"/>
        </w:rPr>
        <w:t>北京城建集团有限责任公司</w:t>
      </w:r>
    </w:p>
    <w:p>
      <w:pPr>
        <w:spacing w:line="360" w:lineRule="auto"/>
        <w:ind w:left="1917" w:leftChars="913" w:firstLine="420"/>
        <w:rPr>
          <w:sz w:val="24"/>
        </w:rPr>
      </w:pPr>
      <w:r>
        <w:rPr>
          <w:rFonts w:hint="eastAsia"/>
          <w:sz w:val="24"/>
        </w:rPr>
        <w:t>北京市建设工程质量监督总站</w:t>
      </w:r>
    </w:p>
    <w:p>
      <w:pPr>
        <w:spacing w:line="360" w:lineRule="auto"/>
        <w:ind w:left="1917" w:leftChars="913" w:firstLine="420"/>
        <w:rPr>
          <w:sz w:val="24"/>
        </w:rPr>
      </w:pPr>
      <w:r>
        <w:rPr>
          <w:rFonts w:hint="eastAsia"/>
          <w:sz w:val="24"/>
        </w:rPr>
        <w:t>北京市建设工程质量第三检测所有限责任公司</w:t>
      </w:r>
    </w:p>
    <w:p>
      <w:pPr>
        <w:spacing w:line="360" w:lineRule="auto"/>
        <w:ind w:left="1917" w:leftChars="913" w:firstLine="420"/>
        <w:rPr>
          <w:sz w:val="24"/>
        </w:rPr>
      </w:pPr>
      <w:r>
        <w:rPr>
          <w:rFonts w:hint="eastAsia"/>
          <w:sz w:val="24"/>
        </w:rPr>
        <w:t>北京市建设工程质量第二检测所有限公司</w:t>
      </w:r>
    </w:p>
    <w:p>
      <w:pPr>
        <w:spacing w:line="360" w:lineRule="auto"/>
        <w:ind w:left="1917" w:leftChars="913" w:firstLine="420"/>
        <w:rPr>
          <w:sz w:val="24"/>
        </w:rPr>
      </w:pPr>
      <w:r>
        <w:rPr>
          <w:rFonts w:hint="eastAsia"/>
          <w:sz w:val="24"/>
        </w:rPr>
        <w:t>北京榆构有限公司</w:t>
      </w:r>
    </w:p>
    <w:p>
      <w:pPr>
        <w:spacing w:line="360" w:lineRule="auto"/>
        <w:ind w:left="1917" w:leftChars="913" w:firstLine="420"/>
        <w:rPr>
          <w:sz w:val="24"/>
        </w:rPr>
      </w:pPr>
      <w:r>
        <w:rPr>
          <w:rFonts w:hint="eastAsia"/>
          <w:sz w:val="24"/>
        </w:rPr>
        <w:t>北京建工新型建材有限公司</w:t>
      </w:r>
    </w:p>
    <w:p>
      <w:pPr>
        <w:spacing w:line="360" w:lineRule="auto"/>
        <w:ind w:left="1917" w:leftChars="913" w:firstLine="420"/>
        <w:rPr>
          <w:sz w:val="24"/>
        </w:rPr>
      </w:pPr>
      <w:r>
        <w:rPr>
          <w:rFonts w:hint="eastAsia"/>
          <w:sz w:val="24"/>
        </w:rPr>
        <w:t>北京市燕通建筑构件有限公司</w:t>
      </w:r>
    </w:p>
    <w:p>
      <w:pPr>
        <w:spacing w:line="360" w:lineRule="auto"/>
        <w:ind w:left="1917" w:leftChars="913" w:firstLine="420"/>
        <w:rPr>
          <w:sz w:val="24"/>
        </w:rPr>
      </w:pPr>
      <w:r>
        <w:rPr>
          <w:rFonts w:hint="eastAsia"/>
          <w:sz w:val="24"/>
        </w:rPr>
        <w:t>三一筑工科技股份有限公司</w:t>
      </w:r>
    </w:p>
    <w:p>
      <w:pPr>
        <w:spacing w:line="360" w:lineRule="auto"/>
        <w:ind w:left="1917" w:leftChars="913" w:firstLine="420"/>
        <w:rPr>
          <w:sz w:val="24"/>
        </w:rPr>
      </w:pPr>
      <w:r>
        <w:rPr>
          <w:rFonts w:hint="eastAsia"/>
          <w:sz w:val="24"/>
        </w:rPr>
        <w:t>中国建筑科学研究院有限公司</w:t>
      </w:r>
    </w:p>
    <w:p>
      <w:pPr>
        <w:spacing w:line="360" w:lineRule="auto"/>
        <w:ind w:left="1917" w:leftChars="913" w:firstLine="420"/>
        <w:rPr>
          <w:sz w:val="24"/>
        </w:rPr>
      </w:pPr>
      <w:r>
        <w:rPr>
          <w:rFonts w:hint="eastAsia"/>
          <w:sz w:val="24"/>
        </w:rPr>
        <w:t>北京三茂建筑工程检测鉴定有限公司</w:t>
      </w:r>
    </w:p>
    <w:p>
      <w:pPr>
        <w:spacing w:line="360" w:lineRule="auto"/>
        <w:ind w:left="1917" w:leftChars="913" w:firstLine="420"/>
        <w:rPr>
          <w:sz w:val="24"/>
        </w:rPr>
      </w:pPr>
      <w:r>
        <w:rPr>
          <w:rFonts w:hint="eastAsia"/>
          <w:sz w:val="24"/>
        </w:rPr>
        <w:t>北京市市政工程研究院</w:t>
      </w:r>
    </w:p>
    <w:p>
      <w:pPr>
        <w:spacing w:line="360" w:lineRule="auto"/>
        <w:ind w:left="1917" w:leftChars="913" w:firstLine="420"/>
        <w:rPr>
          <w:sz w:val="24"/>
        </w:rPr>
      </w:pPr>
      <w:r>
        <w:rPr>
          <w:rFonts w:hint="eastAsia"/>
          <w:sz w:val="24"/>
        </w:rPr>
        <w:t>中建一局集团建设发展有限公司</w:t>
      </w:r>
    </w:p>
    <w:p>
      <w:pPr>
        <w:spacing w:line="360" w:lineRule="auto"/>
        <w:ind w:left="1917" w:leftChars="913" w:firstLine="420"/>
        <w:rPr>
          <w:sz w:val="24"/>
        </w:rPr>
      </w:pPr>
      <w:r>
        <w:rPr>
          <w:rFonts w:hint="eastAsia"/>
          <w:sz w:val="24"/>
        </w:rPr>
        <w:t>北京城建华泰土木工程有限公司</w:t>
      </w:r>
    </w:p>
    <w:p>
      <w:pPr>
        <w:spacing w:line="360" w:lineRule="auto"/>
        <w:ind w:left="1917" w:leftChars="913" w:firstLine="420"/>
        <w:rPr>
          <w:sz w:val="24"/>
        </w:rPr>
      </w:pPr>
      <w:r>
        <w:rPr>
          <w:rFonts w:hint="eastAsia"/>
          <w:sz w:val="24"/>
        </w:rPr>
        <w:t>北京智博联科技股份有限公司</w:t>
      </w:r>
    </w:p>
    <w:p>
      <w:pPr>
        <w:spacing w:line="360" w:lineRule="auto"/>
        <w:ind w:left="1917" w:leftChars="913" w:firstLine="420"/>
        <w:rPr>
          <w:sz w:val="24"/>
        </w:rPr>
      </w:pPr>
      <w:r>
        <w:rPr>
          <w:rFonts w:hint="eastAsia"/>
          <w:sz w:val="24"/>
        </w:rPr>
        <w:t>昆山匹希通检测科技有限公司</w:t>
      </w:r>
    </w:p>
    <w:p>
      <w:pPr>
        <w:spacing w:line="360" w:lineRule="auto"/>
        <w:ind w:left="1917" w:leftChars="913" w:firstLine="420"/>
        <w:rPr>
          <w:sz w:val="24"/>
        </w:rPr>
      </w:pPr>
      <w:r>
        <w:rPr>
          <w:rFonts w:hint="eastAsia"/>
          <w:sz w:val="24"/>
        </w:rPr>
        <w:t>河南德朗智能科技有限公司</w:t>
      </w:r>
    </w:p>
    <w:p>
      <w:pPr>
        <w:spacing w:line="360" w:lineRule="auto"/>
        <w:ind w:left="1917" w:leftChars="913" w:firstLine="420"/>
        <w:rPr>
          <w:sz w:val="24"/>
        </w:rPr>
      </w:pPr>
      <w:r>
        <w:rPr>
          <w:rFonts w:hint="eastAsia"/>
          <w:sz w:val="24"/>
        </w:rPr>
        <w:t>北京天助瑞邦影像设备有限公司</w:t>
      </w:r>
    </w:p>
    <w:p>
      <w:pPr>
        <w:spacing w:line="360" w:lineRule="auto"/>
        <w:ind w:left="1917" w:leftChars="913" w:firstLine="420"/>
        <w:rPr>
          <w:sz w:val="24"/>
        </w:rPr>
      </w:pPr>
      <w:r>
        <w:rPr>
          <w:rFonts w:hint="eastAsia"/>
          <w:sz w:val="24"/>
        </w:rPr>
        <w:t>北京海创高科科技有限公司</w:t>
      </w:r>
    </w:p>
    <w:p>
      <w:pPr>
        <w:spacing w:line="360" w:lineRule="auto"/>
        <w:ind w:left="1917" w:leftChars="913" w:firstLine="420"/>
        <w:rPr>
          <w:sz w:val="24"/>
        </w:rPr>
      </w:pPr>
      <w:r>
        <w:rPr>
          <w:rFonts w:hint="eastAsia"/>
          <w:sz w:val="24"/>
        </w:rPr>
        <w:t>四川陆通检测科技有限公司</w:t>
      </w:r>
    </w:p>
    <w:p>
      <w:pPr>
        <w:spacing w:line="360" w:lineRule="auto"/>
        <w:ind w:left="1917" w:leftChars="913" w:firstLine="420"/>
        <w:rPr>
          <w:sz w:val="24"/>
        </w:rPr>
      </w:pPr>
      <w:r>
        <w:rPr>
          <w:rFonts w:hint="eastAsia"/>
          <w:sz w:val="24"/>
        </w:rPr>
        <w:t>上海劳瑞仪器设备有限公司</w:t>
      </w:r>
    </w:p>
    <w:p>
      <w:pPr>
        <w:spacing w:line="360" w:lineRule="auto"/>
        <w:ind w:left="1917" w:leftChars="913" w:firstLine="420"/>
        <w:rPr>
          <w:sz w:val="24"/>
        </w:rPr>
      </w:pPr>
      <w:r>
        <w:rPr>
          <w:rFonts w:hint="eastAsia"/>
          <w:sz w:val="24"/>
        </w:rPr>
        <w:t>北京精简建筑科技有限公司</w:t>
      </w:r>
    </w:p>
    <w:p>
      <w:pPr>
        <w:spacing w:line="360" w:lineRule="auto"/>
        <w:ind w:left="1917" w:leftChars="913" w:firstLine="420"/>
        <w:rPr>
          <w:sz w:val="24"/>
        </w:rPr>
      </w:pPr>
      <w:r>
        <w:rPr>
          <w:rFonts w:hint="eastAsia"/>
          <w:sz w:val="24"/>
        </w:rPr>
        <w:t>中铁十四局集团房桥有限公司</w:t>
      </w:r>
    </w:p>
    <w:p>
      <w:pPr>
        <w:spacing w:line="360" w:lineRule="auto"/>
        <w:ind w:left="1917" w:leftChars="913" w:firstLine="420"/>
        <w:rPr>
          <w:sz w:val="24"/>
        </w:rPr>
      </w:pPr>
    </w:p>
    <w:p>
      <w:pPr>
        <w:spacing w:line="360" w:lineRule="auto"/>
        <w:ind w:firstLine="420"/>
        <w:rPr>
          <w:sz w:val="24"/>
        </w:rPr>
      </w:pPr>
    </w:p>
    <w:p>
      <w:pPr>
        <w:spacing w:line="360" w:lineRule="auto"/>
        <w:ind w:firstLine="420"/>
        <w:rPr>
          <w:sz w:val="24"/>
        </w:rPr>
      </w:pPr>
      <w:r>
        <w:rPr>
          <w:sz w:val="24"/>
        </w:rPr>
        <w:t xml:space="preserve">本标准主要起草人员：  </w:t>
      </w:r>
    </w:p>
    <w:p>
      <w:pPr>
        <w:spacing w:line="360" w:lineRule="auto"/>
        <w:ind w:firstLine="420"/>
        <w:rPr>
          <w:sz w:val="24"/>
        </w:rPr>
      </w:pPr>
    </w:p>
    <w:p>
      <w:pPr>
        <w:spacing w:line="360" w:lineRule="auto"/>
        <w:ind w:firstLine="420"/>
        <w:rPr>
          <w:sz w:val="24"/>
        </w:rPr>
      </w:pPr>
      <w:r>
        <w:rPr>
          <w:sz w:val="24"/>
        </w:rPr>
        <w:t xml:space="preserve">本标准主要审查人员：  </w:t>
      </w:r>
    </w:p>
    <w:p>
      <w:pPr>
        <w:spacing w:line="360" w:lineRule="auto"/>
        <w:jc w:val="center"/>
        <w:rPr>
          <w:sz w:val="24"/>
        </w:rPr>
      </w:pPr>
    </w:p>
    <w:p>
      <w:pPr>
        <w:spacing w:line="360" w:lineRule="auto"/>
        <w:jc w:val="center"/>
        <w:rPr>
          <w:sz w:val="24"/>
        </w:rPr>
      </w:pPr>
    </w:p>
    <w:p>
      <w:pPr>
        <w:jc w:val="center"/>
      </w:pPr>
    </w:p>
    <w:p>
      <w:pPr>
        <w:jc w:val="center"/>
      </w:pPr>
    </w:p>
    <w:p>
      <w:pPr>
        <w:jc w:val="center"/>
      </w:pPr>
    </w:p>
    <w:p>
      <w:pPr>
        <w:jc w:val="center"/>
      </w:pPr>
    </w:p>
    <w:p>
      <w:pPr>
        <w:jc w:val="center"/>
      </w:pPr>
    </w:p>
    <w:p/>
    <w:p>
      <w:pPr>
        <w:jc w:val="center"/>
      </w:pPr>
    </w:p>
    <w:p>
      <w:pPr>
        <w:jc w:val="center"/>
      </w:pPr>
    </w:p>
    <w:p>
      <w:pPr>
        <w:tabs>
          <w:tab w:val="left" w:pos="1260"/>
        </w:tabs>
        <w:spacing w:before="156" w:beforeLines="50" w:after="156" w:afterLines="50"/>
        <w:sectPr>
          <w:pgSz w:w="11906" w:h="16838"/>
          <w:pgMar w:top="1440" w:right="1800" w:bottom="1440" w:left="1800" w:header="851" w:footer="992" w:gutter="0"/>
          <w:cols w:space="425" w:num="1"/>
          <w:docGrid w:type="lines" w:linePitch="312" w:charSpace="0"/>
        </w:sectPr>
      </w:pPr>
    </w:p>
    <w:bookmarkEnd w:id="21"/>
    <w:bookmarkEnd w:id="22"/>
    <w:bookmarkEnd w:id="23"/>
    <w:p>
      <w:pPr>
        <w:pStyle w:val="17"/>
        <w:jc w:val="center"/>
        <w:rPr>
          <w:rFonts w:ascii="Times New Roman" w:hAnsi="Times New Roman" w:cs="Times New Roman"/>
          <w:sz w:val="32"/>
          <w:szCs w:val="32"/>
        </w:rPr>
      </w:pPr>
      <w:bookmarkStart w:id="25" w:name="_Toc11182187"/>
      <w:bookmarkStart w:id="26" w:name="_Toc9523455"/>
      <w:bookmarkStart w:id="27" w:name="_Toc5959369"/>
      <w:bookmarkStart w:id="28" w:name="_Toc13845548"/>
      <w:r>
        <w:rPr>
          <w:rFonts w:ascii="Times New Roman" w:hAnsi="Times New Roman" w:cs="Times New Roman"/>
          <w:sz w:val="32"/>
          <w:szCs w:val="32"/>
        </w:rPr>
        <w:t>目</w:t>
      </w:r>
      <w:r>
        <w:rPr>
          <w:rFonts w:hint="eastAsia" w:ascii="Times New Roman" w:hAnsi="Times New Roman" w:cs="Times New Roman"/>
          <w:sz w:val="32"/>
          <w:szCs w:val="32"/>
          <w:lang w:val="en-US" w:eastAsia="zh-CN"/>
        </w:rPr>
        <w:t xml:space="preserve">    </w:t>
      </w:r>
      <w:r>
        <w:rPr>
          <w:rFonts w:ascii="Times New Roman" w:hAnsi="Times New Roman" w:cs="Times New Roman"/>
          <w:sz w:val="32"/>
          <w:szCs w:val="32"/>
        </w:rPr>
        <w:t>次</w:t>
      </w:r>
      <w:bookmarkEnd w:id="25"/>
      <w:bookmarkEnd w:id="26"/>
      <w:bookmarkEnd w:id="27"/>
      <w:bookmarkEnd w:id="28"/>
    </w:p>
    <w:p>
      <w:pPr>
        <w:pStyle w:val="17"/>
        <w:tabs>
          <w:tab w:val="right" w:leader="dot" w:pos="8303"/>
        </w:tabs>
        <w:spacing w:before="0" w:after="0" w:line="300" w:lineRule="auto"/>
        <w:rPr>
          <w:rFonts w:ascii="Times New Roman" w:hAnsi="Times New Roman" w:cs="Times New Roman" w:eastAsiaTheme="minorEastAsia"/>
          <w:b w:val="0"/>
          <w:bCs w:val="0"/>
          <w:caps w:val="0"/>
          <w:sz w:val="24"/>
          <w:szCs w:val="24"/>
        </w:rPr>
      </w:pPr>
      <w:r>
        <w:rPr>
          <w:rFonts w:ascii="Times New Roman" w:hAnsi="Times New Roman" w:cs="Times New Roman" w:eastAsiaTheme="minorEastAsia"/>
          <w:b w:val="0"/>
          <w:caps w:val="0"/>
          <w:sz w:val="24"/>
          <w:szCs w:val="24"/>
        </w:rPr>
        <w:fldChar w:fldCharType="begin"/>
      </w:r>
      <w:r>
        <w:rPr>
          <w:rFonts w:ascii="Times New Roman" w:hAnsi="Times New Roman" w:cs="Times New Roman" w:eastAsiaTheme="minorEastAsia"/>
          <w:b w:val="0"/>
          <w:caps w:val="0"/>
          <w:sz w:val="24"/>
          <w:szCs w:val="24"/>
        </w:rPr>
        <w:instrText xml:space="preserve"> TOC \o "1-2" \h \z \u </w:instrText>
      </w:r>
      <w:r>
        <w:rPr>
          <w:rFonts w:ascii="Times New Roman" w:hAnsi="Times New Roman" w:cs="Times New Roman" w:eastAsiaTheme="minorEastAsia"/>
          <w:b w:val="0"/>
          <w:caps w:val="0"/>
          <w:sz w:val="24"/>
          <w:szCs w:val="24"/>
        </w:rPr>
        <w:fldChar w:fldCharType="separate"/>
      </w:r>
      <w:r>
        <w:fldChar w:fldCharType="begin"/>
      </w:r>
      <w:r>
        <w:instrText xml:space="preserve"> HYPERLINK \l "_Toc120020271" </w:instrText>
      </w:r>
      <w:r>
        <w:fldChar w:fldCharType="separate"/>
      </w:r>
      <w:r>
        <w:rPr>
          <w:rStyle w:val="29"/>
          <w:rFonts w:ascii="Times New Roman" w:hAnsi="Times New Roman" w:cs="Times New Roman" w:eastAsiaTheme="minorEastAsia"/>
          <w:b w:val="0"/>
          <w:caps w:val="0"/>
          <w:kern w:val="44"/>
          <w:sz w:val="24"/>
          <w:szCs w:val="24"/>
        </w:rPr>
        <w:t>1  总    则</w:t>
      </w:r>
      <w:r>
        <w:rPr>
          <w:rFonts w:ascii="Times New Roman" w:hAnsi="Times New Roman" w:cs="Times New Roman" w:eastAsiaTheme="minorEastAsia"/>
          <w:b w:val="0"/>
          <w:caps w:val="0"/>
          <w:sz w:val="24"/>
          <w:szCs w:val="24"/>
        </w:rPr>
        <w:tab/>
      </w:r>
      <w:r>
        <w:rPr>
          <w:rFonts w:ascii="Times New Roman" w:hAnsi="Times New Roman" w:cs="Times New Roman" w:eastAsiaTheme="minorEastAsia"/>
          <w:b w:val="0"/>
          <w:caps w:val="0"/>
          <w:sz w:val="24"/>
          <w:szCs w:val="24"/>
        </w:rPr>
        <w:fldChar w:fldCharType="begin"/>
      </w:r>
      <w:r>
        <w:rPr>
          <w:rFonts w:ascii="Times New Roman" w:hAnsi="Times New Roman" w:cs="Times New Roman" w:eastAsiaTheme="minorEastAsia"/>
          <w:b w:val="0"/>
          <w:caps w:val="0"/>
          <w:sz w:val="24"/>
          <w:szCs w:val="24"/>
        </w:rPr>
        <w:instrText xml:space="preserve"> PAGEREF _Toc120020271 \h </w:instrText>
      </w:r>
      <w:r>
        <w:rPr>
          <w:rFonts w:ascii="Times New Roman" w:hAnsi="Times New Roman" w:cs="Times New Roman" w:eastAsiaTheme="minorEastAsia"/>
          <w:b w:val="0"/>
          <w:caps w:val="0"/>
          <w:sz w:val="24"/>
          <w:szCs w:val="24"/>
        </w:rPr>
        <w:fldChar w:fldCharType="separate"/>
      </w:r>
      <w:r>
        <w:rPr>
          <w:rFonts w:ascii="Times New Roman" w:hAnsi="Times New Roman" w:cs="Times New Roman" w:eastAsiaTheme="minorEastAsia"/>
          <w:b w:val="0"/>
          <w:caps w:val="0"/>
          <w:sz w:val="24"/>
          <w:szCs w:val="24"/>
        </w:rPr>
        <w:t>1</w:t>
      </w:r>
      <w:r>
        <w:rPr>
          <w:rFonts w:ascii="Times New Roman" w:hAnsi="Times New Roman" w:cs="Times New Roman" w:eastAsiaTheme="minorEastAsia"/>
          <w:b w:val="0"/>
          <w:caps w:val="0"/>
          <w:sz w:val="24"/>
          <w:szCs w:val="24"/>
        </w:rPr>
        <w:fldChar w:fldCharType="end"/>
      </w:r>
      <w:r>
        <w:rPr>
          <w:rFonts w:ascii="Times New Roman" w:hAnsi="Times New Roman" w:cs="Times New Roman" w:eastAsiaTheme="minorEastAsia"/>
          <w:b w:val="0"/>
          <w:caps w:val="0"/>
          <w:sz w:val="24"/>
          <w:szCs w:val="24"/>
        </w:rPr>
        <w:fldChar w:fldCharType="end"/>
      </w:r>
    </w:p>
    <w:p>
      <w:pPr>
        <w:pStyle w:val="17"/>
        <w:tabs>
          <w:tab w:val="right" w:leader="dot" w:pos="8303"/>
        </w:tabs>
        <w:spacing w:before="0" w:after="0" w:line="300" w:lineRule="auto"/>
        <w:rPr>
          <w:rFonts w:ascii="Times New Roman" w:hAnsi="Times New Roman" w:cs="Times New Roman" w:eastAsiaTheme="minorEastAsia"/>
          <w:b w:val="0"/>
          <w:bCs w:val="0"/>
          <w:caps w:val="0"/>
          <w:sz w:val="24"/>
          <w:szCs w:val="24"/>
        </w:rPr>
      </w:pPr>
      <w:r>
        <w:fldChar w:fldCharType="begin"/>
      </w:r>
      <w:r>
        <w:instrText xml:space="preserve"> HYPERLINK \l "_Toc120020272" </w:instrText>
      </w:r>
      <w:r>
        <w:fldChar w:fldCharType="separate"/>
      </w:r>
      <w:r>
        <w:rPr>
          <w:rStyle w:val="29"/>
          <w:rFonts w:ascii="Times New Roman" w:hAnsi="Times New Roman" w:cs="Times New Roman" w:eastAsiaTheme="minorEastAsia"/>
          <w:b w:val="0"/>
          <w:caps w:val="0"/>
          <w:kern w:val="44"/>
          <w:sz w:val="24"/>
          <w:szCs w:val="24"/>
        </w:rPr>
        <w:t>2  术语和符号</w:t>
      </w:r>
      <w:r>
        <w:rPr>
          <w:rFonts w:ascii="Times New Roman" w:hAnsi="Times New Roman" w:cs="Times New Roman" w:eastAsiaTheme="minorEastAsia"/>
          <w:b w:val="0"/>
          <w:caps w:val="0"/>
          <w:sz w:val="24"/>
          <w:szCs w:val="24"/>
        </w:rPr>
        <w:tab/>
      </w:r>
      <w:r>
        <w:rPr>
          <w:rFonts w:ascii="Times New Roman" w:hAnsi="Times New Roman" w:cs="Times New Roman" w:eastAsiaTheme="minorEastAsia"/>
          <w:b w:val="0"/>
          <w:caps w:val="0"/>
          <w:sz w:val="24"/>
          <w:szCs w:val="24"/>
        </w:rPr>
        <w:fldChar w:fldCharType="begin"/>
      </w:r>
      <w:r>
        <w:rPr>
          <w:rFonts w:ascii="Times New Roman" w:hAnsi="Times New Roman" w:cs="Times New Roman" w:eastAsiaTheme="minorEastAsia"/>
          <w:b w:val="0"/>
          <w:caps w:val="0"/>
          <w:sz w:val="24"/>
          <w:szCs w:val="24"/>
        </w:rPr>
        <w:instrText xml:space="preserve"> PAGEREF _Toc120020272 \h </w:instrText>
      </w:r>
      <w:r>
        <w:rPr>
          <w:rFonts w:ascii="Times New Roman" w:hAnsi="Times New Roman" w:cs="Times New Roman" w:eastAsiaTheme="minorEastAsia"/>
          <w:b w:val="0"/>
          <w:caps w:val="0"/>
          <w:sz w:val="24"/>
          <w:szCs w:val="24"/>
        </w:rPr>
        <w:fldChar w:fldCharType="separate"/>
      </w:r>
      <w:r>
        <w:rPr>
          <w:rFonts w:ascii="Times New Roman" w:hAnsi="Times New Roman" w:cs="Times New Roman" w:eastAsiaTheme="minorEastAsia"/>
          <w:b w:val="0"/>
          <w:caps w:val="0"/>
          <w:sz w:val="24"/>
          <w:szCs w:val="24"/>
        </w:rPr>
        <w:t>2</w:t>
      </w:r>
      <w:r>
        <w:rPr>
          <w:rFonts w:ascii="Times New Roman" w:hAnsi="Times New Roman" w:cs="Times New Roman" w:eastAsiaTheme="minorEastAsia"/>
          <w:b w:val="0"/>
          <w:caps w:val="0"/>
          <w:sz w:val="24"/>
          <w:szCs w:val="24"/>
        </w:rPr>
        <w:fldChar w:fldCharType="end"/>
      </w:r>
      <w:r>
        <w:rPr>
          <w:rFonts w:ascii="Times New Roman" w:hAnsi="Times New Roman" w:cs="Times New Roman" w:eastAsiaTheme="minorEastAsia"/>
          <w:b w:val="0"/>
          <w:caps w:val="0"/>
          <w:sz w:val="24"/>
          <w:szCs w:val="24"/>
        </w:rPr>
        <w:fldChar w:fldCharType="end"/>
      </w:r>
    </w:p>
    <w:p>
      <w:pPr>
        <w:pStyle w:val="20"/>
        <w:tabs>
          <w:tab w:val="right" w:leader="dot" w:pos="8303"/>
        </w:tabs>
        <w:spacing w:line="300" w:lineRule="auto"/>
        <w:rPr>
          <w:rFonts w:ascii="Times New Roman" w:hAnsi="Times New Roman" w:cs="Times New Roman" w:eastAsiaTheme="minorEastAsia"/>
          <w:smallCaps w:val="0"/>
          <w:sz w:val="24"/>
          <w:szCs w:val="24"/>
        </w:rPr>
      </w:pPr>
      <w:r>
        <w:fldChar w:fldCharType="begin"/>
      </w:r>
      <w:r>
        <w:instrText xml:space="preserve"> HYPERLINK \l "_Toc120020273" </w:instrText>
      </w:r>
      <w:r>
        <w:fldChar w:fldCharType="separate"/>
      </w:r>
      <w:r>
        <w:rPr>
          <w:rStyle w:val="29"/>
          <w:rFonts w:ascii="Times New Roman" w:hAnsi="Times New Roman" w:cs="Times New Roman" w:eastAsiaTheme="minorEastAsia"/>
          <w:smallCaps w:val="0"/>
          <w:kern w:val="0"/>
          <w:sz w:val="24"/>
          <w:szCs w:val="24"/>
        </w:rPr>
        <w:t>2.1  术语</w:t>
      </w:r>
      <w:r>
        <w:rPr>
          <w:rFonts w:ascii="Times New Roman" w:hAnsi="Times New Roman" w:cs="Times New Roman" w:eastAsiaTheme="minorEastAsia"/>
          <w:smallCaps w:val="0"/>
          <w:sz w:val="24"/>
          <w:szCs w:val="24"/>
        </w:rPr>
        <w:tab/>
      </w:r>
      <w:r>
        <w:rPr>
          <w:rFonts w:ascii="Times New Roman" w:hAnsi="Times New Roman" w:cs="Times New Roman" w:eastAsiaTheme="minorEastAsia"/>
          <w:smallCaps w:val="0"/>
          <w:sz w:val="24"/>
          <w:szCs w:val="24"/>
        </w:rPr>
        <w:fldChar w:fldCharType="begin"/>
      </w:r>
      <w:r>
        <w:rPr>
          <w:rFonts w:ascii="Times New Roman" w:hAnsi="Times New Roman" w:cs="Times New Roman" w:eastAsiaTheme="minorEastAsia"/>
          <w:smallCaps w:val="0"/>
          <w:sz w:val="24"/>
          <w:szCs w:val="24"/>
        </w:rPr>
        <w:instrText xml:space="preserve"> PAGEREF _Toc120020273 \h </w:instrText>
      </w:r>
      <w:r>
        <w:rPr>
          <w:rFonts w:ascii="Times New Roman" w:hAnsi="Times New Roman" w:cs="Times New Roman" w:eastAsiaTheme="minorEastAsia"/>
          <w:smallCaps w:val="0"/>
          <w:sz w:val="24"/>
          <w:szCs w:val="24"/>
        </w:rPr>
        <w:fldChar w:fldCharType="separate"/>
      </w:r>
      <w:r>
        <w:rPr>
          <w:rFonts w:ascii="Times New Roman" w:hAnsi="Times New Roman" w:cs="Times New Roman" w:eastAsiaTheme="minorEastAsia"/>
          <w:smallCaps w:val="0"/>
          <w:sz w:val="24"/>
          <w:szCs w:val="24"/>
        </w:rPr>
        <w:t>2</w:t>
      </w:r>
      <w:r>
        <w:rPr>
          <w:rFonts w:ascii="Times New Roman" w:hAnsi="Times New Roman" w:cs="Times New Roman" w:eastAsiaTheme="minorEastAsia"/>
          <w:smallCaps w:val="0"/>
          <w:sz w:val="24"/>
          <w:szCs w:val="24"/>
        </w:rPr>
        <w:fldChar w:fldCharType="end"/>
      </w:r>
      <w:r>
        <w:rPr>
          <w:rFonts w:ascii="Times New Roman" w:hAnsi="Times New Roman" w:cs="Times New Roman" w:eastAsiaTheme="minorEastAsia"/>
          <w:smallCaps w:val="0"/>
          <w:sz w:val="24"/>
          <w:szCs w:val="24"/>
        </w:rPr>
        <w:fldChar w:fldCharType="end"/>
      </w:r>
    </w:p>
    <w:p>
      <w:pPr>
        <w:pStyle w:val="20"/>
        <w:tabs>
          <w:tab w:val="right" w:leader="dot" w:pos="8303"/>
        </w:tabs>
        <w:spacing w:line="300" w:lineRule="auto"/>
        <w:rPr>
          <w:rFonts w:ascii="Times New Roman" w:hAnsi="Times New Roman" w:cs="Times New Roman" w:eastAsiaTheme="minorEastAsia"/>
          <w:smallCaps w:val="0"/>
          <w:sz w:val="24"/>
          <w:szCs w:val="24"/>
        </w:rPr>
      </w:pPr>
      <w:r>
        <w:fldChar w:fldCharType="begin"/>
      </w:r>
      <w:r>
        <w:instrText xml:space="preserve"> HYPERLINK \l "_Toc120020274" </w:instrText>
      </w:r>
      <w:r>
        <w:fldChar w:fldCharType="separate"/>
      </w:r>
      <w:r>
        <w:rPr>
          <w:rStyle w:val="29"/>
          <w:rFonts w:ascii="Times New Roman" w:hAnsi="Times New Roman" w:cs="Times New Roman" w:eastAsiaTheme="minorEastAsia"/>
          <w:smallCaps w:val="0"/>
          <w:kern w:val="0"/>
          <w:sz w:val="24"/>
          <w:szCs w:val="24"/>
        </w:rPr>
        <w:t>2.2  符号</w:t>
      </w:r>
      <w:r>
        <w:rPr>
          <w:rFonts w:ascii="Times New Roman" w:hAnsi="Times New Roman" w:cs="Times New Roman" w:eastAsiaTheme="minorEastAsia"/>
          <w:smallCaps w:val="0"/>
          <w:sz w:val="24"/>
          <w:szCs w:val="24"/>
        </w:rPr>
        <w:tab/>
      </w:r>
      <w:r>
        <w:rPr>
          <w:rFonts w:ascii="Times New Roman" w:hAnsi="Times New Roman" w:cs="Times New Roman" w:eastAsiaTheme="minorEastAsia"/>
          <w:smallCaps w:val="0"/>
          <w:sz w:val="24"/>
          <w:szCs w:val="24"/>
        </w:rPr>
        <w:fldChar w:fldCharType="begin"/>
      </w:r>
      <w:r>
        <w:rPr>
          <w:rFonts w:ascii="Times New Roman" w:hAnsi="Times New Roman" w:cs="Times New Roman" w:eastAsiaTheme="minorEastAsia"/>
          <w:smallCaps w:val="0"/>
          <w:sz w:val="24"/>
          <w:szCs w:val="24"/>
        </w:rPr>
        <w:instrText xml:space="preserve"> PAGEREF _Toc120020274 \h </w:instrText>
      </w:r>
      <w:r>
        <w:rPr>
          <w:rFonts w:ascii="Times New Roman" w:hAnsi="Times New Roman" w:cs="Times New Roman" w:eastAsiaTheme="minorEastAsia"/>
          <w:smallCaps w:val="0"/>
          <w:sz w:val="24"/>
          <w:szCs w:val="24"/>
        </w:rPr>
        <w:fldChar w:fldCharType="separate"/>
      </w:r>
      <w:r>
        <w:rPr>
          <w:rFonts w:ascii="Times New Roman" w:hAnsi="Times New Roman" w:cs="Times New Roman" w:eastAsiaTheme="minorEastAsia"/>
          <w:smallCaps w:val="0"/>
          <w:sz w:val="24"/>
          <w:szCs w:val="24"/>
        </w:rPr>
        <w:t>3</w:t>
      </w:r>
      <w:r>
        <w:rPr>
          <w:rFonts w:ascii="Times New Roman" w:hAnsi="Times New Roman" w:cs="Times New Roman" w:eastAsiaTheme="minorEastAsia"/>
          <w:smallCaps w:val="0"/>
          <w:sz w:val="24"/>
          <w:szCs w:val="24"/>
        </w:rPr>
        <w:fldChar w:fldCharType="end"/>
      </w:r>
      <w:r>
        <w:rPr>
          <w:rFonts w:ascii="Times New Roman" w:hAnsi="Times New Roman" w:cs="Times New Roman" w:eastAsiaTheme="minorEastAsia"/>
          <w:smallCaps w:val="0"/>
          <w:sz w:val="24"/>
          <w:szCs w:val="24"/>
        </w:rPr>
        <w:fldChar w:fldCharType="end"/>
      </w:r>
    </w:p>
    <w:p>
      <w:pPr>
        <w:pStyle w:val="17"/>
        <w:tabs>
          <w:tab w:val="right" w:leader="dot" w:pos="8303"/>
        </w:tabs>
        <w:spacing w:before="0" w:after="0" w:line="300" w:lineRule="auto"/>
        <w:rPr>
          <w:rFonts w:ascii="Times New Roman" w:hAnsi="Times New Roman" w:cs="Times New Roman" w:eastAsiaTheme="minorEastAsia"/>
          <w:b w:val="0"/>
          <w:bCs w:val="0"/>
          <w:caps w:val="0"/>
          <w:sz w:val="24"/>
          <w:szCs w:val="24"/>
        </w:rPr>
      </w:pPr>
      <w:r>
        <w:fldChar w:fldCharType="begin"/>
      </w:r>
      <w:r>
        <w:instrText xml:space="preserve"> HYPERLINK \l "_Toc120020275" </w:instrText>
      </w:r>
      <w:r>
        <w:fldChar w:fldCharType="separate"/>
      </w:r>
      <w:r>
        <w:rPr>
          <w:rStyle w:val="29"/>
          <w:rFonts w:ascii="Times New Roman" w:hAnsi="Times New Roman" w:cs="Times New Roman" w:eastAsiaTheme="minorEastAsia"/>
          <w:b w:val="0"/>
          <w:caps w:val="0"/>
          <w:kern w:val="44"/>
          <w:sz w:val="24"/>
          <w:szCs w:val="24"/>
        </w:rPr>
        <w:t>3  基本规定</w:t>
      </w:r>
      <w:r>
        <w:rPr>
          <w:rFonts w:ascii="Times New Roman" w:hAnsi="Times New Roman" w:cs="Times New Roman" w:eastAsiaTheme="minorEastAsia"/>
          <w:b w:val="0"/>
          <w:caps w:val="0"/>
          <w:sz w:val="24"/>
          <w:szCs w:val="24"/>
        </w:rPr>
        <w:tab/>
      </w:r>
      <w:r>
        <w:rPr>
          <w:rFonts w:ascii="Times New Roman" w:hAnsi="Times New Roman" w:cs="Times New Roman" w:eastAsiaTheme="minorEastAsia"/>
          <w:b w:val="0"/>
          <w:caps w:val="0"/>
          <w:sz w:val="24"/>
          <w:szCs w:val="24"/>
        </w:rPr>
        <w:fldChar w:fldCharType="begin"/>
      </w:r>
      <w:r>
        <w:rPr>
          <w:rFonts w:ascii="Times New Roman" w:hAnsi="Times New Roman" w:cs="Times New Roman" w:eastAsiaTheme="minorEastAsia"/>
          <w:b w:val="0"/>
          <w:caps w:val="0"/>
          <w:sz w:val="24"/>
          <w:szCs w:val="24"/>
        </w:rPr>
        <w:instrText xml:space="preserve"> PAGEREF _Toc120020275 \h </w:instrText>
      </w:r>
      <w:r>
        <w:rPr>
          <w:rFonts w:ascii="Times New Roman" w:hAnsi="Times New Roman" w:cs="Times New Roman" w:eastAsiaTheme="minorEastAsia"/>
          <w:b w:val="0"/>
          <w:caps w:val="0"/>
          <w:sz w:val="24"/>
          <w:szCs w:val="24"/>
        </w:rPr>
        <w:fldChar w:fldCharType="separate"/>
      </w:r>
      <w:r>
        <w:rPr>
          <w:rFonts w:ascii="Times New Roman" w:hAnsi="Times New Roman" w:cs="Times New Roman" w:eastAsiaTheme="minorEastAsia"/>
          <w:b w:val="0"/>
          <w:caps w:val="0"/>
          <w:sz w:val="24"/>
          <w:szCs w:val="24"/>
        </w:rPr>
        <w:t>5</w:t>
      </w:r>
      <w:r>
        <w:rPr>
          <w:rFonts w:ascii="Times New Roman" w:hAnsi="Times New Roman" w:cs="Times New Roman" w:eastAsiaTheme="minorEastAsia"/>
          <w:b w:val="0"/>
          <w:caps w:val="0"/>
          <w:sz w:val="24"/>
          <w:szCs w:val="24"/>
        </w:rPr>
        <w:fldChar w:fldCharType="end"/>
      </w:r>
      <w:r>
        <w:rPr>
          <w:rFonts w:ascii="Times New Roman" w:hAnsi="Times New Roman" w:cs="Times New Roman" w:eastAsiaTheme="minorEastAsia"/>
          <w:b w:val="0"/>
          <w:caps w:val="0"/>
          <w:sz w:val="24"/>
          <w:szCs w:val="24"/>
        </w:rPr>
        <w:fldChar w:fldCharType="end"/>
      </w:r>
    </w:p>
    <w:p>
      <w:pPr>
        <w:pStyle w:val="20"/>
        <w:tabs>
          <w:tab w:val="right" w:leader="dot" w:pos="8303"/>
        </w:tabs>
        <w:spacing w:line="300" w:lineRule="auto"/>
        <w:rPr>
          <w:rFonts w:ascii="Times New Roman" w:hAnsi="Times New Roman" w:cs="Times New Roman" w:eastAsiaTheme="minorEastAsia"/>
          <w:smallCaps w:val="0"/>
          <w:sz w:val="24"/>
          <w:szCs w:val="24"/>
        </w:rPr>
      </w:pPr>
      <w:r>
        <w:fldChar w:fldCharType="begin"/>
      </w:r>
      <w:r>
        <w:instrText xml:space="preserve"> HYPERLINK \l "_Toc120020276" </w:instrText>
      </w:r>
      <w:r>
        <w:fldChar w:fldCharType="separate"/>
      </w:r>
      <w:r>
        <w:rPr>
          <w:rStyle w:val="29"/>
          <w:rFonts w:ascii="Times New Roman" w:hAnsi="Times New Roman" w:cs="Times New Roman" w:eastAsiaTheme="minorEastAsia"/>
          <w:smallCaps w:val="0"/>
          <w:kern w:val="0"/>
          <w:sz w:val="24"/>
          <w:szCs w:val="24"/>
        </w:rPr>
        <w:t>3.1  检测分类</w:t>
      </w:r>
      <w:r>
        <w:rPr>
          <w:rFonts w:ascii="Times New Roman" w:hAnsi="Times New Roman" w:cs="Times New Roman" w:eastAsiaTheme="minorEastAsia"/>
          <w:smallCaps w:val="0"/>
          <w:sz w:val="24"/>
          <w:szCs w:val="24"/>
        </w:rPr>
        <w:tab/>
      </w:r>
      <w:r>
        <w:rPr>
          <w:rFonts w:ascii="Times New Roman" w:hAnsi="Times New Roman" w:cs="Times New Roman" w:eastAsiaTheme="minorEastAsia"/>
          <w:smallCaps w:val="0"/>
          <w:sz w:val="24"/>
          <w:szCs w:val="24"/>
        </w:rPr>
        <w:fldChar w:fldCharType="begin"/>
      </w:r>
      <w:r>
        <w:rPr>
          <w:rFonts w:ascii="Times New Roman" w:hAnsi="Times New Roman" w:cs="Times New Roman" w:eastAsiaTheme="minorEastAsia"/>
          <w:smallCaps w:val="0"/>
          <w:sz w:val="24"/>
          <w:szCs w:val="24"/>
        </w:rPr>
        <w:instrText xml:space="preserve"> PAGEREF _Toc120020276 \h </w:instrText>
      </w:r>
      <w:r>
        <w:rPr>
          <w:rFonts w:ascii="Times New Roman" w:hAnsi="Times New Roman" w:cs="Times New Roman" w:eastAsiaTheme="minorEastAsia"/>
          <w:smallCaps w:val="0"/>
          <w:sz w:val="24"/>
          <w:szCs w:val="24"/>
        </w:rPr>
        <w:fldChar w:fldCharType="separate"/>
      </w:r>
      <w:r>
        <w:rPr>
          <w:rFonts w:ascii="Times New Roman" w:hAnsi="Times New Roman" w:cs="Times New Roman" w:eastAsiaTheme="minorEastAsia"/>
          <w:smallCaps w:val="0"/>
          <w:sz w:val="24"/>
          <w:szCs w:val="24"/>
        </w:rPr>
        <w:t>5</w:t>
      </w:r>
      <w:r>
        <w:rPr>
          <w:rFonts w:ascii="Times New Roman" w:hAnsi="Times New Roman" w:cs="Times New Roman" w:eastAsiaTheme="minorEastAsia"/>
          <w:smallCaps w:val="0"/>
          <w:sz w:val="24"/>
          <w:szCs w:val="24"/>
        </w:rPr>
        <w:fldChar w:fldCharType="end"/>
      </w:r>
      <w:r>
        <w:rPr>
          <w:rFonts w:ascii="Times New Roman" w:hAnsi="Times New Roman" w:cs="Times New Roman" w:eastAsiaTheme="minorEastAsia"/>
          <w:smallCaps w:val="0"/>
          <w:sz w:val="24"/>
          <w:szCs w:val="24"/>
        </w:rPr>
        <w:fldChar w:fldCharType="end"/>
      </w:r>
    </w:p>
    <w:p>
      <w:pPr>
        <w:pStyle w:val="20"/>
        <w:tabs>
          <w:tab w:val="right" w:leader="dot" w:pos="8303"/>
        </w:tabs>
        <w:spacing w:line="300" w:lineRule="auto"/>
        <w:rPr>
          <w:rFonts w:ascii="Times New Roman" w:hAnsi="Times New Roman" w:cs="Times New Roman" w:eastAsiaTheme="minorEastAsia"/>
          <w:smallCaps w:val="0"/>
          <w:sz w:val="24"/>
          <w:szCs w:val="24"/>
        </w:rPr>
      </w:pPr>
      <w:r>
        <w:fldChar w:fldCharType="begin"/>
      </w:r>
      <w:r>
        <w:instrText xml:space="preserve"> HYPERLINK \l "_Toc120020277" </w:instrText>
      </w:r>
      <w:r>
        <w:fldChar w:fldCharType="separate"/>
      </w:r>
      <w:r>
        <w:rPr>
          <w:rStyle w:val="29"/>
          <w:rFonts w:ascii="Times New Roman" w:hAnsi="Times New Roman" w:cs="Times New Roman" w:eastAsiaTheme="minorEastAsia"/>
          <w:smallCaps w:val="0"/>
          <w:kern w:val="0"/>
          <w:sz w:val="24"/>
          <w:szCs w:val="24"/>
        </w:rPr>
        <w:t>3.2  检测程序</w:t>
      </w:r>
      <w:r>
        <w:rPr>
          <w:rFonts w:ascii="Times New Roman" w:hAnsi="Times New Roman" w:cs="Times New Roman" w:eastAsiaTheme="minorEastAsia"/>
          <w:smallCaps w:val="0"/>
          <w:sz w:val="24"/>
          <w:szCs w:val="24"/>
        </w:rPr>
        <w:tab/>
      </w:r>
      <w:r>
        <w:rPr>
          <w:rFonts w:ascii="Times New Roman" w:hAnsi="Times New Roman" w:cs="Times New Roman" w:eastAsiaTheme="minorEastAsia"/>
          <w:smallCaps w:val="0"/>
          <w:sz w:val="24"/>
          <w:szCs w:val="24"/>
        </w:rPr>
        <w:fldChar w:fldCharType="begin"/>
      </w:r>
      <w:r>
        <w:rPr>
          <w:rFonts w:ascii="Times New Roman" w:hAnsi="Times New Roman" w:cs="Times New Roman" w:eastAsiaTheme="minorEastAsia"/>
          <w:smallCaps w:val="0"/>
          <w:sz w:val="24"/>
          <w:szCs w:val="24"/>
        </w:rPr>
        <w:instrText xml:space="preserve"> PAGEREF _Toc120020277 \h </w:instrText>
      </w:r>
      <w:r>
        <w:rPr>
          <w:rFonts w:ascii="Times New Roman" w:hAnsi="Times New Roman" w:cs="Times New Roman" w:eastAsiaTheme="minorEastAsia"/>
          <w:smallCaps w:val="0"/>
          <w:sz w:val="24"/>
          <w:szCs w:val="24"/>
        </w:rPr>
        <w:fldChar w:fldCharType="separate"/>
      </w:r>
      <w:r>
        <w:rPr>
          <w:rFonts w:ascii="Times New Roman" w:hAnsi="Times New Roman" w:cs="Times New Roman" w:eastAsiaTheme="minorEastAsia"/>
          <w:smallCaps w:val="0"/>
          <w:sz w:val="24"/>
          <w:szCs w:val="24"/>
        </w:rPr>
        <w:t>5</w:t>
      </w:r>
      <w:r>
        <w:rPr>
          <w:rFonts w:ascii="Times New Roman" w:hAnsi="Times New Roman" w:cs="Times New Roman" w:eastAsiaTheme="minorEastAsia"/>
          <w:smallCaps w:val="0"/>
          <w:sz w:val="24"/>
          <w:szCs w:val="24"/>
        </w:rPr>
        <w:fldChar w:fldCharType="end"/>
      </w:r>
      <w:r>
        <w:rPr>
          <w:rFonts w:ascii="Times New Roman" w:hAnsi="Times New Roman" w:cs="Times New Roman" w:eastAsiaTheme="minorEastAsia"/>
          <w:smallCaps w:val="0"/>
          <w:sz w:val="24"/>
          <w:szCs w:val="24"/>
        </w:rPr>
        <w:fldChar w:fldCharType="end"/>
      </w:r>
    </w:p>
    <w:p>
      <w:pPr>
        <w:pStyle w:val="20"/>
        <w:tabs>
          <w:tab w:val="right" w:leader="dot" w:pos="8303"/>
        </w:tabs>
        <w:spacing w:line="300" w:lineRule="auto"/>
        <w:rPr>
          <w:rFonts w:ascii="Times New Roman" w:hAnsi="Times New Roman" w:cs="Times New Roman" w:eastAsiaTheme="minorEastAsia"/>
          <w:smallCaps w:val="0"/>
          <w:sz w:val="24"/>
          <w:szCs w:val="24"/>
        </w:rPr>
      </w:pPr>
      <w:r>
        <w:fldChar w:fldCharType="begin"/>
      </w:r>
      <w:r>
        <w:instrText xml:space="preserve"> HYPERLINK \l "_Toc120020278" </w:instrText>
      </w:r>
      <w:r>
        <w:fldChar w:fldCharType="separate"/>
      </w:r>
      <w:r>
        <w:rPr>
          <w:rStyle w:val="29"/>
          <w:rFonts w:ascii="Times New Roman" w:hAnsi="Times New Roman" w:cs="Times New Roman" w:eastAsiaTheme="minorEastAsia"/>
          <w:smallCaps w:val="0"/>
          <w:kern w:val="0"/>
          <w:sz w:val="24"/>
          <w:szCs w:val="24"/>
        </w:rPr>
        <w:t>3.3  抽样方法与判定规则</w:t>
      </w:r>
      <w:r>
        <w:rPr>
          <w:rFonts w:ascii="Times New Roman" w:hAnsi="Times New Roman" w:cs="Times New Roman" w:eastAsiaTheme="minorEastAsia"/>
          <w:smallCaps w:val="0"/>
          <w:sz w:val="24"/>
          <w:szCs w:val="24"/>
        </w:rPr>
        <w:tab/>
      </w:r>
      <w:r>
        <w:rPr>
          <w:rFonts w:ascii="Times New Roman" w:hAnsi="Times New Roman" w:cs="Times New Roman" w:eastAsiaTheme="minorEastAsia"/>
          <w:smallCaps w:val="0"/>
          <w:sz w:val="24"/>
          <w:szCs w:val="24"/>
        </w:rPr>
        <w:fldChar w:fldCharType="begin"/>
      </w:r>
      <w:r>
        <w:rPr>
          <w:rFonts w:ascii="Times New Roman" w:hAnsi="Times New Roman" w:cs="Times New Roman" w:eastAsiaTheme="minorEastAsia"/>
          <w:smallCaps w:val="0"/>
          <w:sz w:val="24"/>
          <w:szCs w:val="24"/>
        </w:rPr>
        <w:instrText xml:space="preserve"> PAGEREF _Toc120020278 \h </w:instrText>
      </w:r>
      <w:r>
        <w:rPr>
          <w:rFonts w:ascii="Times New Roman" w:hAnsi="Times New Roman" w:cs="Times New Roman" w:eastAsiaTheme="minorEastAsia"/>
          <w:smallCaps w:val="0"/>
          <w:sz w:val="24"/>
          <w:szCs w:val="24"/>
        </w:rPr>
        <w:fldChar w:fldCharType="separate"/>
      </w:r>
      <w:r>
        <w:rPr>
          <w:rFonts w:ascii="Times New Roman" w:hAnsi="Times New Roman" w:cs="Times New Roman" w:eastAsiaTheme="minorEastAsia"/>
          <w:smallCaps w:val="0"/>
          <w:sz w:val="24"/>
          <w:szCs w:val="24"/>
        </w:rPr>
        <w:t>7</w:t>
      </w:r>
      <w:r>
        <w:rPr>
          <w:rFonts w:ascii="Times New Roman" w:hAnsi="Times New Roman" w:cs="Times New Roman" w:eastAsiaTheme="minorEastAsia"/>
          <w:smallCaps w:val="0"/>
          <w:sz w:val="24"/>
          <w:szCs w:val="24"/>
        </w:rPr>
        <w:fldChar w:fldCharType="end"/>
      </w:r>
      <w:r>
        <w:rPr>
          <w:rFonts w:ascii="Times New Roman" w:hAnsi="Times New Roman" w:cs="Times New Roman" w:eastAsiaTheme="minorEastAsia"/>
          <w:smallCaps w:val="0"/>
          <w:sz w:val="24"/>
          <w:szCs w:val="24"/>
        </w:rPr>
        <w:fldChar w:fldCharType="end"/>
      </w:r>
    </w:p>
    <w:p>
      <w:pPr>
        <w:pStyle w:val="17"/>
        <w:tabs>
          <w:tab w:val="right" w:leader="dot" w:pos="8303"/>
        </w:tabs>
        <w:spacing w:before="0" w:after="0" w:line="300" w:lineRule="auto"/>
        <w:rPr>
          <w:rFonts w:ascii="Times New Roman" w:hAnsi="Times New Roman" w:cs="Times New Roman" w:eastAsiaTheme="minorEastAsia"/>
          <w:b w:val="0"/>
          <w:bCs w:val="0"/>
          <w:caps w:val="0"/>
          <w:sz w:val="24"/>
          <w:szCs w:val="24"/>
        </w:rPr>
      </w:pPr>
      <w:r>
        <w:fldChar w:fldCharType="begin"/>
      </w:r>
      <w:r>
        <w:instrText xml:space="preserve"> HYPERLINK \l "_Toc120020279" </w:instrText>
      </w:r>
      <w:r>
        <w:fldChar w:fldCharType="separate"/>
      </w:r>
      <w:r>
        <w:rPr>
          <w:rStyle w:val="29"/>
          <w:rFonts w:ascii="Times New Roman" w:hAnsi="Times New Roman" w:cs="Times New Roman" w:eastAsiaTheme="minorEastAsia"/>
          <w:b w:val="0"/>
          <w:caps w:val="0"/>
          <w:kern w:val="44"/>
          <w:sz w:val="24"/>
          <w:szCs w:val="24"/>
        </w:rPr>
        <w:t>4  预制构件</w:t>
      </w:r>
      <w:r>
        <w:rPr>
          <w:rFonts w:ascii="Times New Roman" w:hAnsi="Times New Roman" w:cs="Times New Roman" w:eastAsiaTheme="minorEastAsia"/>
          <w:b w:val="0"/>
          <w:caps w:val="0"/>
          <w:sz w:val="24"/>
          <w:szCs w:val="24"/>
        </w:rPr>
        <w:tab/>
      </w:r>
      <w:r>
        <w:rPr>
          <w:rFonts w:ascii="Times New Roman" w:hAnsi="Times New Roman" w:cs="Times New Roman" w:eastAsiaTheme="minorEastAsia"/>
          <w:b w:val="0"/>
          <w:caps w:val="0"/>
          <w:sz w:val="24"/>
          <w:szCs w:val="24"/>
        </w:rPr>
        <w:fldChar w:fldCharType="begin"/>
      </w:r>
      <w:r>
        <w:rPr>
          <w:rFonts w:ascii="Times New Roman" w:hAnsi="Times New Roman" w:cs="Times New Roman" w:eastAsiaTheme="minorEastAsia"/>
          <w:b w:val="0"/>
          <w:caps w:val="0"/>
          <w:sz w:val="24"/>
          <w:szCs w:val="24"/>
        </w:rPr>
        <w:instrText xml:space="preserve"> PAGEREF _Toc120020279 \h </w:instrText>
      </w:r>
      <w:r>
        <w:rPr>
          <w:rFonts w:ascii="Times New Roman" w:hAnsi="Times New Roman" w:cs="Times New Roman" w:eastAsiaTheme="minorEastAsia"/>
          <w:b w:val="0"/>
          <w:caps w:val="0"/>
          <w:sz w:val="24"/>
          <w:szCs w:val="24"/>
        </w:rPr>
        <w:fldChar w:fldCharType="separate"/>
      </w:r>
      <w:r>
        <w:rPr>
          <w:rFonts w:ascii="Times New Roman" w:hAnsi="Times New Roman" w:cs="Times New Roman" w:eastAsiaTheme="minorEastAsia"/>
          <w:b w:val="0"/>
          <w:caps w:val="0"/>
          <w:sz w:val="24"/>
          <w:szCs w:val="24"/>
        </w:rPr>
        <w:t>11</w:t>
      </w:r>
      <w:r>
        <w:rPr>
          <w:rFonts w:ascii="Times New Roman" w:hAnsi="Times New Roman" w:cs="Times New Roman" w:eastAsiaTheme="minorEastAsia"/>
          <w:b w:val="0"/>
          <w:caps w:val="0"/>
          <w:sz w:val="24"/>
          <w:szCs w:val="24"/>
        </w:rPr>
        <w:fldChar w:fldCharType="end"/>
      </w:r>
      <w:r>
        <w:rPr>
          <w:rFonts w:ascii="Times New Roman" w:hAnsi="Times New Roman" w:cs="Times New Roman" w:eastAsiaTheme="minorEastAsia"/>
          <w:b w:val="0"/>
          <w:caps w:val="0"/>
          <w:sz w:val="24"/>
          <w:szCs w:val="24"/>
        </w:rPr>
        <w:fldChar w:fldCharType="end"/>
      </w:r>
    </w:p>
    <w:p>
      <w:pPr>
        <w:pStyle w:val="20"/>
        <w:tabs>
          <w:tab w:val="right" w:leader="dot" w:pos="8303"/>
        </w:tabs>
        <w:spacing w:line="300" w:lineRule="auto"/>
        <w:rPr>
          <w:rFonts w:ascii="Times New Roman" w:hAnsi="Times New Roman" w:cs="Times New Roman" w:eastAsiaTheme="minorEastAsia"/>
          <w:smallCaps w:val="0"/>
          <w:sz w:val="24"/>
          <w:szCs w:val="24"/>
        </w:rPr>
      </w:pPr>
      <w:r>
        <w:fldChar w:fldCharType="begin"/>
      </w:r>
      <w:r>
        <w:instrText xml:space="preserve"> HYPERLINK \l "_Toc120020280" </w:instrText>
      </w:r>
      <w:r>
        <w:fldChar w:fldCharType="separate"/>
      </w:r>
      <w:r>
        <w:rPr>
          <w:rStyle w:val="29"/>
          <w:rFonts w:ascii="Times New Roman" w:hAnsi="Times New Roman" w:cs="Times New Roman" w:eastAsiaTheme="minorEastAsia"/>
          <w:smallCaps w:val="0"/>
          <w:kern w:val="0"/>
          <w:sz w:val="24"/>
          <w:szCs w:val="24"/>
        </w:rPr>
        <w:t>4.1  一般规定</w:t>
      </w:r>
      <w:r>
        <w:rPr>
          <w:rFonts w:ascii="Times New Roman" w:hAnsi="Times New Roman" w:cs="Times New Roman" w:eastAsiaTheme="minorEastAsia"/>
          <w:smallCaps w:val="0"/>
          <w:sz w:val="24"/>
          <w:szCs w:val="24"/>
        </w:rPr>
        <w:tab/>
      </w:r>
      <w:r>
        <w:rPr>
          <w:rFonts w:ascii="Times New Roman" w:hAnsi="Times New Roman" w:cs="Times New Roman" w:eastAsiaTheme="minorEastAsia"/>
          <w:smallCaps w:val="0"/>
          <w:sz w:val="24"/>
          <w:szCs w:val="24"/>
        </w:rPr>
        <w:fldChar w:fldCharType="begin"/>
      </w:r>
      <w:r>
        <w:rPr>
          <w:rFonts w:ascii="Times New Roman" w:hAnsi="Times New Roman" w:cs="Times New Roman" w:eastAsiaTheme="minorEastAsia"/>
          <w:smallCaps w:val="0"/>
          <w:sz w:val="24"/>
          <w:szCs w:val="24"/>
        </w:rPr>
        <w:instrText xml:space="preserve"> PAGEREF _Toc120020280 \h </w:instrText>
      </w:r>
      <w:r>
        <w:rPr>
          <w:rFonts w:ascii="Times New Roman" w:hAnsi="Times New Roman" w:cs="Times New Roman" w:eastAsiaTheme="minorEastAsia"/>
          <w:smallCaps w:val="0"/>
          <w:sz w:val="24"/>
          <w:szCs w:val="24"/>
        </w:rPr>
        <w:fldChar w:fldCharType="separate"/>
      </w:r>
      <w:r>
        <w:rPr>
          <w:rFonts w:ascii="Times New Roman" w:hAnsi="Times New Roman" w:cs="Times New Roman" w:eastAsiaTheme="minorEastAsia"/>
          <w:smallCaps w:val="0"/>
          <w:sz w:val="24"/>
          <w:szCs w:val="24"/>
        </w:rPr>
        <w:t>11</w:t>
      </w:r>
      <w:r>
        <w:rPr>
          <w:rFonts w:ascii="Times New Roman" w:hAnsi="Times New Roman" w:cs="Times New Roman" w:eastAsiaTheme="minorEastAsia"/>
          <w:smallCaps w:val="0"/>
          <w:sz w:val="24"/>
          <w:szCs w:val="24"/>
        </w:rPr>
        <w:fldChar w:fldCharType="end"/>
      </w:r>
      <w:r>
        <w:rPr>
          <w:rFonts w:ascii="Times New Roman" w:hAnsi="Times New Roman" w:cs="Times New Roman" w:eastAsiaTheme="minorEastAsia"/>
          <w:smallCaps w:val="0"/>
          <w:sz w:val="24"/>
          <w:szCs w:val="24"/>
        </w:rPr>
        <w:fldChar w:fldCharType="end"/>
      </w:r>
    </w:p>
    <w:p>
      <w:pPr>
        <w:pStyle w:val="20"/>
        <w:tabs>
          <w:tab w:val="right" w:leader="dot" w:pos="8303"/>
        </w:tabs>
        <w:spacing w:line="300" w:lineRule="auto"/>
        <w:rPr>
          <w:rFonts w:ascii="Times New Roman" w:hAnsi="Times New Roman" w:cs="Times New Roman" w:eastAsiaTheme="minorEastAsia"/>
          <w:smallCaps w:val="0"/>
          <w:sz w:val="24"/>
          <w:szCs w:val="24"/>
        </w:rPr>
      </w:pPr>
      <w:r>
        <w:fldChar w:fldCharType="begin"/>
      </w:r>
      <w:r>
        <w:instrText xml:space="preserve"> HYPERLINK \l "_Toc120020281" </w:instrText>
      </w:r>
      <w:r>
        <w:fldChar w:fldCharType="separate"/>
      </w:r>
      <w:r>
        <w:rPr>
          <w:rStyle w:val="29"/>
          <w:rFonts w:ascii="Times New Roman" w:hAnsi="Times New Roman" w:cs="Times New Roman" w:eastAsiaTheme="minorEastAsia"/>
          <w:smallCaps w:val="0"/>
          <w:kern w:val="0"/>
          <w:sz w:val="24"/>
          <w:szCs w:val="24"/>
        </w:rPr>
        <w:t>4.2  预制构件混凝土抗压强度</w:t>
      </w:r>
      <w:r>
        <w:rPr>
          <w:rFonts w:ascii="Times New Roman" w:hAnsi="Times New Roman" w:cs="Times New Roman" w:eastAsiaTheme="minorEastAsia"/>
          <w:smallCaps w:val="0"/>
          <w:sz w:val="24"/>
          <w:szCs w:val="24"/>
        </w:rPr>
        <w:tab/>
      </w:r>
      <w:r>
        <w:rPr>
          <w:rFonts w:ascii="Times New Roman" w:hAnsi="Times New Roman" w:cs="Times New Roman" w:eastAsiaTheme="minorEastAsia"/>
          <w:smallCaps w:val="0"/>
          <w:sz w:val="24"/>
          <w:szCs w:val="24"/>
        </w:rPr>
        <w:fldChar w:fldCharType="begin"/>
      </w:r>
      <w:r>
        <w:rPr>
          <w:rFonts w:ascii="Times New Roman" w:hAnsi="Times New Roman" w:cs="Times New Roman" w:eastAsiaTheme="minorEastAsia"/>
          <w:smallCaps w:val="0"/>
          <w:sz w:val="24"/>
          <w:szCs w:val="24"/>
        </w:rPr>
        <w:instrText xml:space="preserve"> PAGEREF _Toc120020281 \h </w:instrText>
      </w:r>
      <w:r>
        <w:rPr>
          <w:rFonts w:ascii="Times New Roman" w:hAnsi="Times New Roman" w:cs="Times New Roman" w:eastAsiaTheme="minorEastAsia"/>
          <w:smallCaps w:val="0"/>
          <w:sz w:val="24"/>
          <w:szCs w:val="24"/>
        </w:rPr>
        <w:fldChar w:fldCharType="separate"/>
      </w:r>
      <w:r>
        <w:rPr>
          <w:rFonts w:ascii="Times New Roman" w:hAnsi="Times New Roman" w:cs="Times New Roman" w:eastAsiaTheme="minorEastAsia"/>
          <w:smallCaps w:val="0"/>
          <w:sz w:val="24"/>
          <w:szCs w:val="24"/>
        </w:rPr>
        <w:t>11</w:t>
      </w:r>
      <w:r>
        <w:rPr>
          <w:rFonts w:ascii="Times New Roman" w:hAnsi="Times New Roman" w:cs="Times New Roman" w:eastAsiaTheme="minorEastAsia"/>
          <w:smallCaps w:val="0"/>
          <w:sz w:val="24"/>
          <w:szCs w:val="24"/>
        </w:rPr>
        <w:fldChar w:fldCharType="end"/>
      </w:r>
      <w:r>
        <w:rPr>
          <w:rFonts w:ascii="Times New Roman" w:hAnsi="Times New Roman" w:cs="Times New Roman" w:eastAsiaTheme="minorEastAsia"/>
          <w:smallCaps w:val="0"/>
          <w:sz w:val="24"/>
          <w:szCs w:val="24"/>
        </w:rPr>
        <w:fldChar w:fldCharType="end"/>
      </w:r>
    </w:p>
    <w:p>
      <w:pPr>
        <w:pStyle w:val="20"/>
        <w:tabs>
          <w:tab w:val="right" w:leader="dot" w:pos="8303"/>
        </w:tabs>
        <w:spacing w:line="300" w:lineRule="auto"/>
        <w:rPr>
          <w:rFonts w:ascii="Times New Roman" w:hAnsi="Times New Roman" w:cs="Times New Roman" w:eastAsiaTheme="minorEastAsia"/>
          <w:smallCaps w:val="0"/>
          <w:sz w:val="24"/>
          <w:szCs w:val="24"/>
        </w:rPr>
      </w:pPr>
      <w:r>
        <w:fldChar w:fldCharType="begin"/>
      </w:r>
      <w:r>
        <w:instrText xml:space="preserve"> HYPERLINK \l "_Toc120020282" </w:instrText>
      </w:r>
      <w:r>
        <w:fldChar w:fldCharType="separate"/>
      </w:r>
      <w:r>
        <w:rPr>
          <w:rStyle w:val="29"/>
          <w:rFonts w:ascii="Times New Roman" w:hAnsi="Times New Roman" w:cs="Times New Roman" w:eastAsiaTheme="minorEastAsia"/>
          <w:smallCaps w:val="0"/>
          <w:kern w:val="0"/>
          <w:sz w:val="24"/>
          <w:szCs w:val="24"/>
        </w:rPr>
        <w:t>4.3  预制构件混凝土粗糙面</w:t>
      </w:r>
      <w:r>
        <w:rPr>
          <w:rFonts w:ascii="Times New Roman" w:hAnsi="Times New Roman" w:cs="Times New Roman" w:eastAsiaTheme="minorEastAsia"/>
          <w:smallCaps w:val="0"/>
          <w:sz w:val="24"/>
          <w:szCs w:val="24"/>
        </w:rPr>
        <w:tab/>
      </w:r>
      <w:r>
        <w:rPr>
          <w:rFonts w:ascii="Times New Roman" w:hAnsi="Times New Roman" w:cs="Times New Roman" w:eastAsiaTheme="minorEastAsia"/>
          <w:smallCaps w:val="0"/>
          <w:sz w:val="24"/>
          <w:szCs w:val="24"/>
        </w:rPr>
        <w:fldChar w:fldCharType="begin"/>
      </w:r>
      <w:r>
        <w:rPr>
          <w:rFonts w:ascii="Times New Roman" w:hAnsi="Times New Roman" w:cs="Times New Roman" w:eastAsiaTheme="minorEastAsia"/>
          <w:smallCaps w:val="0"/>
          <w:sz w:val="24"/>
          <w:szCs w:val="24"/>
        </w:rPr>
        <w:instrText xml:space="preserve"> PAGEREF _Toc120020282 \h </w:instrText>
      </w:r>
      <w:r>
        <w:rPr>
          <w:rFonts w:ascii="Times New Roman" w:hAnsi="Times New Roman" w:cs="Times New Roman" w:eastAsiaTheme="minorEastAsia"/>
          <w:smallCaps w:val="0"/>
          <w:sz w:val="24"/>
          <w:szCs w:val="24"/>
        </w:rPr>
        <w:fldChar w:fldCharType="separate"/>
      </w:r>
      <w:r>
        <w:rPr>
          <w:rFonts w:ascii="Times New Roman" w:hAnsi="Times New Roman" w:cs="Times New Roman" w:eastAsiaTheme="minorEastAsia"/>
          <w:smallCaps w:val="0"/>
          <w:sz w:val="24"/>
          <w:szCs w:val="24"/>
        </w:rPr>
        <w:t>11</w:t>
      </w:r>
      <w:r>
        <w:rPr>
          <w:rFonts w:ascii="Times New Roman" w:hAnsi="Times New Roman" w:cs="Times New Roman" w:eastAsiaTheme="minorEastAsia"/>
          <w:smallCaps w:val="0"/>
          <w:sz w:val="24"/>
          <w:szCs w:val="24"/>
        </w:rPr>
        <w:fldChar w:fldCharType="end"/>
      </w:r>
      <w:r>
        <w:rPr>
          <w:rFonts w:ascii="Times New Roman" w:hAnsi="Times New Roman" w:cs="Times New Roman" w:eastAsiaTheme="minorEastAsia"/>
          <w:smallCaps w:val="0"/>
          <w:sz w:val="24"/>
          <w:szCs w:val="24"/>
        </w:rPr>
        <w:fldChar w:fldCharType="end"/>
      </w:r>
    </w:p>
    <w:p>
      <w:pPr>
        <w:pStyle w:val="20"/>
        <w:tabs>
          <w:tab w:val="right" w:leader="dot" w:pos="8303"/>
        </w:tabs>
        <w:spacing w:line="300" w:lineRule="auto"/>
        <w:rPr>
          <w:rFonts w:ascii="Times New Roman" w:hAnsi="Times New Roman" w:cs="Times New Roman" w:eastAsiaTheme="minorEastAsia"/>
          <w:smallCaps w:val="0"/>
          <w:sz w:val="24"/>
          <w:szCs w:val="24"/>
        </w:rPr>
      </w:pPr>
      <w:r>
        <w:fldChar w:fldCharType="begin"/>
      </w:r>
      <w:r>
        <w:instrText xml:space="preserve"> HYPERLINK \l "_Toc120020283" </w:instrText>
      </w:r>
      <w:r>
        <w:fldChar w:fldCharType="separate"/>
      </w:r>
      <w:r>
        <w:rPr>
          <w:rStyle w:val="29"/>
          <w:rFonts w:ascii="Times New Roman" w:hAnsi="Times New Roman" w:cs="Times New Roman" w:eastAsiaTheme="minorEastAsia"/>
          <w:smallCaps w:val="0"/>
          <w:kern w:val="0"/>
          <w:sz w:val="24"/>
          <w:szCs w:val="24"/>
        </w:rPr>
        <w:t>4.4  预埋保温拉结件锚固承载力</w:t>
      </w:r>
      <w:r>
        <w:rPr>
          <w:rFonts w:ascii="Times New Roman" w:hAnsi="Times New Roman" w:cs="Times New Roman" w:eastAsiaTheme="minorEastAsia"/>
          <w:smallCaps w:val="0"/>
          <w:sz w:val="24"/>
          <w:szCs w:val="24"/>
        </w:rPr>
        <w:tab/>
      </w:r>
      <w:r>
        <w:rPr>
          <w:rFonts w:ascii="Times New Roman" w:hAnsi="Times New Roman" w:cs="Times New Roman" w:eastAsiaTheme="minorEastAsia"/>
          <w:smallCaps w:val="0"/>
          <w:sz w:val="24"/>
          <w:szCs w:val="24"/>
        </w:rPr>
        <w:fldChar w:fldCharType="begin"/>
      </w:r>
      <w:r>
        <w:rPr>
          <w:rFonts w:ascii="Times New Roman" w:hAnsi="Times New Roman" w:cs="Times New Roman" w:eastAsiaTheme="minorEastAsia"/>
          <w:smallCaps w:val="0"/>
          <w:sz w:val="24"/>
          <w:szCs w:val="24"/>
        </w:rPr>
        <w:instrText xml:space="preserve"> PAGEREF _Toc120020283 \h </w:instrText>
      </w:r>
      <w:r>
        <w:rPr>
          <w:rFonts w:ascii="Times New Roman" w:hAnsi="Times New Roman" w:cs="Times New Roman" w:eastAsiaTheme="minorEastAsia"/>
          <w:smallCaps w:val="0"/>
          <w:sz w:val="24"/>
          <w:szCs w:val="24"/>
        </w:rPr>
        <w:fldChar w:fldCharType="separate"/>
      </w:r>
      <w:r>
        <w:rPr>
          <w:rFonts w:ascii="Times New Roman" w:hAnsi="Times New Roman" w:cs="Times New Roman" w:eastAsiaTheme="minorEastAsia"/>
          <w:smallCaps w:val="0"/>
          <w:sz w:val="24"/>
          <w:szCs w:val="24"/>
        </w:rPr>
        <w:t>13</w:t>
      </w:r>
      <w:r>
        <w:rPr>
          <w:rFonts w:ascii="Times New Roman" w:hAnsi="Times New Roman" w:cs="Times New Roman" w:eastAsiaTheme="minorEastAsia"/>
          <w:smallCaps w:val="0"/>
          <w:sz w:val="24"/>
          <w:szCs w:val="24"/>
        </w:rPr>
        <w:fldChar w:fldCharType="end"/>
      </w:r>
      <w:r>
        <w:rPr>
          <w:rFonts w:ascii="Times New Roman" w:hAnsi="Times New Roman" w:cs="Times New Roman" w:eastAsiaTheme="minorEastAsia"/>
          <w:smallCaps w:val="0"/>
          <w:sz w:val="24"/>
          <w:szCs w:val="24"/>
        </w:rPr>
        <w:fldChar w:fldCharType="end"/>
      </w:r>
    </w:p>
    <w:p>
      <w:pPr>
        <w:pStyle w:val="20"/>
        <w:tabs>
          <w:tab w:val="right" w:leader="dot" w:pos="8303"/>
        </w:tabs>
        <w:spacing w:line="300" w:lineRule="auto"/>
        <w:rPr>
          <w:rFonts w:ascii="Times New Roman" w:hAnsi="Times New Roman" w:cs="Times New Roman" w:eastAsiaTheme="minorEastAsia"/>
          <w:smallCaps w:val="0"/>
          <w:sz w:val="24"/>
          <w:szCs w:val="24"/>
        </w:rPr>
      </w:pPr>
      <w:r>
        <w:fldChar w:fldCharType="begin"/>
      </w:r>
      <w:r>
        <w:instrText xml:space="preserve"> HYPERLINK \l "_Toc120020284" </w:instrText>
      </w:r>
      <w:r>
        <w:fldChar w:fldCharType="separate"/>
      </w:r>
      <w:r>
        <w:rPr>
          <w:rStyle w:val="29"/>
          <w:rFonts w:ascii="Times New Roman" w:hAnsi="Times New Roman" w:cs="Times New Roman" w:eastAsiaTheme="minorEastAsia"/>
          <w:smallCaps w:val="0"/>
          <w:kern w:val="0"/>
          <w:sz w:val="24"/>
          <w:szCs w:val="24"/>
        </w:rPr>
        <w:t>4.5  预埋吊件锚固承载力</w:t>
      </w:r>
      <w:r>
        <w:rPr>
          <w:rFonts w:ascii="Times New Roman" w:hAnsi="Times New Roman" w:cs="Times New Roman" w:eastAsiaTheme="minorEastAsia"/>
          <w:smallCaps w:val="0"/>
          <w:sz w:val="24"/>
          <w:szCs w:val="24"/>
        </w:rPr>
        <w:tab/>
      </w:r>
      <w:r>
        <w:rPr>
          <w:rFonts w:ascii="Times New Roman" w:hAnsi="Times New Roman" w:cs="Times New Roman" w:eastAsiaTheme="minorEastAsia"/>
          <w:smallCaps w:val="0"/>
          <w:sz w:val="24"/>
          <w:szCs w:val="24"/>
        </w:rPr>
        <w:fldChar w:fldCharType="begin"/>
      </w:r>
      <w:r>
        <w:rPr>
          <w:rFonts w:ascii="Times New Roman" w:hAnsi="Times New Roman" w:cs="Times New Roman" w:eastAsiaTheme="minorEastAsia"/>
          <w:smallCaps w:val="0"/>
          <w:sz w:val="24"/>
          <w:szCs w:val="24"/>
        </w:rPr>
        <w:instrText xml:space="preserve"> PAGEREF _Toc120020284 \h </w:instrText>
      </w:r>
      <w:r>
        <w:rPr>
          <w:rFonts w:ascii="Times New Roman" w:hAnsi="Times New Roman" w:cs="Times New Roman" w:eastAsiaTheme="minorEastAsia"/>
          <w:smallCaps w:val="0"/>
          <w:sz w:val="24"/>
          <w:szCs w:val="24"/>
        </w:rPr>
        <w:fldChar w:fldCharType="separate"/>
      </w:r>
      <w:r>
        <w:rPr>
          <w:rFonts w:ascii="Times New Roman" w:hAnsi="Times New Roman" w:cs="Times New Roman" w:eastAsiaTheme="minorEastAsia"/>
          <w:smallCaps w:val="0"/>
          <w:sz w:val="24"/>
          <w:szCs w:val="24"/>
        </w:rPr>
        <w:t>16</w:t>
      </w:r>
      <w:r>
        <w:rPr>
          <w:rFonts w:ascii="Times New Roman" w:hAnsi="Times New Roman" w:cs="Times New Roman" w:eastAsiaTheme="minorEastAsia"/>
          <w:smallCaps w:val="0"/>
          <w:sz w:val="24"/>
          <w:szCs w:val="24"/>
        </w:rPr>
        <w:fldChar w:fldCharType="end"/>
      </w:r>
      <w:r>
        <w:rPr>
          <w:rFonts w:ascii="Times New Roman" w:hAnsi="Times New Roman" w:cs="Times New Roman" w:eastAsiaTheme="minorEastAsia"/>
          <w:smallCaps w:val="0"/>
          <w:sz w:val="24"/>
          <w:szCs w:val="24"/>
        </w:rPr>
        <w:fldChar w:fldCharType="end"/>
      </w:r>
    </w:p>
    <w:p>
      <w:pPr>
        <w:pStyle w:val="17"/>
        <w:tabs>
          <w:tab w:val="right" w:leader="dot" w:pos="8303"/>
        </w:tabs>
        <w:spacing w:before="0" w:after="0" w:line="300" w:lineRule="auto"/>
        <w:rPr>
          <w:rFonts w:ascii="Times New Roman" w:hAnsi="Times New Roman" w:cs="Times New Roman" w:eastAsiaTheme="minorEastAsia"/>
          <w:b w:val="0"/>
          <w:bCs w:val="0"/>
          <w:caps w:val="0"/>
          <w:sz w:val="24"/>
          <w:szCs w:val="24"/>
        </w:rPr>
      </w:pPr>
      <w:r>
        <w:fldChar w:fldCharType="begin"/>
      </w:r>
      <w:r>
        <w:instrText xml:space="preserve"> HYPERLINK \l "_Toc120020285" </w:instrText>
      </w:r>
      <w:r>
        <w:fldChar w:fldCharType="separate"/>
      </w:r>
      <w:r>
        <w:rPr>
          <w:rStyle w:val="29"/>
          <w:rFonts w:ascii="Times New Roman" w:hAnsi="Times New Roman" w:cs="Times New Roman" w:eastAsiaTheme="minorEastAsia"/>
          <w:b w:val="0"/>
          <w:caps w:val="0"/>
          <w:kern w:val="44"/>
          <w:sz w:val="24"/>
          <w:szCs w:val="24"/>
        </w:rPr>
        <w:t>5  混凝土结合面连接</w:t>
      </w:r>
      <w:r>
        <w:rPr>
          <w:rFonts w:ascii="Times New Roman" w:hAnsi="Times New Roman" w:cs="Times New Roman" w:eastAsiaTheme="minorEastAsia"/>
          <w:b w:val="0"/>
          <w:caps w:val="0"/>
          <w:sz w:val="24"/>
          <w:szCs w:val="24"/>
        </w:rPr>
        <w:tab/>
      </w:r>
      <w:r>
        <w:rPr>
          <w:rFonts w:ascii="Times New Roman" w:hAnsi="Times New Roman" w:cs="Times New Roman" w:eastAsiaTheme="minorEastAsia"/>
          <w:b w:val="0"/>
          <w:caps w:val="0"/>
          <w:sz w:val="24"/>
          <w:szCs w:val="24"/>
        </w:rPr>
        <w:fldChar w:fldCharType="begin"/>
      </w:r>
      <w:r>
        <w:rPr>
          <w:rFonts w:ascii="Times New Roman" w:hAnsi="Times New Roman" w:cs="Times New Roman" w:eastAsiaTheme="minorEastAsia"/>
          <w:b w:val="0"/>
          <w:caps w:val="0"/>
          <w:sz w:val="24"/>
          <w:szCs w:val="24"/>
        </w:rPr>
        <w:instrText xml:space="preserve"> PAGEREF _Toc120020285 \h </w:instrText>
      </w:r>
      <w:r>
        <w:rPr>
          <w:rFonts w:ascii="Times New Roman" w:hAnsi="Times New Roman" w:cs="Times New Roman" w:eastAsiaTheme="minorEastAsia"/>
          <w:b w:val="0"/>
          <w:caps w:val="0"/>
          <w:sz w:val="24"/>
          <w:szCs w:val="24"/>
        </w:rPr>
        <w:fldChar w:fldCharType="separate"/>
      </w:r>
      <w:r>
        <w:rPr>
          <w:rFonts w:ascii="Times New Roman" w:hAnsi="Times New Roman" w:cs="Times New Roman" w:eastAsiaTheme="minorEastAsia"/>
          <w:b w:val="0"/>
          <w:caps w:val="0"/>
          <w:sz w:val="24"/>
          <w:szCs w:val="24"/>
        </w:rPr>
        <w:t>19</w:t>
      </w:r>
      <w:r>
        <w:rPr>
          <w:rFonts w:ascii="Times New Roman" w:hAnsi="Times New Roman" w:cs="Times New Roman" w:eastAsiaTheme="minorEastAsia"/>
          <w:b w:val="0"/>
          <w:caps w:val="0"/>
          <w:sz w:val="24"/>
          <w:szCs w:val="24"/>
        </w:rPr>
        <w:fldChar w:fldCharType="end"/>
      </w:r>
      <w:r>
        <w:rPr>
          <w:rFonts w:ascii="Times New Roman" w:hAnsi="Times New Roman" w:cs="Times New Roman" w:eastAsiaTheme="minorEastAsia"/>
          <w:b w:val="0"/>
          <w:caps w:val="0"/>
          <w:sz w:val="24"/>
          <w:szCs w:val="24"/>
        </w:rPr>
        <w:fldChar w:fldCharType="end"/>
      </w:r>
    </w:p>
    <w:p>
      <w:pPr>
        <w:pStyle w:val="20"/>
        <w:tabs>
          <w:tab w:val="right" w:leader="dot" w:pos="8303"/>
        </w:tabs>
        <w:spacing w:line="300" w:lineRule="auto"/>
        <w:rPr>
          <w:rFonts w:ascii="Times New Roman" w:hAnsi="Times New Roman" w:cs="Times New Roman" w:eastAsiaTheme="minorEastAsia"/>
          <w:smallCaps w:val="0"/>
          <w:sz w:val="24"/>
          <w:szCs w:val="24"/>
        </w:rPr>
      </w:pPr>
      <w:r>
        <w:fldChar w:fldCharType="begin"/>
      </w:r>
      <w:r>
        <w:instrText xml:space="preserve"> HYPERLINK \l "_Toc120020286" </w:instrText>
      </w:r>
      <w:r>
        <w:fldChar w:fldCharType="separate"/>
      </w:r>
      <w:r>
        <w:rPr>
          <w:rStyle w:val="29"/>
          <w:rFonts w:ascii="Times New Roman" w:hAnsi="Times New Roman" w:cs="Times New Roman" w:eastAsiaTheme="minorEastAsia"/>
          <w:smallCaps w:val="0"/>
          <w:kern w:val="0"/>
          <w:sz w:val="24"/>
          <w:szCs w:val="24"/>
        </w:rPr>
        <w:t>5.1  一般规定</w:t>
      </w:r>
      <w:r>
        <w:rPr>
          <w:rFonts w:ascii="Times New Roman" w:hAnsi="Times New Roman" w:cs="Times New Roman" w:eastAsiaTheme="minorEastAsia"/>
          <w:smallCaps w:val="0"/>
          <w:sz w:val="24"/>
          <w:szCs w:val="24"/>
        </w:rPr>
        <w:tab/>
      </w:r>
      <w:r>
        <w:rPr>
          <w:rFonts w:ascii="Times New Roman" w:hAnsi="Times New Roman" w:cs="Times New Roman" w:eastAsiaTheme="minorEastAsia"/>
          <w:smallCaps w:val="0"/>
          <w:sz w:val="24"/>
          <w:szCs w:val="24"/>
        </w:rPr>
        <w:fldChar w:fldCharType="begin"/>
      </w:r>
      <w:r>
        <w:rPr>
          <w:rFonts w:ascii="Times New Roman" w:hAnsi="Times New Roman" w:cs="Times New Roman" w:eastAsiaTheme="minorEastAsia"/>
          <w:smallCaps w:val="0"/>
          <w:sz w:val="24"/>
          <w:szCs w:val="24"/>
        </w:rPr>
        <w:instrText xml:space="preserve"> PAGEREF _Toc120020286 \h </w:instrText>
      </w:r>
      <w:r>
        <w:rPr>
          <w:rFonts w:ascii="Times New Roman" w:hAnsi="Times New Roman" w:cs="Times New Roman" w:eastAsiaTheme="minorEastAsia"/>
          <w:smallCaps w:val="0"/>
          <w:sz w:val="24"/>
          <w:szCs w:val="24"/>
        </w:rPr>
        <w:fldChar w:fldCharType="separate"/>
      </w:r>
      <w:r>
        <w:rPr>
          <w:rFonts w:ascii="Times New Roman" w:hAnsi="Times New Roman" w:cs="Times New Roman" w:eastAsiaTheme="minorEastAsia"/>
          <w:smallCaps w:val="0"/>
          <w:sz w:val="24"/>
          <w:szCs w:val="24"/>
        </w:rPr>
        <w:t>19</w:t>
      </w:r>
      <w:r>
        <w:rPr>
          <w:rFonts w:ascii="Times New Roman" w:hAnsi="Times New Roman" w:cs="Times New Roman" w:eastAsiaTheme="minorEastAsia"/>
          <w:smallCaps w:val="0"/>
          <w:sz w:val="24"/>
          <w:szCs w:val="24"/>
        </w:rPr>
        <w:fldChar w:fldCharType="end"/>
      </w:r>
      <w:r>
        <w:rPr>
          <w:rFonts w:ascii="Times New Roman" w:hAnsi="Times New Roman" w:cs="Times New Roman" w:eastAsiaTheme="minorEastAsia"/>
          <w:smallCaps w:val="0"/>
          <w:sz w:val="24"/>
          <w:szCs w:val="24"/>
        </w:rPr>
        <w:fldChar w:fldCharType="end"/>
      </w:r>
    </w:p>
    <w:p>
      <w:pPr>
        <w:pStyle w:val="20"/>
        <w:tabs>
          <w:tab w:val="right" w:leader="dot" w:pos="8303"/>
        </w:tabs>
        <w:spacing w:line="300" w:lineRule="auto"/>
        <w:rPr>
          <w:rFonts w:ascii="Times New Roman" w:hAnsi="Times New Roman" w:cs="Times New Roman" w:eastAsiaTheme="minorEastAsia"/>
          <w:smallCaps w:val="0"/>
          <w:sz w:val="24"/>
          <w:szCs w:val="24"/>
        </w:rPr>
      </w:pPr>
      <w:r>
        <w:fldChar w:fldCharType="begin"/>
      </w:r>
      <w:r>
        <w:instrText xml:space="preserve"> HYPERLINK \l "_Toc120020287" </w:instrText>
      </w:r>
      <w:r>
        <w:fldChar w:fldCharType="separate"/>
      </w:r>
      <w:r>
        <w:rPr>
          <w:rStyle w:val="29"/>
          <w:rFonts w:ascii="Times New Roman" w:hAnsi="Times New Roman" w:cs="Times New Roman" w:eastAsiaTheme="minorEastAsia"/>
          <w:smallCaps w:val="0"/>
          <w:kern w:val="0"/>
          <w:sz w:val="24"/>
          <w:szCs w:val="24"/>
        </w:rPr>
        <w:t>5.2  结合面混凝土正拉粘结强度</w:t>
      </w:r>
      <w:r>
        <w:rPr>
          <w:rFonts w:ascii="Times New Roman" w:hAnsi="Times New Roman" w:cs="Times New Roman" w:eastAsiaTheme="minorEastAsia"/>
          <w:smallCaps w:val="0"/>
          <w:sz w:val="24"/>
          <w:szCs w:val="24"/>
        </w:rPr>
        <w:tab/>
      </w:r>
      <w:r>
        <w:rPr>
          <w:rFonts w:ascii="Times New Roman" w:hAnsi="Times New Roman" w:cs="Times New Roman" w:eastAsiaTheme="minorEastAsia"/>
          <w:smallCaps w:val="0"/>
          <w:sz w:val="24"/>
          <w:szCs w:val="24"/>
        </w:rPr>
        <w:fldChar w:fldCharType="begin"/>
      </w:r>
      <w:r>
        <w:rPr>
          <w:rFonts w:ascii="Times New Roman" w:hAnsi="Times New Roman" w:cs="Times New Roman" w:eastAsiaTheme="minorEastAsia"/>
          <w:smallCaps w:val="0"/>
          <w:sz w:val="24"/>
          <w:szCs w:val="24"/>
        </w:rPr>
        <w:instrText xml:space="preserve"> PAGEREF _Toc120020287 \h </w:instrText>
      </w:r>
      <w:r>
        <w:rPr>
          <w:rFonts w:ascii="Times New Roman" w:hAnsi="Times New Roman" w:cs="Times New Roman" w:eastAsiaTheme="minorEastAsia"/>
          <w:smallCaps w:val="0"/>
          <w:sz w:val="24"/>
          <w:szCs w:val="24"/>
        </w:rPr>
        <w:fldChar w:fldCharType="separate"/>
      </w:r>
      <w:r>
        <w:rPr>
          <w:rFonts w:ascii="Times New Roman" w:hAnsi="Times New Roman" w:cs="Times New Roman" w:eastAsiaTheme="minorEastAsia"/>
          <w:smallCaps w:val="0"/>
          <w:sz w:val="24"/>
          <w:szCs w:val="24"/>
        </w:rPr>
        <w:t>19</w:t>
      </w:r>
      <w:r>
        <w:rPr>
          <w:rFonts w:ascii="Times New Roman" w:hAnsi="Times New Roman" w:cs="Times New Roman" w:eastAsiaTheme="minorEastAsia"/>
          <w:smallCaps w:val="0"/>
          <w:sz w:val="24"/>
          <w:szCs w:val="24"/>
        </w:rPr>
        <w:fldChar w:fldCharType="end"/>
      </w:r>
      <w:r>
        <w:rPr>
          <w:rFonts w:ascii="Times New Roman" w:hAnsi="Times New Roman" w:cs="Times New Roman" w:eastAsiaTheme="minorEastAsia"/>
          <w:smallCaps w:val="0"/>
          <w:sz w:val="24"/>
          <w:szCs w:val="24"/>
        </w:rPr>
        <w:fldChar w:fldCharType="end"/>
      </w:r>
    </w:p>
    <w:p>
      <w:pPr>
        <w:pStyle w:val="20"/>
        <w:tabs>
          <w:tab w:val="right" w:leader="dot" w:pos="8303"/>
        </w:tabs>
        <w:spacing w:line="300" w:lineRule="auto"/>
        <w:rPr>
          <w:rFonts w:ascii="Times New Roman" w:hAnsi="Times New Roman" w:cs="Times New Roman" w:eastAsiaTheme="minorEastAsia"/>
          <w:smallCaps w:val="0"/>
          <w:sz w:val="24"/>
          <w:szCs w:val="24"/>
        </w:rPr>
      </w:pPr>
      <w:r>
        <w:fldChar w:fldCharType="begin"/>
      </w:r>
      <w:r>
        <w:instrText xml:space="preserve"> HYPERLINK \l "_Toc120020288" </w:instrText>
      </w:r>
      <w:r>
        <w:fldChar w:fldCharType="separate"/>
      </w:r>
      <w:r>
        <w:rPr>
          <w:rStyle w:val="29"/>
          <w:rFonts w:ascii="Times New Roman" w:hAnsi="Times New Roman" w:cs="Times New Roman" w:eastAsiaTheme="minorEastAsia"/>
          <w:smallCaps w:val="0"/>
          <w:kern w:val="0"/>
          <w:sz w:val="24"/>
          <w:szCs w:val="24"/>
        </w:rPr>
        <w:t>5.3  混凝土内部结合面连接缺陷</w:t>
      </w:r>
      <w:r>
        <w:rPr>
          <w:rFonts w:ascii="Times New Roman" w:hAnsi="Times New Roman" w:cs="Times New Roman" w:eastAsiaTheme="minorEastAsia"/>
          <w:smallCaps w:val="0"/>
          <w:sz w:val="24"/>
          <w:szCs w:val="24"/>
        </w:rPr>
        <w:tab/>
      </w:r>
      <w:r>
        <w:rPr>
          <w:rFonts w:ascii="Times New Roman" w:hAnsi="Times New Roman" w:cs="Times New Roman" w:eastAsiaTheme="minorEastAsia"/>
          <w:smallCaps w:val="0"/>
          <w:sz w:val="24"/>
          <w:szCs w:val="24"/>
        </w:rPr>
        <w:fldChar w:fldCharType="begin"/>
      </w:r>
      <w:r>
        <w:rPr>
          <w:rFonts w:ascii="Times New Roman" w:hAnsi="Times New Roman" w:cs="Times New Roman" w:eastAsiaTheme="minorEastAsia"/>
          <w:smallCaps w:val="0"/>
          <w:sz w:val="24"/>
          <w:szCs w:val="24"/>
        </w:rPr>
        <w:instrText xml:space="preserve"> PAGEREF _Toc120020288 \h </w:instrText>
      </w:r>
      <w:r>
        <w:rPr>
          <w:rFonts w:ascii="Times New Roman" w:hAnsi="Times New Roman" w:cs="Times New Roman" w:eastAsiaTheme="minorEastAsia"/>
          <w:smallCaps w:val="0"/>
          <w:sz w:val="24"/>
          <w:szCs w:val="24"/>
        </w:rPr>
        <w:fldChar w:fldCharType="separate"/>
      </w:r>
      <w:r>
        <w:rPr>
          <w:rFonts w:ascii="Times New Roman" w:hAnsi="Times New Roman" w:cs="Times New Roman" w:eastAsiaTheme="minorEastAsia"/>
          <w:smallCaps w:val="0"/>
          <w:sz w:val="24"/>
          <w:szCs w:val="24"/>
        </w:rPr>
        <w:t>21</w:t>
      </w:r>
      <w:r>
        <w:rPr>
          <w:rFonts w:ascii="Times New Roman" w:hAnsi="Times New Roman" w:cs="Times New Roman" w:eastAsiaTheme="minorEastAsia"/>
          <w:smallCaps w:val="0"/>
          <w:sz w:val="24"/>
          <w:szCs w:val="24"/>
        </w:rPr>
        <w:fldChar w:fldCharType="end"/>
      </w:r>
      <w:r>
        <w:rPr>
          <w:rFonts w:ascii="Times New Roman" w:hAnsi="Times New Roman" w:cs="Times New Roman" w:eastAsiaTheme="minorEastAsia"/>
          <w:smallCaps w:val="0"/>
          <w:sz w:val="24"/>
          <w:szCs w:val="24"/>
        </w:rPr>
        <w:fldChar w:fldCharType="end"/>
      </w:r>
    </w:p>
    <w:p>
      <w:pPr>
        <w:pStyle w:val="20"/>
        <w:tabs>
          <w:tab w:val="right" w:leader="dot" w:pos="8303"/>
        </w:tabs>
        <w:spacing w:line="300" w:lineRule="auto"/>
        <w:rPr>
          <w:rFonts w:ascii="Times New Roman" w:hAnsi="Times New Roman" w:cs="Times New Roman" w:eastAsiaTheme="minorEastAsia"/>
          <w:smallCaps w:val="0"/>
          <w:sz w:val="24"/>
          <w:szCs w:val="24"/>
        </w:rPr>
      </w:pPr>
      <w:r>
        <w:fldChar w:fldCharType="begin"/>
      </w:r>
      <w:r>
        <w:instrText xml:space="preserve"> HYPERLINK \l "_Toc120020289" </w:instrText>
      </w:r>
      <w:r>
        <w:fldChar w:fldCharType="separate"/>
      </w:r>
      <w:r>
        <w:rPr>
          <w:rStyle w:val="29"/>
          <w:rFonts w:ascii="Times New Roman" w:hAnsi="Times New Roman" w:cs="Times New Roman" w:eastAsiaTheme="minorEastAsia"/>
          <w:smallCaps w:val="0"/>
          <w:kern w:val="0"/>
          <w:sz w:val="24"/>
          <w:szCs w:val="24"/>
        </w:rPr>
        <w:t>5.4  竖向构件底部接缝内部缺陷</w:t>
      </w:r>
      <w:r>
        <w:rPr>
          <w:rFonts w:ascii="Times New Roman" w:hAnsi="Times New Roman" w:cs="Times New Roman" w:eastAsiaTheme="minorEastAsia"/>
          <w:smallCaps w:val="0"/>
          <w:sz w:val="24"/>
          <w:szCs w:val="24"/>
        </w:rPr>
        <w:tab/>
      </w:r>
      <w:r>
        <w:rPr>
          <w:rFonts w:ascii="Times New Roman" w:hAnsi="Times New Roman" w:cs="Times New Roman" w:eastAsiaTheme="minorEastAsia"/>
          <w:smallCaps w:val="0"/>
          <w:sz w:val="24"/>
          <w:szCs w:val="24"/>
        </w:rPr>
        <w:fldChar w:fldCharType="begin"/>
      </w:r>
      <w:r>
        <w:rPr>
          <w:rFonts w:ascii="Times New Roman" w:hAnsi="Times New Roman" w:cs="Times New Roman" w:eastAsiaTheme="minorEastAsia"/>
          <w:smallCaps w:val="0"/>
          <w:sz w:val="24"/>
          <w:szCs w:val="24"/>
        </w:rPr>
        <w:instrText xml:space="preserve"> PAGEREF _Toc120020289 \h </w:instrText>
      </w:r>
      <w:r>
        <w:rPr>
          <w:rFonts w:ascii="Times New Roman" w:hAnsi="Times New Roman" w:cs="Times New Roman" w:eastAsiaTheme="minorEastAsia"/>
          <w:smallCaps w:val="0"/>
          <w:sz w:val="24"/>
          <w:szCs w:val="24"/>
        </w:rPr>
        <w:fldChar w:fldCharType="separate"/>
      </w:r>
      <w:r>
        <w:rPr>
          <w:rFonts w:ascii="Times New Roman" w:hAnsi="Times New Roman" w:cs="Times New Roman" w:eastAsiaTheme="minorEastAsia"/>
          <w:smallCaps w:val="0"/>
          <w:sz w:val="24"/>
          <w:szCs w:val="24"/>
        </w:rPr>
        <w:t>21</w:t>
      </w:r>
      <w:r>
        <w:rPr>
          <w:rFonts w:ascii="Times New Roman" w:hAnsi="Times New Roman" w:cs="Times New Roman" w:eastAsiaTheme="minorEastAsia"/>
          <w:smallCaps w:val="0"/>
          <w:sz w:val="24"/>
          <w:szCs w:val="24"/>
        </w:rPr>
        <w:fldChar w:fldCharType="end"/>
      </w:r>
      <w:r>
        <w:rPr>
          <w:rFonts w:ascii="Times New Roman" w:hAnsi="Times New Roman" w:cs="Times New Roman" w:eastAsiaTheme="minorEastAsia"/>
          <w:smallCaps w:val="0"/>
          <w:sz w:val="24"/>
          <w:szCs w:val="24"/>
        </w:rPr>
        <w:fldChar w:fldCharType="end"/>
      </w:r>
    </w:p>
    <w:p>
      <w:pPr>
        <w:pStyle w:val="17"/>
        <w:tabs>
          <w:tab w:val="right" w:leader="dot" w:pos="8303"/>
        </w:tabs>
        <w:spacing w:before="0" w:after="0" w:line="300" w:lineRule="auto"/>
        <w:rPr>
          <w:rFonts w:ascii="Times New Roman" w:hAnsi="Times New Roman" w:cs="Times New Roman" w:eastAsiaTheme="minorEastAsia"/>
          <w:b w:val="0"/>
          <w:bCs w:val="0"/>
          <w:caps w:val="0"/>
          <w:sz w:val="24"/>
          <w:szCs w:val="24"/>
        </w:rPr>
      </w:pPr>
      <w:r>
        <w:fldChar w:fldCharType="begin"/>
      </w:r>
      <w:r>
        <w:instrText xml:space="preserve"> HYPERLINK \l "_Toc120020290" </w:instrText>
      </w:r>
      <w:r>
        <w:fldChar w:fldCharType="separate"/>
      </w:r>
      <w:r>
        <w:rPr>
          <w:rStyle w:val="29"/>
          <w:rFonts w:ascii="Times New Roman" w:hAnsi="Times New Roman" w:cs="Times New Roman" w:eastAsiaTheme="minorEastAsia"/>
          <w:b w:val="0"/>
          <w:caps w:val="0"/>
          <w:kern w:val="44"/>
          <w:sz w:val="24"/>
          <w:szCs w:val="24"/>
        </w:rPr>
        <w:t>6  钢筋套筒灌浆连接</w:t>
      </w:r>
      <w:r>
        <w:rPr>
          <w:rFonts w:ascii="Times New Roman" w:hAnsi="Times New Roman" w:cs="Times New Roman" w:eastAsiaTheme="minorEastAsia"/>
          <w:b w:val="0"/>
          <w:caps w:val="0"/>
          <w:sz w:val="24"/>
          <w:szCs w:val="24"/>
        </w:rPr>
        <w:tab/>
      </w:r>
      <w:r>
        <w:rPr>
          <w:rFonts w:ascii="Times New Roman" w:hAnsi="Times New Roman" w:cs="Times New Roman" w:eastAsiaTheme="minorEastAsia"/>
          <w:b w:val="0"/>
          <w:caps w:val="0"/>
          <w:sz w:val="24"/>
          <w:szCs w:val="24"/>
        </w:rPr>
        <w:fldChar w:fldCharType="begin"/>
      </w:r>
      <w:r>
        <w:rPr>
          <w:rFonts w:ascii="Times New Roman" w:hAnsi="Times New Roman" w:cs="Times New Roman" w:eastAsiaTheme="minorEastAsia"/>
          <w:b w:val="0"/>
          <w:caps w:val="0"/>
          <w:sz w:val="24"/>
          <w:szCs w:val="24"/>
        </w:rPr>
        <w:instrText xml:space="preserve"> PAGEREF _Toc120020290 \h </w:instrText>
      </w:r>
      <w:r>
        <w:rPr>
          <w:rFonts w:ascii="Times New Roman" w:hAnsi="Times New Roman" w:cs="Times New Roman" w:eastAsiaTheme="minorEastAsia"/>
          <w:b w:val="0"/>
          <w:caps w:val="0"/>
          <w:sz w:val="24"/>
          <w:szCs w:val="24"/>
        </w:rPr>
        <w:fldChar w:fldCharType="separate"/>
      </w:r>
      <w:r>
        <w:rPr>
          <w:rFonts w:ascii="Times New Roman" w:hAnsi="Times New Roman" w:cs="Times New Roman" w:eastAsiaTheme="minorEastAsia"/>
          <w:b w:val="0"/>
          <w:caps w:val="0"/>
          <w:sz w:val="24"/>
          <w:szCs w:val="24"/>
        </w:rPr>
        <w:t>23</w:t>
      </w:r>
      <w:r>
        <w:rPr>
          <w:rFonts w:ascii="Times New Roman" w:hAnsi="Times New Roman" w:cs="Times New Roman" w:eastAsiaTheme="minorEastAsia"/>
          <w:b w:val="0"/>
          <w:caps w:val="0"/>
          <w:sz w:val="24"/>
          <w:szCs w:val="24"/>
        </w:rPr>
        <w:fldChar w:fldCharType="end"/>
      </w:r>
      <w:r>
        <w:rPr>
          <w:rFonts w:ascii="Times New Roman" w:hAnsi="Times New Roman" w:cs="Times New Roman" w:eastAsiaTheme="minorEastAsia"/>
          <w:b w:val="0"/>
          <w:caps w:val="0"/>
          <w:sz w:val="24"/>
          <w:szCs w:val="24"/>
        </w:rPr>
        <w:fldChar w:fldCharType="end"/>
      </w:r>
    </w:p>
    <w:p>
      <w:pPr>
        <w:pStyle w:val="20"/>
        <w:tabs>
          <w:tab w:val="right" w:leader="dot" w:pos="8303"/>
        </w:tabs>
        <w:spacing w:line="300" w:lineRule="auto"/>
        <w:rPr>
          <w:rFonts w:ascii="Times New Roman" w:hAnsi="Times New Roman" w:cs="Times New Roman" w:eastAsiaTheme="minorEastAsia"/>
          <w:smallCaps w:val="0"/>
          <w:sz w:val="24"/>
          <w:szCs w:val="24"/>
        </w:rPr>
      </w:pPr>
      <w:r>
        <w:fldChar w:fldCharType="begin"/>
      </w:r>
      <w:r>
        <w:instrText xml:space="preserve"> HYPERLINK \l "_Toc120020291" </w:instrText>
      </w:r>
      <w:r>
        <w:fldChar w:fldCharType="separate"/>
      </w:r>
      <w:r>
        <w:rPr>
          <w:rStyle w:val="29"/>
          <w:rFonts w:ascii="Times New Roman" w:hAnsi="Times New Roman" w:cs="Times New Roman" w:eastAsiaTheme="minorEastAsia"/>
          <w:smallCaps w:val="0"/>
          <w:kern w:val="0"/>
          <w:sz w:val="24"/>
          <w:szCs w:val="24"/>
        </w:rPr>
        <w:t>6.1  一般规定</w:t>
      </w:r>
      <w:r>
        <w:rPr>
          <w:rFonts w:ascii="Times New Roman" w:hAnsi="Times New Roman" w:cs="Times New Roman" w:eastAsiaTheme="minorEastAsia"/>
          <w:smallCaps w:val="0"/>
          <w:sz w:val="24"/>
          <w:szCs w:val="24"/>
        </w:rPr>
        <w:tab/>
      </w:r>
      <w:r>
        <w:rPr>
          <w:rFonts w:ascii="Times New Roman" w:hAnsi="Times New Roman" w:cs="Times New Roman" w:eastAsiaTheme="minorEastAsia"/>
          <w:smallCaps w:val="0"/>
          <w:sz w:val="24"/>
          <w:szCs w:val="24"/>
        </w:rPr>
        <w:fldChar w:fldCharType="begin"/>
      </w:r>
      <w:r>
        <w:rPr>
          <w:rFonts w:ascii="Times New Roman" w:hAnsi="Times New Roman" w:cs="Times New Roman" w:eastAsiaTheme="minorEastAsia"/>
          <w:smallCaps w:val="0"/>
          <w:sz w:val="24"/>
          <w:szCs w:val="24"/>
        </w:rPr>
        <w:instrText xml:space="preserve"> PAGEREF _Toc120020291 \h </w:instrText>
      </w:r>
      <w:r>
        <w:rPr>
          <w:rFonts w:ascii="Times New Roman" w:hAnsi="Times New Roman" w:cs="Times New Roman" w:eastAsiaTheme="minorEastAsia"/>
          <w:smallCaps w:val="0"/>
          <w:sz w:val="24"/>
          <w:szCs w:val="24"/>
        </w:rPr>
        <w:fldChar w:fldCharType="separate"/>
      </w:r>
      <w:r>
        <w:rPr>
          <w:rFonts w:ascii="Times New Roman" w:hAnsi="Times New Roman" w:cs="Times New Roman" w:eastAsiaTheme="minorEastAsia"/>
          <w:smallCaps w:val="0"/>
          <w:sz w:val="24"/>
          <w:szCs w:val="24"/>
        </w:rPr>
        <w:t>23</w:t>
      </w:r>
      <w:r>
        <w:rPr>
          <w:rFonts w:ascii="Times New Roman" w:hAnsi="Times New Roman" w:cs="Times New Roman" w:eastAsiaTheme="minorEastAsia"/>
          <w:smallCaps w:val="0"/>
          <w:sz w:val="24"/>
          <w:szCs w:val="24"/>
        </w:rPr>
        <w:fldChar w:fldCharType="end"/>
      </w:r>
      <w:r>
        <w:rPr>
          <w:rFonts w:ascii="Times New Roman" w:hAnsi="Times New Roman" w:cs="Times New Roman" w:eastAsiaTheme="minorEastAsia"/>
          <w:smallCaps w:val="0"/>
          <w:sz w:val="24"/>
          <w:szCs w:val="24"/>
        </w:rPr>
        <w:fldChar w:fldCharType="end"/>
      </w:r>
    </w:p>
    <w:p>
      <w:pPr>
        <w:pStyle w:val="20"/>
        <w:tabs>
          <w:tab w:val="right" w:leader="dot" w:pos="8303"/>
        </w:tabs>
        <w:spacing w:line="300" w:lineRule="auto"/>
        <w:rPr>
          <w:rFonts w:ascii="Times New Roman" w:hAnsi="Times New Roman" w:cs="Times New Roman" w:eastAsiaTheme="minorEastAsia"/>
          <w:smallCaps w:val="0"/>
          <w:sz w:val="24"/>
          <w:szCs w:val="24"/>
        </w:rPr>
      </w:pPr>
      <w:r>
        <w:fldChar w:fldCharType="begin"/>
      </w:r>
      <w:r>
        <w:instrText xml:space="preserve"> HYPERLINK \l "_Toc120020292" </w:instrText>
      </w:r>
      <w:r>
        <w:fldChar w:fldCharType="separate"/>
      </w:r>
      <w:r>
        <w:rPr>
          <w:rStyle w:val="29"/>
          <w:rFonts w:ascii="Times New Roman" w:hAnsi="Times New Roman" w:cs="Times New Roman" w:eastAsiaTheme="minorEastAsia"/>
          <w:smallCaps w:val="0"/>
          <w:kern w:val="0"/>
          <w:sz w:val="24"/>
          <w:szCs w:val="24"/>
        </w:rPr>
        <w:t>6.2  灌浆料实体强度</w:t>
      </w:r>
      <w:r>
        <w:rPr>
          <w:rFonts w:ascii="Times New Roman" w:hAnsi="Times New Roman" w:cs="Times New Roman" w:eastAsiaTheme="minorEastAsia"/>
          <w:smallCaps w:val="0"/>
          <w:sz w:val="24"/>
          <w:szCs w:val="24"/>
        </w:rPr>
        <w:tab/>
      </w:r>
      <w:r>
        <w:rPr>
          <w:rFonts w:ascii="Times New Roman" w:hAnsi="Times New Roman" w:cs="Times New Roman" w:eastAsiaTheme="minorEastAsia"/>
          <w:smallCaps w:val="0"/>
          <w:sz w:val="24"/>
          <w:szCs w:val="24"/>
        </w:rPr>
        <w:fldChar w:fldCharType="begin"/>
      </w:r>
      <w:r>
        <w:rPr>
          <w:rFonts w:ascii="Times New Roman" w:hAnsi="Times New Roman" w:cs="Times New Roman" w:eastAsiaTheme="minorEastAsia"/>
          <w:smallCaps w:val="0"/>
          <w:sz w:val="24"/>
          <w:szCs w:val="24"/>
        </w:rPr>
        <w:instrText xml:space="preserve"> PAGEREF _Toc120020292 \h </w:instrText>
      </w:r>
      <w:r>
        <w:rPr>
          <w:rFonts w:ascii="Times New Roman" w:hAnsi="Times New Roman" w:cs="Times New Roman" w:eastAsiaTheme="minorEastAsia"/>
          <w:smallCaps w:val="0"/>
          <w:sz w:val="24"/>
          <w:szCs w:val="24"/>
        </w:rPr>
        <w:fldChar w:fldCharType="separate"/>
      </w:r>
      <w:r>
        <w:rPr>
          <w:rFonts w:ascii="Times New Roman" w:hAnsi="Times New Roman" w:cs="Times New Roman" w:eastAsiaTheme="minorEastAsia"/>
          <w:smallCaps w:val="0"/>
          <w:sz w:val="24"/>
          <w:szCs w:val="24"/>
        </w:rPr>
        <w:t>23</w:t>
      </w:r>
      <w:r>
        <w:rPr>
          <w:rFonts w:ascii="Times New Roman" w:hAnsi="Times New Roman" w:cs="Times New Roman" w:eastAsiaTheme="minorEastAsia"/>
          <w:smallCaps w:val="0"/>
          <w:sz w:val="24"/>
          <w:szCs w:val="24"/>
        </w:rPr>
        <w:fldChar w:fldCharType="end"/>
      </w:r>
      <w:r>
        <w:rPr>
          <w:rFonts w:ascii="Times New Roman" w:hAnsi="Times New Roman" w:cs="Times New Roman" w:eastAsiaTheme="minorEastAsia"/>
          <w:smallCaps w:val="0"/>
          <w:sz w:val="24"/>
          <w:szCs w:val="24"/>
        </w:rPr>
        <w:fldChar w:fldCharType="end"/>
      </w:r>
    </w:p>
    <w:p>
      <w:pPr>
        <w:pStyle w:val="20"/>
        <w:tabs>
          <w:tab w:val="right" w:leader="dot" w:pos="8303"/>
        </w:tabs>
        <w:spacing w:line="300" w:lineRule="auto"/>
        <w:rPr>
          <w:rFonts w:ascii="Times New Roman" w:hAnsi="Times New Roman" w:cs="Times New Roman" w:eastAsiaTheme="minorEastAsia"/>
          <w:smallCaps w:val="0"/>
          <w:sz w:val="24"/>
          <w:szCs w:val="24"/>
        </w:rPr>
      </w:pPr>
      <w:r>
        <w:fldChar w:fldCharType="begin"/>
      </w:r>
      <w:r>
        <w:instrText xml:space="preserve"> HYPERLINK \l "_Toc120020293" </w:instrText>
      </w:r>
      <w:r>
        <w:fldChar w:fldCharType="separate"/>
      </w:r>
      <w:r>
        <w:rPr>
          <w:rStyle w:val="29"/>
          <w:rFonts w:ascii="Times New Roman" w:hAnsi="Times New Roman" w:cs="Times New Roman" w:eastAsiaTheme="minorEastAsia"/>
          <w:smallCaps w:val="0"/>
          <w:kern w:val="0"/>
          <w:sz w:val="24"/>
          <w:szCs w:val="24"/>
        </w:rPr>
        <w:t>6.3  灌浆饱满度</w:t>
      </w:r>
      <w:r>
        <w:rPr>
          <w:rFonts w:ascii="Times New Roman" w:hAnsi="Times New Roman" w:cs="Times New Roman" w:eastAsiaTheme="minorEastAsia"/>
          <w:smallCaps w:val="0"/>
          <w:sz w:val="24"/>
          <w:szCs w:val="24"/>
        </w:rPr>
        <w:tab/>
      </w:r>
      <w:r>
        <w:rPr>
          <w:rFonts w:ascii="Times New Roman" w:hAnsi="Times New Roman" w:cs="Times New Roman" w:eastAsiaTheme="minorEastAsia"/>
          <w:smallCaps w:val="0"/>
          <w:sz w:val="24"/>
          <w:szCs w:val="24"/>
        </w:rPr>
        <w:fldChar w:fldCharType="begin"/>
      </w:r>
      <w:r>
        <w:rPr>
          <w:rFonts w:ascii="Times New Roman" w:hAnsi="Times New Roman" w:cs="Times New Roman" w:eastAsiaTheme="minorEastAsia"/>
          <w:smallCaps w:val="0"/>
          <w:sz w:val="24"/>
          <w:szCs w:val="24"/>
        </w:rPr>
        <w:instrText xml:space="preserve"> PAGEREF _Toc120020293 \h </w:instrText>
      </w:r>
      <w:r>
        <w:rPr>
          <w:rFonts w:ascii="Times New Roman" w:hAnsi="Times New Roman" w:cs="Times New Roman" w:eastAsiaTheme="minorEastAsia"/>
          <w:smallCaps w:val="0"/>
          <w:sz w:val="24"/>
          <w:szCs w:val="24"/>
        </w:rPr>
        <w:fldChar w:fldCharType="separate"/>
      </w:r>
      <w:r>
        <w:rPr>
          <w:rFonts w:ascii="Times New Roman" w:hAnsi="Times New Roman" w:cs="Times New Roman" w:eastAsiaTheme="minorEastAsia"/>
          <w:smallCaps w:val="0"/>
          <w:sz w:val="24"/>
          <w:szCs w:val="24"/>
        </w:rPr>
        <w:t>24</w:t>
      </w:r>
      <w:r>
        <w:rPr>
          <w:rFonts w:ascii="Times New Roman" w:hAnsi="Times New Roman" w:cs="Times New Roman" w:eastAsiaTheme="minorEastAsia"/>
          <w:smallCaps w:val="0"/>
          <w:sz w:val="24"/>
          <w:szCs w:val="24"/>
        </w:rPr>
        <w:fldChar w:fldCharType="end"/>
      </w:r>
      <w:r>
        <w:rPr>
          <w:rFonts w:ascii="Times New Roman" w:hAnsi="Times New Roman" w:cs="Times New Roman" w:eastAsiaTheme="minorEastAsia"/>
          <w:smallCaps w:val="0"/>
          <w:sz w:val="24"/>
          <w:szCs w:val="24"/>
        </w:rPr>
        <w:fldChar w:fldCharType="end"/>
      </w:r>
    </w:p>
    <w:p>
      <w:pPr>
        <w:pStyle w:val="20"/>
        <w:tabs>
          <w:tab w:val="right" w:leader="dot" w:pos="8303"/>
        </w:tabs>
        <w:spacing w:line="300" w:lineRule="auto"/>
        <w:rPr>
          <w:rFonts w:ascii="Times New Roman" w:hAnsi="Times New Roman" w:cs="Times New Roman" w:eastAsiaTheme="minorEastAsia"/>
          <w:smallCaps w:val="0"/>
          <w:sz w:val="24"/>
          <w:szCs w:val="24"/>
        </w:rPr>
      </w:pPr>
      <w:r>
        <w:fldChar w:fldCharType="begin"/>
      </w:r>
      <w:r>
        <w:instrText xml:space="preserve"> HYPERLINK \l "_Toc120020294" </w:instrText>
      </w:r>
      <w:r>
        <w:fldChar w:fldCharType="separate"/>
      </w:r>
      <w:r>
        <w:rPr>
          <w:rStyle w:val="29"/>
          <w:rFonts w:ascii="Times New Roman" w:hAnsi="Times New Roman" w:cs="Times New Roman" w:eastAsiaTheme="minorEastAsia"/>
          <w:smallCaps w:val="0"/>
          <w:kern w:val="0"/>
          <w:sz w:val="24"/>
          <w:szCs w:val="24"/>
        </w:rPr>
        <w:t>6.4  钢筋插入长度</w:t>
      </w:r>
      <w:r>
        <w:rPr>
          <w:rFonts w:ascii="Times New Roman" w:hAnsi="Times New Roman" w:cs="Times New Roman" w:eastAsiaTheme="minorEastAsia"/>
          <w:smallCaps w:val="0"/>
          <w:sz w:val="24"/>
          <w:szCs w:val="24"/>
        </w:rPr>
        <w:tab/>
      </w:r>
      <w:r>
        <w:rPr>
          <w:rFonts w:ascii="Times New Roman" w:hAnsi="Times New Roman" w:cs="Times New Roman" w:eastAsiaTheme="minorEastAsia"/>
          <w:smallCaps w:val="0"/>
          <w:sz w:val="24"/>
          <w:szCs w:val="24"/>
        </w:rPr>
        <w:fldChar w:fldCharType="begin"/>
      </w:r>
      <w:r>
        <w:rPr>
          <w:rFonts w:ascii="Times New Roman" w:hAnsi="Times New Roman" w:cs="Times New Roman" w:eastAsiaTheme="minorEastAsia"/>
          <w:smallCaps w:val="0"/>
          <w:sz w:val="24"/>
          <w:szCs w:val="24"/>
        </w:rPr>
        <w:instrText xml:space="preserve"> PAGEREF _Toc120020294 \h </w:instrText>
      </w:r>
      <w:r>
        <w:rPr>
          <w:rFonts w:ascii="Times New Roman" w:hAnsi="Times New Roman" w:cs="Times New Roman" w:eastAsiaTheme="minorEastAsia"/>
          <w:smallCaps w:val="0"/>
          <w:sz w:val="24"/>
          <w:szCs w:val="24"/>
        </w:rPr>
        <w:fldChar w:fldCharType="separate"/>
      </w:r>
      <w:r>
        <w:rPr>
          <w:rFonts w:ascii="Times New Roman" w:hAnsi="Times New Roman" w:cs="Times New Roman" w:eastAsiaTheme="minorEastAsia"/>
          <w:smallCaps w:val="0"/>
          <w:sz w:val="24"/>
          <w:szCs w:val="24"/>
        </w:rPr>
        <w:t>24</w:t>
      </w:r>
      <w:r>
        <w:rPr>
          <w:rFonts w:ascii="Times New Roman" w:hAnsi="Times New Roman" w:cs="Times New Roman" w:eastAsiaTheme="minorEastAsia"/>
          <w:smallCaps w:val="0"/>
          <w:sz w:val="24"/>
          <w:szCs w:val="24"/>
        </w:rPr>
        <w:fldChar w:fldCharType="end"/>
      </w:r>
      <w:r>
        <w:rPr>
          <w:rFonts w:ascii="Times New Roman" w:hAnsi="Times New Roman" w:cs="Times New Roman" w:eastAsiaTheme="minorEastAsia"/>
          <w:smallCaps w:val="0"/>
          <w:sz w:val="24"/>
          <w:szCs w:val="24"/>
        </w:rPr>
        <w:fldChar w:fldCharType="end"/>
      </w:r>
    </w:p>
    <w:p>
      <w:pPr>
        <w:pStyle w:val="17"/>
        <w:tabs>
          <w:tab w:val="right" w:leader="dot" w:pos="8303"/>
        </w:tabs>
        <w:spacing w:before="0" w:after="0" w:line="300" w:lineRule="auto"/>
        <w:rPr>
          <w:rFonts w:ascii="Times New Roman" w:hAnsi="Times New Roman" w:cs="Times New Roman" w:eastAsiaTheme="minorEastAsia"/>
          <w:b w:val="0"/>
          <w:bCs w:val="0"/>
          <w:caps w:val="0"/>
          <w:sz w:val="24"/>
          <w:szCs w:val="24"/>
        </w:rPr>
      </w:pPr>
      <w:r>
        <w:fldChar w:fldCharType="begin"/>
      </w:r>
      <w:r>
        <w:instrText xml:space="preserve"> HYPERLINK \l "_Toc120020295" </w:instrText>
      </w:r>
      <w:r>
        <w:fldChar w:fldCharType="separate"/>
      </w:r>
      <w:r>
        <w:rPr>
          <w:rStyle w:val="29"/>
          <w:rFonts w:ascii="Times New Roman" w:hAnsi="Times New Roman" w:cs="Times New Roman" w:eastAsiaTheme="minorEastAsia"/>
          <w:b w:val="0"/>
          <w:caps w:val="0"/>
          <w:kern w:val="44"/>
          <w:sz w:val="24"/>
          <w:szCs w:val="24"/>
        </w:rPr>
        <w:t>7  装配式混凝土外墙拼缝连接</w:t>
      </w:r>
      <w:r>
        <w:rPr>
          <w:rFonts w:ascii="Times New Roman" w:hAnsi="Times New Roman" w:cs="Times New Roman" w:eastAsiaTheme="minorEastAsia"/>
          <w:b w:val="0"/>
          <w:caps w:val="0"/>
          <w:sz w:val="24"/>
          <w:szCs w:val="24"/>
        </w:rPr>
        <w:tab/>
      </w:r>
      <w:r>
        <w:rPr>
          <w:rFonts w:ascii="Times New Roman" w:hAnsi="Times New Roman" w:cs="Times New Roman" w:eastAsiaTheme="minorEastAsia"/>
          <w:b w:val="0"/>
          <w:caps w:val="0"/>
          <w:sz w:val="24"/>
          <w:szCs w:val="24"/>
        </w:rPr>
        <w:fldChar w:fldCharType="begin"/>
      </w:r>
      <w:r>
        <w:rPr>
          <w:rFonts w:ascii="Times New Roman" w:hAnsi="Times New Roman" w:cs="Times New Roman" w:eastAsiaTheme="minorEastAsia"/>
          <w:b w:val="0"/>
          <w:caps w:val="0"/>
          <w:sz w:val="24"/>
          <w:szCs w:val="24"/>
        </w:rPr>
        <w:instrText xml:space="preserve"> PAGEREF _Toc120020295 \h </w:instrText>
      </w:r>
      <w:r>
        <w:rPr>
          <w:rFonts w:ascii="Times New Roman" w:hAnsi="Times New Roman" w:cs="Times New Roman" w:eastAsiaTheme="minorEastAsia"/>
          <w:b w:val="0"/>
          <w:caps w:val="0"/>
          <w:sz w:val="24"/>
          <w:szCs w:val="24"/>
        </w:rPr>
        <w:fldChar w:fldCharType="separate"/>
      </w:r>
      <w:r>
        <w:rPr>
          <w:rFonts w:ascii="Times New Roman" w:hAnsi="Times New Roman" w:cs="Times New Roman" w:eastAsiaTheme="minorEastAsia"/>
          <w:b w:val="0"/>
          <w:caps w:val="0"/>
          <w:sz w:val="24"/>
          <w:szCs w:val="24"/>
        </w:rPr>
        <w:t>26</w:t>
      </w:r>
      <w:r>
        <w:rPr>
          <w:rFonts w:ascii="Times New Roman" w:hAnsi="Times New Roman" w:cs="Times New Roman" w:eastAsiaTheme="minorEastAsia"/>
          <w:b w:val="0"/>
          <w:caps w:val="0"/>
          <w:sz w:val="24"/>
          <w:szCs w:val="24"/>
        </w:rPr>
        <w:fldChar w:fldCharType="end"/>
      </w:r>
      <w:r>
        <w:rPr>
          <w:rFonts w:ascii="Times New Roman" w:hAnsi="Times New Roman" w:cs="Times New Roman" w:eastAsiaTheme="minorEastAsia"/>
          <w:b w:val="0"/>
          <w:caps w:val="0"/>
          <w:sz w:val="24"/>
          <w:szCs w:val="24"/>
        </w:rPr>
        <w:fldChar w:fldCharType="end"/>
      </w:r>
    </w:p>
    <w:p>
      <w:pPr>
        <w:pStyle w:val="20"/>
        <w:tabs>
          <w:tab w:val="right" w:leader="dot" w:pos="8303"/>
        </w:tabs>
        <w:spacing w:line="300" w:lineRule="auto"/>
        <w:rPr>
          <w:rFonts w:ascii="Times New Roman" w:hAnsi="Times New Roman" w:cs="Times New Roman" w:eastAsiaTheme="minorEastAsia"/>
          <w:smallCaps w:val="0"/>
          <w:sz w:val="24"/>
          <w:szCs w:val="24"/>
        </w:rPr>
      </w:pPr>
      <w:r>
        <w:fldChar w:fldCharType="begin"/>
      </w:r>
      <w:r>
        <w:instrText xml:space="preserve"> HYPERLINK \l "_Toc120020296" </w:instrText>
      </w:r>
      <w:r>
        <w:fldChar w:fldCharType="separate"/>
      </w:r>
      <w:r>
        <w:rPr>
          <w:rStyle w:val="29"/>
          <w:rFonts w:ascii="Times New Roman" w:hAnsi="Times New Roman" w:cs="Times New Roman" w:eastAsiaTheme="minorEastAsia"/>
          <w:smallCaps w:val="0"/>
          <w:kern w:val="0"/>
          <w:sz w:val="24"/>
          <w:szCs w:val="24"/>
        </w:rPr>
        <w:t>7.1  混凝土外墙拼缝的密封胶粘结质量</w:t>
      </w:r>
      <w:r>
        <w:rPr>
          <w:rFonts w:ascii="Times New Roman" w:hAnsi="Times New Roman" w:cs="Times New Roman" w:eastAsiaTheme="minorEastAsia"/>
          <w:smallCaps w:val="0"/>
          <w:sz w:val="24"/>
          <w:szCs w:val="24"/>
        </w:rPr>
        <w:tab/>
      </w:r>
      <w:r>
        <w:rPr>
          <w:rFonts w:ascii="Times New Roman" w:hAnsi="Times New Roman" w:cs="Times New Roman" w:eastAsiaTheme="minorEastAsia"/>
          <w:smallCaps w:val="0"/>
          <w:sz w:val="24"/>
          <w:szCs w:val="24"/>
        </w:rPr>
        <w:fldChar w:fldCharType="begin"/>
      </w:r>
      <w:r>
        <w:rPr>
          <w:rFonts w:ascii="Times New Roman" w:hAnsi="Times New Roman" w:cs="Times New Roman" w:eastAsiaTheme="minorEastAsia"/>
          <w:smallCaps w:val="0"/>
          <w:sz w:val="24"/>
          <w:szCs w:val="24"/>
        </w:rPr>
        <w:instrText xml:space="preserve"> PAGEREF _Toc120020296 \h </w:instrText>
      </w:r>
      <w:r>
        <w:rPr>
          <w:rFonts w:ascii="Times New Roman" w:hAnsi="Times New Roman" w:cs="Times New Roman" w:eastAsiaTheme="minorEastAsia"/>
          <w:smallCaps w:val="0"/>
          <w:sz w:val="24"/>
          <w:szCs w:val="24"/>
        </w:rPr>
        <w:fldChar w:fldCharType="separate"/>
      </w:r>
      <w:r>
        <w:rPr>
          <w:rFonts w:ascii="Times New Roman" w:hAnsi="Times New Roman" w:cs="Times New Roman" w:eastAsiaTheme="minorEastAsia"/>
          <w:smallCaps w:val="0"/>
          <w:sz w:val="24"/>
          <w:szCs w:val="24"/>
        </w:rPr>
        <w:t>26</w:t>
      </w:r>
      <w:r>
        <w:rPr>
          <w:rFonts w:ascii="Times New Roman" w:hAnsi="Times New Roman" w:cs="Times New Roman" w:eastAsiaTheme="minorEastAsia"/>
          <w:smallCaps w:val="0"/>
          <w:sz w:val="24"/>
          <w:szCs w:val="24"/>
        </w:rPr>
        <w:fldChar w:fldCharType="end"/>
      </w:r>
      <w:r>
        <w:rPr>
          <w:rFonts w:ascii="Times New Roman" w:hAnsi="Times New Roman" w:cs="Times New Roman" w:eastAsiaTheme="minorEastAsia"/>
          <w:smallCaps w:val="0"/>
          <w:sz w:val="24"/>
          <w:szCs w:val="24"/>
        </w:rPr>
        <w:fldChar w:fldCharType="end"/>
      </w:r>
    </w:p>
    <w:p>
      <w:pPr>
        <w:pStyle w:val="20"/>
        <w:tabs>
          <w:tab w:val="right" w:leader="dot" w:pos="8303"/>
        </w:tabs>
        <w:spacing w:line="300" w:lineRule="auto"/>
        <w:rPr>
          <w:rFonts w:ascii="Times New Roman" w:hAnsi="Times New Roman" w:cs="Times New Roman" w:eastAsiaTheme="minorEastAsia"/>
          <w:smallCaps w:val="0"/>
          <w:sz w:val="24"/>
          <w:szCs w:val="24"/>
        </w:rPr>
      </w:pPr>
      <w:r>
        <w:fldChar w:fldCharType="begin"/>
      </w:r>
      <w:r>
        <w:instrText xml:space="preserve"> HYPERLINK \l "_Toc120020297" </w:instrText>
      </w:r>
      <w:r>
        <w:fldChar w:fldCharType="separate"/>
      </w:r>
      <w:r>
        <w:rPr>
          <w:rStyle w:val="29"/>
          <w:rFonts w:ascii="Times New Roman" w:hAnsi="Times New Roman" w:cs="Times New Roman" w:eastAsiaTheme="minorEastAsia"/>
          <w:smallCaps w:val="0"/>
          <w:kern w:val="0"/>
          <w:sz w:val="24"/>
          <w:szCs w:val="24"/>
        </w:rPr>
        <w:t>7.2  混凝土外墙拼缝的防水质量</w:t>
      </w:r>
      <w:r>
        <w:rPr>
          <w:rFonts w:ascii="Times New Roman" w:hAnsi="Times New Roman" w:cs="Times New Roman" w:eastAsiaTheme="minorEastAsia"/>
          <w:smallCaps w:val="0"/>
          <w:sz w:val="24"/>
          <w:szCs w:val="24"/>
        </w:rPr>
        <w:tab/>
      </w:r>
      <w:r>
        <w:rPr>
          <w:rFonts w:ascii="Times New Roman" w:hAnsi="Times New Roman" w:cs="Times New Roman" w:eastAsiaTheme="minorEastAsia"/>
          <w:smallCaps w:val="0"/>
          <w:sz w:val="24"/>
          <w:szCs w:val="24"/>
        </w:rPr>
        <w:fldChar w:fldCharType="begin"/>
      </w:r>
      <w:r>
        <w:rPr>
          <w:rFonts w:ascii="Times New Roman" w:hAnsi="Times New Roman" w:cs="Times New Roman" w:eastAsiaTheme="minorEastAsia"/>
          <w:smallCaps w:val="0"/>
          <w:sz w:val="24"/>
          <w:szCs w:val="24"/>
        </w:rPr>
        <w:instrText xml:space="preserve"> PAGEREF _Toc120020297 \h </w:instrText>
      </w:r>
      <w:r>
        <w:rPr>
          <w:rFonts w:ascii="Times New Roman" w:hAnsi="Times New Roman" w:cs="Times New Roman" w:eastAsiaTheme="minorEastAsia"/>
          <w:smallCaps w:val="0"/>
          <w:sz w:val="24"/>
          <w:szCs w:val="24"/>
        </w:rPr>
        <w:fldChar w:fldCharType="separate"/>
      </w:r>
      <w:r>
        <w:rPr>
          <w:rFonts w:ascii="Times New Roman" w:hAnsi="Times New Roman" w:cs="Times New Roman" w:eastAsiaTheme="minorEastAsia"/>
          <w:smallCaps w:val="0"/>
          <w:sz w:val="24"/>
          <w:szCs w:val="24"/>
        </w:rPr>
        <w:t>27</w:t>
      </w:r>
      <w:r>
        <w:rPr>
          <w:rFonts w:ascii="Times New Roman" w:hAnsi="Times New Roman" w:cs="Times New Roman" w:eastAsiaTheme="minorEastAsia"/>
          <w:smallCaps w:val="0"/>
          <w:sz w:val="24"/>
          <w:szCs w:val="24"/>
        </w:rPr>
        <w:fldChar w:fldCharType="end"/>
      </w:r>
      <w:r>
        <w:rPr>
          <w:rFonts w:ascii="Times New Roman" w:hAnsi="Times New Roman" w:cs="Times New Roman" w:eastAsiaTheme="minorEastAsia"/>
          <w:smallCaps w:val="0"/>
          <w:sz w:val="24"/>
          <w:szCs w:val="24"/>
        </w:rPr>
        <w:fldChar w:fldCharType="end"/>
      </w:r>
    </w:p>
    <w:p>
      <w:pPr>
        <w:pStyle w:val="17"/>
        <w:tabs>
          <w:tab w:val="right" w:leader="dot" w:pos="8303"/>
        </w:tabs>
        <w:spacing w:before="0" w:after="0" w:line="300" w:lineRule="auto"/>
        <w:rPr>
          <w:rFonts w:ascii="Times New Roman" w:hAnsi="Times New Roman" w:cs="Times New Roman" w:eastAsiaTheme="minorEastAsia"/>
          <w:b w:val="0"/>
          <w:bCs w:val="0"/>
          <w:caps w:val="0"/>
          <w:sz w:val="24"/>
          <w:szCs w:val="24"/>
        </w:rPr>
      </w:pPr>
      <w:r>
        <w:fldChar w:fldCharType="begin"/>
      </w:r>
      <w:r>
        <w:instrText xml:space="preserve"> HYPERLINK \l "_Toc120020298" </w:instrText>
      </w:r>
      <w:r>
        <w:fldChar w:fldCharType="separate"/>
      </w:r>
      <w:r>
        <w:rPr>
          <w:rStyle w:val="29"/>
          <w:rFonts w:ascii="Times New Roman" w:hAnsi="Times New Roman" w:cs="Times New Roman" w:eastAsiaTheme="minorEastAsia"/>
          <w:b w:val="0"/>
          <w:caps w:val="0"/>
          <w:kern w:val="44"/>
          <w:sz w:val="24"/>
          <w:szCs w:val="24"/>
        </w:rPr>
        <w:t>附录A  直径50mm芯样钻芯法检测混凝土抗压强度</w:t>
      </w:r>
      <w:r>
        <w:rPr>
          <w:rFonts w:ascii="Times New Roman" w:hAnsi="Times New Roman" w:cs="Times New Roman" w:eastAsiaTheme="minorEastAsia"/>
          <w:b w:val="0"/>
          <w:caps w:val="0"/>
          <w:sz w:val="24"/>
          <w:szCs w:val="24"/>
        </w:rPr>
        <w:tab/>
      </w:r>
      <w:r>
        <w:rPr>
          <w:rFonts w:ascii="Times New Roman" w:hAnsi="Times New Roman" w:cs="Times New Roman" w:eastAsiaTheme="minorEastAsia"/>
          <w:b w:val="0"/>
          <w:caps w:val="0"/>
          <w:sz w:val="24"/>
          <w:szCs w:val="24"/>
        </w:rPr>
        <w:fldChar w:fldCharType="begin"/>
      </w:r>
      <w:r>
        <w:rPr>
          <w:rFonts w:ascii="Times New Roman" w:hAnsi="Times New Roman" w:cs="Times New Roman" w:eastAsiaTheme="minorEastAsia"/>
          <w:b w:val="0"/>
          <w:caps w:val="0"/>
          <w:sz w:val="24"/>
          <w:szCs w:val="24"/>
        </w:rPr>
        <w:instrText xml:space="preserve"> PAGEREF _Toc120020298 \h </w:instrText>
      </w:r>
      <w:r>
        <w:rPr>
          <w:rFonts w:ascii="Times New Roman" w:hAnsi="Times New Roman" w:cs="Times New Roman" w:eastAsiaTheme="minorEastAsia"/>
          <w:b w:val="0"/>
          <w:caps w:val="0"/>
          <w:sz w:val="24"/>
          <w:szCs w:val="24"/>
        </w:rPr>
        <w:fldChar w:fldCharType="separate"/>
      </w:r>
      <w:r>
        <w:rPr>
          <w:rFonts w:ascii="Times New Roman" w:hAnsi="Times New Roman" w:cs="Times New Roman" w:eastAsiaTheme="minorEastAsia"/>
          <w:b w:val="0"/>
          <w:caps w:val="0"/>
          <w:sz w:val="24"/>
          <w:szCs w:val="24"/>
        </w:rPr>
        <w:t>29</w:t>
      </w:r>
      <w:r>
        <w:rPr>
          <w:rFonts w:ascii="Times New Roman" w:hAnsi="Times New Roman" w:cs="Times New Roman" w:eastAsiaTheme="minorEastAsia"/>
          <w:b w:val="0"/>
          <w:caps w:val="0"/>
          <w:sz w:val="24"/>
          <w:szCs w:val="24"/>
        </w:rPr>
        <w:fldChar w:fldCharType="end"/>
      </w:r>
      <w:r>
        <w:rPr>
          <w:rFonts w:ascii="Times New Roman" w:hAnsi="Times New Roman" w:cs="Times New Roman" w:eastAsiaTheme="minorEastAsia"/>
          <w:b w:val="0"/>
          <w:caps w:val="0"/>
          <w:sz w:val="24"/>
          <w:szCs w:val="24"/>
        </w:rPr>
        <w:fldChar w:fldCharType="end"/>
      </w:r>
    </w:p>
    <w:p>
      <w:pPr>
        <w:pStyle w:val="17"/>
        <w:tabs>
          <w:tab w:val="right" w:leader="dot" w:pos="8303"/>
        </w:tabs>
        <w:spacing w:before="0" w:after="0" w:line="300" w:lineRule="auto"/>
        <w:rPr>
          <w:rFonts w:ascii="Times New Roman" w:hAnsi="Times New Roman" w:cs="Times New Roman" w:eastAsiaTheme="minorEastAsia"/>
          <w:b w:val="0"/>
          <w:bCs w:val="0"/>
          <w:caps w:val="0"/>
          <w:sz w:val="24"/>
          <w:szCs w:val="24"/>
        </w:rPr>
      </w:pPr>
      <w:r>
        <w:fldChar w:fldCharType="begin"/>
      </w:r>
      <w:r>
        <w:instrText xml:space="preserve"> HYPERLINK \l "_Toc120020299" </w:instrText>
      </w:r>
      <w:r>
        <w:fldChar w:fldCharType="separate"/>
      </w:r>
      <w:r>
        <w:rPr>
          <w:rStyle w:val="29"/>
          <w:rFonts w:ascii="Times New Roman" w:hAnsi="Times New Roman" w:cs="Times New Roman" w:eastAsiaTheme="minorEastAsia"/>
          <w:b w:val="0"/>
          <w:caps w:val="0"/>
          <w:kern w:val="44"/>
          <w:sz w:val="24"/>
          <w:szCs w:val="24"/>
        </w:rPr>
        <w:t>附录B  推定系数</w:t>
      </w:r>
      <w:r>
        <w:rPr>
          <w:rFonts w:ascii="Times New Roman" w:hAnsi="Times New Roman" w:cs="Times New Roman" w:eastAsiaTheme="minorEastAsia"/>
          <w:b w:val="0"/>
          <w:caps w:val="0"/>
          <w:sz w:val="24"/>
          <w:szCs w:val="24"/>
        </w:rPr>
        <w:tab/>
      </w:r>
      <w:r>
        <w:rPr>
          <w:rFonts w:ascii="Times New Roman" w:hAnsi="Times New Roman" w:cs="Times New Roman" w:eastAsiaTheme="minorEastAsia"/>
          <w:b w:val="0"/>
          <w:caps w:val="0"/>
          <w:sz w:val="24"/>
          <w:szCs w:val="24"/>
        </w:rPr>
        <w:fldChar w:fldCharType="begin"/>
      </w:r>
      <w:r>
        <w:rPr>
          <w:rFonts w:ascii="Times New Roman" w:hAnsi="Times New Roman" w:cs="Times New Roman" w:eastAsiaTheme="minorEastAsia"/>
          <w:b w:val="0"/>
          <w:caps w:val="0"/>
          <w:sz w:val="24"/>
          <w:szCs w:val="24"/>
        </w:rPr>
        <w:instrText xml:space="preserve"> PAGEREF _Toc120020299 \h </w:instrText>
      </w:r>
      <w:r>
        <w:rPr>
          <w:rFonts w:ascii="Times New Roman" w:hAnsi="Times New Roman" w:cs="Times New Roman" w:eastAsiaTheme="minorEastAsia"/>
          <w:b w:val="0"/>
          <w:caps w:val="0"/>
          <w:sz w:val="24"/>
          <w:szCs w:val="24"/>
        </w:rPr>
        <w:fldChar w:fldCharType="separate"/>
      </w:r>
      <w:r>
        <w:rPr>
          <w:rFonts w:ascii="Times New Roman" w:hAnsi="Times New Roman" w:cs="Times New Roman" w:eastAsiaTheme="minorEastAsia"/>
          <w:b w:val="0"/>
          <w:caps w:val="0"/>
          <w:sz w:val="24"/>
          <w:szCs w:val="24"/>
        </w:rPr>
        <w:t>31</w:t>
      </w:r>
      <w:r>
        <w:rPr>
          <w:rFonts w:ascii="Times New Roman" w:hAnsi="Times New Roman" w:cs="Times New Roman" w:eastAsiaTheme="minorEastAsia"/>
          <w:b w:val="0"/>
          <w:caps w:val="0"/>
          <w:sz w:val="24"/>
          <w:szCs w:val="24"/>
        </w:rPr>
        <w:fldChar w:fldCharType="end"/>
      </w:r>
      <w:r>
        <w:rPr>
          <w:rFonts w:ascii="Times New Roman" w:hAnsi="Times New Roman" w:cs="Times New Roman" w:eastAsiaTheme="minorEastAsia"/>
          <w:b w:val="0"/>
          <w:caps w:val="0"/>
          <w:sz w:val="24"/>
          <w:szCs w:val="24"/>
        </w:rPr>
        <w:fldChar w:fldCharType="end"/>
      </w:r>
    </w:p>
    <w:p>
      <w:pPr>
        <w:pStyle w:val="17"/>
        <w:tabs>
          <w:tab w:val="right" w:leader="dot" w:pos="8303"/>
        </w:tabs>
        <w:spacing w:before="0" w:after="0" w:line="300" w:lineRule="auto"/>
        <w:rPr>
          <w:rFonts w:ascii="Times New Roman" w:hAnsi="Times New Roman" w:cs="Times New Roman" w:eastAsiaTheme="minorEastAsia"/>
          <w:b w:val="0"/>
          <w:bCs w:val="0"/>
          <w:caps w:val="0"/>
          <w:sz w:val="24"/>
          <w:szCs w:val="24"/>
        </w:rPr>
      </w:pPr>
      <w:r>
        <w:fldChar w:fldCharType="begin"/>
      </w:r>
      <w:r>
        <w:instrText xml:space="preserve"> HYPERLINK \l "_Toc120020300" </w:instrText>
      </w:r>
      <w:r>
        <w:fldChar w:fldCharType="separate"/>
      </w:r>
      <w:r>
        <w:rPr>
          <w:rStyle w:val="29"/>
          <w:rFonts w:ascii="Times New Roman" w:hAnsi="Times New Roman" w:cs="Times New Roman" w:eastAsiaTheme="minorEastAsia"/>
          <w:b w:val="0"/>
          <w:caps w:val="0"/>
          <w:kern w:val="44"/>
          <w:sz w:val="24"/>
          <w:szCs w:val="24"/>
        </w:rPr>
        <w:t>附录C  阵列超声法检测混凝土内部缺陷</w:t>
      </w:r>
      <w:r>
        <w:rPr>
          <w:rFonts w:ascii="Times New Roman" w:hAnsi="Times New Roman" w:cs="Times New Roman" w:eastAsiaTheme="minorEastAsia"/>
          <w:b w:val="0"/>
          <w:caps w:val="0"/>
          <w:sz w:val="24"/>
          <w:szCs w:val="24"/>
        </w:rPr>
        <w:tab/>
      </w:r>
      <w:r>
        <w:rPr>
          <w:rFonts w:ascii="Times New Roman" w:hAnsi="Times New Roman" w:cs="Times New Roman" w:eastAsiaTheme="minorEastAsia"/>
          <w:b w:val="0"/>
          <w:caps w:val="0"/>
          <w:sz w:val="24"/>
          <w:szCs w:val="24"/>
        </w:rPr>
        <w:fldChar w:fldCharType="begin"/>
      </w:r>
      <w:r>
        <w:rPr>
          <w:rFonts w:ascii="Times New Roman" w:hAnsi="Times New Roman" w:cs="Times New Roman" w:eastAsiaTheme="minorEastAsia"/>
          <w:b w:val="0"/>
          <w:caps w:val="0"/>
          <w:sz w:val="24"/>
          <w:szCs w:val="24"/>
        </w:rPr>
        <w:instrText xml:space="preserve"> PAGEREF _Toc120020300 \h </w:instrText>
      </w:r>
      <w:r>
        <w:rPr>
          <w:rFonts w:ascii="Times New Roman" w:hAnsi="Times New Roman" w:cs="Times New Roman" w:eastAsiaTheme="minorEastAsia"/>
          <w:b w:val="0"/>
          <w:caps w:val="0"/>
          <w:sz w:val="24"/>
          <w:szCs w:val="24"/>
        </w:rPr>
        <w:fldChar w:fldCharType="separate"/>
      </w:r>
      <w:r>
        <w:rPr>
          <w:rFonts w:ascii="Times New Roman" w:hAnsi="Times New Roman" w:cs="Times New Roman" w:eastAsiaTheme="minorEastAsia"/>
          <w:b w:val="0"/>
          <w:caps w:val="0"/>
          <w:sz w:val="24"/>
          <w:szCs w:val="24"/>
        </w:rPr>
        <w:t>35</w:t>
      </w:r>
      <w:r>
        <w:rPr>
          <w:rFonts w:ascii="Times New Roman" w:hAnsi="Times New Roman" w:cs="Times New Roman" w:eastAsiaTheme="minorEastAsia"/>
          <w:b w:val="0"/>
          <w:caps w:val="0"/>
          <w:sz w:val="24"/>
          <w:szCs w:val="24"/>
        </w:rPr>
        <w:fldChar w:fldCharType="end"/>
      </w:r>
      <w:r>
        <w:rPr>
          <w:rFonts w:ascii="Times New Roman" w:hAnsi="Times New Roman" w:cs="Times New Roman" w:eastAsiaTheme="minorEastAsia"/>
          <w:b w:val="0"/>
          <w:caps w:val="0"/>
          <w:sz w:val="24"/>
          <w:szCs w:val="24"/>
        </w:rPr>
        <w:fldChar w:fldCharType="end"/>
      </w:r>
    </w:p>
    <w:p>
      <w:pPr>
        <w:pStyle w:val="17"/>
        <w:tabs>
          <w:tab w:val="right" w:leader="dot" w:pos="8303"/>
        </w:tabs>
        <w:spacing w:before="0" w:after="0" w:line="300" w:lineRule="auto"/>
        <w:rPr>
          <w:rFonts w:ascii="Times New Roman" w:hAnsi="Times New Roman" w:cs="Times New Roman" w:eastAsiaTheme="minorEastAsia"/>
          <w:b w:val="0"/>
          <w:bCs w:val="0"/>
          <w:caps w:val="0"/>
          <w:sz w:val="24"/>
          <w:szCs w:val="24"/>
        </w:rPr>
      </w:pPr>
      <w:r>
        <w:fldChar w:fldCharType="begin"/>
      </w:r>
      <w:r>
        <w:instrText xml:space="preserve"> HYPERLINK \l "_Toc120020301" </w:instrText>
      </w:r>
      <w:r>
        <w:fldChar w:fldCharType="separate"/>
      </w:r>
      <w:r>
        <w:rPr>
          <w:rStyle w:val="29"/>
          <w:rFonts w:ascii="Times New Roman" w:hAnsi="Times New Roman" w:cs="Times New Roman" w:eastAsiaTheme="minorEastAsia"/>
          <w:b w:val="0"/>
          <w:caps w:val="0"/>
          <w:kern w:val="44"/>
          <w:sz w:val="24"/>
          <w:szCs w:val="24"/>
        </w:rPr>
        <w:t>附录D  现场实体取样检测钢筋套筒灌浆连接质量</w:t>
      </w:r>
      <w:r>
        <w:rPr>
          <w:rFonts w:ascii="Times New Roman" w:hAnsi="Times New Roman" w:cs="Times New Roman" w:eastAsiaTheme="minorEastAsia"/>
          <w:b w:val="0"/>
          <w:caps w:val="0"/>
          <w:sz w:val="24"/>
          <w:szCs w:val="24"/>
        </w:rPr>
        <w:tab/>
      </w:r>
      <w:r>
        <w:rPr>
          <w:rFonts w:ascii="Times New Roman" w:hAnsi="Times New Roman" w:cs="Times New Roman" w:eastAsiaTheme="minorEastAsia"/>
          <w:b w:val="0"/>
          <w:caps w:val="0"/>
          <w:sz w:val="24"/>
          <w:szCs w:val="24"/>
        </w:rPr>
        <w:fldChar w:fldCharType="begin"/>
      </w:r>
      <w:r>
        <w:rPr>
          <w:rFonts w:ascii="Times New Roman" w:hAnsi="Times New Roman" w:cs="Times New Roman" w:eastAsiaTheme="minorEastAsia"/>
          <w:b w:val="0"/>
          <w:caps w:val="0"/>
          <w:sz w:val="24"/>
          <w:szCs w:val="24"/>
        </w:rPr>
        <w:instrText xml:space="preserve"> PAGEREF _Toc120020301 \h </w:instrText>
      </w:r>
      <w:r>
        <w:rPr>
          <w:rFonts w:ascii="Times New Roman" w:hAnsi="Times New Roman" w:cs="Times New Roman" w:eastAsiaTheme="minorEastAsia"/>
          <w:b w:val="0"/>
          <w:caps w:val="0"/>
          <w:sz w:val="24"/>
          <w:szCs w:val="24"/>
        </w:rPr>
        <w:fldChar w:fldCharType="separate"/>
      </w:r>
      <w:r>
        <w:rPr>
          <w:rFonts w:ascii="Times New Roman" w:hAnsi="Times New Roman" w:cs="Times New Roman" w:eastAsiaTheme="minorEastAsia"/>
          <w:b w:val="0"/>
          <w:caps w:val="0"/>
          <w:sz w:val="24"/>
          <w:szCs w:val="24"/>
        </w:rPr>
        <w:t>37</w:t>
      </w:r>
      <w:r>
        <w:rPr>
          <w:rFonts w:ascii="Times New Roman" w:hAnsi="Times New Roman" w:cs="Times New Roman" w:eastAsiaTheme="minorEastAsia"/>
          <w:b w:val="0"/>
          <w:caps w:val="0"/>
          <w:sz w:val="24"/>
          <w:szCs w:val="24"/>
        </w:rPr>
        <w:fldChar w:fldCharType="end"/>
      </w:r>
      <w:r>
        <w:rPr>
          <w:rFonts w:ascii="Times New Roman" w:hAnsi="Times New Roman" w:cs="Times New Roman" w:eastAsiaTheme="minorEastAsia"/>
          <w:b w:val="0"/>
          <w:caps w:val="0"/>
          <w:sz w:val="24"/>
          <w:szCs w:val="24"/>
        </w:rPr>
        <w:fldChar w:fldCharType="end"/>
      </w:r>
    </w:p>
    <w:p>
      <w:pPr>
        <w:pStyle w:val="17"/>
        <w:tabs>
          <w:tab w:val="right" w:leader="dot" w:pos="8303"/>
        </w:tabs>
        <w:spacing w:before="0" w:after="0" w:line="300" w:lineRule="auto"/>
        <w:rPr>
          <w:rFonts w:ascii="Times New Roman" w:hAnsi="Times New Roman" w:cs="Times New Roman" w:eastAsiaTheme="minorEastAsia"/>
          <w:b w:val="0"/>
          <w:bCs w:val="0"/>
          <w:caps w:val="0"/>
          <w:sz w:val="24"/>
          <w:szCs w:val="24"/>
        </w:rPr>
      </w:pPr>
      <w:r>
        <w:fldChar w:fldCharType="begin"/>
      </w:r>
      <w:r>
        <w:instrText xml:space="preserve"> HYPERLINK \l "_Toc120020302" </w:instrText>
      </w:r>
      <w:r>
        <w:fldChar w:fldCharType="separate"/>
      </w:r>
      <w:r>
        <w:rPr>
          <w:rStyle w:val="29"/>
          <w:rFonts w:ascii="Times New Roman" w:hAnsi="Times New Roman" w:cs="Times New Roman" w:eastAsiaTheme="minorEastAsia"/>
          <w:b w:val="0"/>
          <w:caps w:val="0"/>
          <w:kern w:val="44"/>
          <w:sz w:val="24"/>
          <w:szCs w:val="24"/>
        </w:rPr>
        <w:t>附录E  取样法检测套筒灌浆料抗压强度</w:t>
      </w:r>
      <w:r>
        <w:rPr>
          <w:rFonts w:ascii="Times New Roman" w:hAnsi="Times New Roman" w:cs="Times New Roman" w:eastAsiaTheme="minorEastAsia"/>
          <w:b w:val="0"/>
          <w:caps w:val="0"/>
          <w:sz w:val="24"/>
          <w:szCs w:val="24"/>
        </w:rPr>
        <w:tab/>
      </w:r>
      <w:r>
        <w:rPr>
          <w:rFonts w:ascii="Times New Roman" w:hAnsi="Times New Roman" w:cs="Times New Roman" w:eastAsiaTheme="minorEastAsia"/>
          <w:b w:val="0"/>
          <w:caps w:val="0"/>
          <w:sz w:val="24"/>
          <w:szCs w:val="24"/>
        </w:rPr>
        <w:fldChar w:fldCharType="begin"/>
      </w:r>
      <w:r>
        <w:rPr>
          <w:rFonts w:ascii="Times New Roman" w:hAnsi="Times New Roman" w:cs="Times New Roman" w:eastAsiaTheme="minorEastAsia"/>
          <w:b w:val="0"/>
          <w:caps w:val="0"/>
          <w:sz w:val="24"/>
          <w:szCs w:val="24"/>
        </w:rPr>
        <w:instrText xml:space="preserve"> PAGEREF _Toc120020302 \h </w:instrText>
      </w:r>
      <w:r>
        <w:rPr>
          <w:rFonts w:ascii="Times New Roman" w:hAnsi="Times New Roman" w:cs="Times New Roman" w:eastAsiaTheme="minorEastAsia"/>
          <w:b w:val="0"/>
          <w:caps w:val="0"/>
          <w:sz w:val="24"/>
          <w:szCs w:val="24"/>
        </w:rPr>
        <w:fldChar w:fldCharType="separate"/>
      </w:r>
      <w:r>
        <w:rPr>
          <w:rFonts w:ascii="Times New Roman" w:hAnsi="Times New Roman" w:cs="Times New Roman" w:eastAsiaTheme="minorEastAsia"/>
          <w:b w:val="0"/>
          <w:caps w:val="0"/>
          <w:sz w:val="24"/>
          <w:szCs w:val="24"/>
        </w:rPr>
        <w:t>38</w:t>
      </w:r>
      <w:r>
        <w:rPr>
          <w:rFonts w:ascii="Times New Roman" w:hAnsi="Times New Roman" w:cs="Times New Roman" w:eastAsiaTheme="minorEastAsia"/>
          <w:b w:val="0"/>
          <w:caps w:val="0"/>
          <w:sz w:val="24"/>
          <w:szCs w:val="24"/>
        </w:rPr>
        <w:fldChar w:fldCharType="end"/>
      </w:r>
      <w:r>
        <w:rPr>
          <w:rFonts w:ascii="Times New Roman" w:hAnsi="Times New Roman" w:cs="Times New Roman" w:eastAsiaTheme="minorEastAsia"/>
          <w:b w:val="0"/>
          <w:caps w:val="0"/>
          <w:sz w:val="24"/>
          <w:szCs w:val="24"/>
        </w:rPr>
        <w:fldChar w:fldCharType="end"/>
      </w:r>
    </w:p>
    <w:p>
      <w:pPr>
        <w:pStyle w:val="17"/>
        <w:tabs>
          <w:tab w:val="right" w:leader="dot" w:pos="8303"/>
        </w:tabs>
        <w:spacing w:before="0" w:after="0" w:line="300" w:lineRule="auto"/>
        <w:rPr>
          <w:rFonts w:ascii="Times New Roman" w:hAnsi="Times New Roman" w:cs="Times New Roman" w:eastAsiaTheme="minorEastAsia"/>
          <w:b w:val="0"/>
          <w:bCs w:val="0"/>
          <w:caps w:val="0"/>
          <w:sz w:val="24"/>
          <w:szCs w:val="24"/>
        </w:rPr>
      </w:pPr>
      <w:r>
        <w:fldChar w:fldCharType="begin"/>
      </w:r>
      <w:r>
        <w:instrText xml:space="preserve"> HYPERLINK \l "_Toc120020303" </w:instrText>
      </w:r>
      <w:r>
        <w:fldChar w:fldCharType="separate"/>
      </w:r>
      <w:r>
        <w:rPr>
          <w:rStyle w:val="29"/>
          <w:rFonts w:ascii="Times New Roman" w:hAnsi="Times New Roman" w:cs="Times New Roman" w:eastAsiaTheme="minorEastAsia"/>
          <w:b w:val="0"/>
          <w:caps w:val="0"/>
          <w:kern w:val="44"/>
          <w:sz w:val="24"/>
          <w:szCs w:val="24"/>
        </w:rPr>
        <w:t>附录F  回弹法检测套筒灌浆料抗压强度</w:t>
      </w:r>
      <w:r>
        <w:rPr>
          <w:rFonts w:ascii="Times New Roman" w:hAnsi="Times New Roman" w:cs="Times New Roman" w:eastAsiaTheme="minorEastAsia"/>
          <w:b w:val="0"/>
          <w:caps w:val="0"/>
          <w:sz w:val="24"/>
          <w:szCs w:val="24"/>
        </w:rPr>
        <w:tab/>
      </w:r>
      <w:r>
        <w:rPr>
          <w:rFonts w:ascii="Times New Roman" w:hAnsi="Times New Roman" w:cs="Times New Roman" w:eastAsiaTheme="minorEastAsia"/>
          <w:b w:val="0"/>
          <w:caps w:val="0"/>
          <w:sz w:val="24"/>
          <w:szCs w:val="24"/>
        </w:rPr>
        <w:fldChar w:fldCharType="begin"/>
      </w:r>
      <w:r>
        <w:rPr>
          <w:rFonts w:ascii="Times New Roman" w:hAnsi="Times New Roman" w:cs="Times New Roman" w:eastAsiaTheme="minorEastAsia"/>
          <w:b w:val="0"/>
          <w:caps w:val="0"/>
          <w:sz w:val="24"/>
          <w:szCs w:val="24"/>
        </w:rPr>
        <w:instrText xml:space="preserve"> PAGEREF _Toc120020303 \h </w:instrText>
      </w:r>
      <w:r>
        <w:rPr>
          <w:rFonts w:ascii="Times New Roman" w:hAnsi="Times New Roman" w:cs="Times New Roman" w:eastAsiaTheme="minorEastAsia"/>
          <w:b w:val="0"/>
          <w:caps w:val="0"/>
          <w:sz w:val="24"/>
          <w:szCs w:val="24"/>
        </w:rPr>
        <w:fldChar w:fldCharType="separate"/>
      </w:r>
      <w:r>
        <w:rPr>
          <w:rFonts w:ascii="Times New Roman" w:hAnsi="Times New Roman" w:cs="Times New Roman" w:eastAsiaTheme="minorEastAsia"/>
          <w:b w:val="0"/>
          <w:caps w:val="0"/>
          <w:sz w:val="24"/>
          <w:szCs w:val="24"/>
        </w:rPr>
        <w:t>45</w:t>
      </w:r>
      <w:r>
        <w:rPr>
          <w:rFonts w:ascii="Times New Roman" w:hAnsi="Times New Roman" w:cs="Times New Roman" w:eastAsiaTheme="minorEastAsia"/>
          <w:b w:val="0"/>
          <w:caps w:val="0"/>
          <w:sz w:val="24"/>
          <w:szCs w:val="24"/>
        </w:rPr>
        <w:fldChar w:fldCharType="end"/>
      </w:r>
      <w:r>
        <w:rPr>
          <w:rFonts w:ascii="Times New Roman" w:hAnsi="Times New Roman" w:cs="Times New Roman" w:eastAsiaTheme="minorEastAsia"/>
          <w:b w:val="0"/>
          <w:caps w:val="0"/>
          <w:sz w:val="24"/>
          <w:szCs w:val="24"/>
        </w:rPr>
        <w:fldChar w:fldCharType="end"/>
      </w:r>
    </w:p>
    <w:p>
      <w:pPr>
        <w:pStyle w:val="17"/>
        <w:tabs>
          <w:tab w:val="right" w:leader="dot" w:pos="8303"/>
        </w:tabs>
        <w:spacing w:before="0" w:after="0" w:line="300" w:lineRule="auto"/>
        <w:rPr>
          <w:rFonts w:ascii="Times New Roman" w:hAnsi="Times New Roman" w:cs="Times New Roman" w:eastAsiaTheme="minorEastAsia"/>
          <w:b w:val="0"/>
          <w:bCs w:val="0"/>
          <w:caps w:val="0"/>
          <w:sz w:val="24"/>
          <w:szCs w:val="24"/>
        </w:rPr>
      </w:pPr>
      <w:r>
        <w:fldChar w:fldCharType="begin"/>
      </w:r>
      <w:r>
        <w:instrText xml:space="preserve"> HYPERLINK \l "_Toc120020304" </w:instrText>
      </w:r>
      <w:r>
        <w:fldChar w:fldCharType="separate"/>
      </w:r>
      <w:r>
        <w:rPr>
          <w:rStyle w:val="29"/>
          <w:rFonts w:ascii="Times New Roman" w:hAnsi="Times New Roman" w:cs="Times New Roman" w:eastAsiaTheme="minorEastAsia"/>
          <w:b w:val="0"/>
          <w:caps w:val="0"/>
          <w:kern w:val="44"/>
          <w:sz w:val="24"/>
          <w:szCs w:val="24"/>
        </w:rPr>
        <w:t>附录G  钻孔内窥法</w:t>
      </w:r>
      <w:r>
        <w:rPr>
          <w:rFonts w:ascii="Times New Roman" w:hAnsi="Times New Roman" w:cs="Times New Roman" w:eastAsiaTheme="minorEastAsia"/>
          <w:b w:val="0"/>
          <w:caps w:val="0"/>
          <w:sz w:val="24"/>
          <w:szCs w:val="24"/>
        </w:rPr>
        <w:tab/>
      </w:r>
      <w:r>
        <w:rPr>
          <w:rFonts w:ascii="Times New Roman" w:hAnsi="Times New Roman" w:cs="Times New Roman" w:eastAsiaTheme="minorEastAsia"/>
          <w:b w:val="0"/>
          <w:caps w:val="0"/>
          <w:sz w:val="24"/>
          <w:szCs w:val="24"/>
        </w:rPr>
        <w:fldChar w:fldCharType="begin"/>
      </w:r>
      <w:r>
        <w:rPr>
          <w:rFonts w:ascii="Times New Roman" w:hAnsi="Times New Roman" w:cs="Times New Roman" w:eastAsiaTheme="minorEastAsia"/>
          <w:b w:val="0"/>
          <w:caps w:val="0"/>
          <w:sz w:val="24"/>
          <w:szCs w:val="24"/>
        </w:rPr>
        <w:instrText xml:space="preserve"> PAGEREF _Toc120020304 \h </w:instrText>
      </w:r>
      <w:r>
        <w:rPr>
          <w:rFonts w:ascii="Times New Roman" w:hAnsi="Times New Roman" w:cs="Times New Roman" w:eastAsiaTheme="minorEastAsia"/>
          <w:b w:val="0"/>
          <w:caps w:val="0"/>
          <w:sz w:val="24"/>
          <w:szCs w:val="24"/>
        </w:rPr>
        <w:fldChar w:fldCharType="separate"/>
      </w:r>
      <w:r>
        <w:rPr>
          <w:rFonts w:ascii="Times New Roman" w:hAnsi="Times New Roman" w:cs="Times New Roman" w:eastAsiaTheme="minorEastAsia"/>
          <w:b w:val="0"/>
          <w:caps w:val="0"/>
          <w:sz w:val="24"/>
          <w:szCs w:val="24"/>
        </w:rPr>
        <w:t>49</w:t>
      </w:r>
      <w:r>
        <w:rPr>
          <w:rFonts w:ascii="Times New Roman" w:hAnsi="Times New Roman" w:cs="Times New Roman" w:eastAsiaTheme="minorEastAsia"/>
          <w:b w:val="0"/>
          <w:caps w:val="0"/>
          <w:sz w:val="24"/>
          <w:szCs w:val="24"/>
        </w:rPr>
        <w:fldChar w:fldCharType="end"/>
      </w:r>
      <w:r>
        <w:rPr>
          <w:rFonts w:ascii="Times New Roman" w:hAnsi="Times New Roman" w:cs="Times New Roman" w:eastAsiaTheme="minorEastAsia"/>
          <w:b w:val="0"/>
          <w:caps w:val="0"/>
          <w:sz w:val="24"/>
          <w:szCs w:val="24"/>
        </w:rPr>
        <w:fldChar w:fldCharType="end"/>
      </w:r>
    </w:p>
    <w:p>
      <w:pPr>
        <w:pStyle w:val="17"/>
        <w:tabs>
          <w:tab w:val="right" w:leader="dot" w:pos="8303"/>
        </w:tabs>
        <w:spacing w:before="0" w:after="0" w:line="300" w:lineRule="auto"/>
        <w:rPr>
          <w:rFonts w:ascii="Times New Roman" w:hAnsi="Times New Roman" w:cs="Times New Roman" w:eastAsiaTheme="minorEastAsia"/>
          <w:b w:val="0"/>
          <w:bCs w:val="0"/>
          <w:caps w:val="0"/>
          <w:sz w:val="24"/>
          <w:szCs w:val="24"/>
        </w:rPr>
      </w:pPr>
      <w:r>
        <w:fldChar w:fldCharType="begin"/>
      </w:r>
      <w:r>
        <w:instrText xml:space="preserve"> HYPERLINK \l "_Toc120020305" </w:instrText>
      </w:r>
      <w:r>
        <w:fldChar w:fldCharType="separate"/>
      </w:r>
      <w:r>
        <w:rPr>
          <w:rStyle w:val="29"/>
          <w:rFonts w:ascii="Times New Roman" w:hAnsi="Times New Roman" w:cs="Times New Roman" w:eastAsiaTheme="minorEastAsia"/>
          <w:b w:val="0"/>
          <w:caps w:val="0"/>
          <w:kern w:val="44"/>
          <w:sz w:val="24"/>
          <w:szCs w:val="24"/>
        </w:rPr>
        <w:t>附录H  X射线成像法</w:t>
      </w:r>
      <w:r>
        <w:rPr>
          <w:rFonts w:ascii="Times New Roman" w:hAnsi="Times New Roman" w:cs="Times New Roman" w:eastAsiaTheme="minorEastAsia"/>
          <w:b w:val="0"/>
          <w:caps w:val="0"/>
          <w:sz w:val="24"/>
          <w:szCs w:val="24"/>
        </w:rPr>
        <w:tab/>
      </w:r>
      <w:r>
        <w:rPr>
          <w:rFonts w:ascii="Times New Roman" w:hAnsi="Times New Roman" w:cs="Times New Roman" w:eastAsiaTheme="minorEastAsia"/>
          <w:b w:val="0"/>
          <w:caps w:val="0"/>
          <w:sz w:val="24"/>
          <w:szCs w:val="24"/>
        </w:rPr>
        <w:fldChar w:fldCharType="begin"/>
      </w:r>
      <w:r>
        <w:rPr>
          <w:rFonts w:ascii="Times New Roman" w:hAnsi="Times New Roman" w:cs="Times New Roman" w:eastAsiaTheme="minorEastAsia"/>
          <w:b w:val="0"/>
          <w:caps w:val="0"/>
          <w:sz w:val="24"/>
          <w:szCs w:val="24"/>
        </w:rPr>
        <w:instrText xml:space="preserve"> PAGEREF _Toc120020305 \h </w:instrText>
      </w:r>
      <w:r>
        <w:rPr>
          <w:rFonts w:ascii="Times New Roman" w:hAnsi="Times New Roman" w:cs="Times New Roman" w:eastAsiaTheme="minorEastAsia"/>
          <w:b w:val="0"/>
          <w:caps w:val="0"/>
          <w:sz w:val="24"/>
          <w:szCs w:val="24"/>
        </w:rPr>
        <w:fldChar w:fldCharType="separate"/>
      </w:r>
      <w:r>
        <w:rPr>
          <w:rFonts w:ascii="Times New Roman" w:hAnsi="Times New Roman" w:cs="Times New Roman" w:eastAsiaTheme="minorEastAsia"/>
          <w:b w:val="0"/>
          <w:caps w:val="0"/>
          <w:sz w:val="24"/>
          <w:szCs w:val="24"/>
        </w:rPr>
        <w:t>52</w:t>
      </w:r>
      <w:r>
        <w:rPr>
          <w:rFonts w:ascii="Times New Roman" w:hAnsi="Times New Roman" w:cs="Times New Roman" w:eastAsiaTheme="minorEastAsia"/>
          <w:b w:val="0"/>
          <w:caps w:val="0"/>
          <w:sz w:val="24"/>
          <w:szCs w:val="24"/>
        </w:rPr>
        <w:fldChar w:fldCharType="end"/>
      </w:r>
      <w:r>
        <w:rPr>
          <w:rFonts w:ascii="Times New Roman" w:hAnsi="Times New Roman" w:cs="Times New Roman" w:eastAsiaTheme="minorEastAsia"/>
          <w:b w:val="0"/>
          <w:caps w:val="0"/>
          <w:sz w:val="24"/>
          <w:szCs w:val="24"/>
        </w:rPr>
        <w:fldChar w:fldCharType="end"/>
      </w:r>
    </w:p>
    <w:p>
      <w:pPr>
        <w:pStyle w:val="17"/>
        <w:tabs>
          <w:tab w:val="right" w:leader="dot" w:pos="8303"/>
        </w:tabs>
        <w:spacing w:before="0" w:after="0" w:line="300" w:lineRule="auto"/>
        <w:rPr>
          <w:rFonts w:ascii="Times New Roman" w:hAnsi="Times New Roman" w:cs="Times New Roman" w:eastAsiaTheme="minorEastAsia"/>
          <w:b w:val="0"/>
          <w:bCs w:val="0"/>
          <w:caps w:val="0"/>
          <w:sz w:val="24"/>
          <w:szCs w:val="24"/>
        </w:rPr>
      </w:pPr>
      <w:r>
        <w:fldChar w:fldCharType="begin"/>
      </w:r>
      <w:r>
        <w:instrText xml:space="preserve"> HYPERLINK \l "_Toc120020306" </w:instrText>
      </w:r>
      <w:r>
        <w:fldChar w:fldCharType="separate"/>
      </w:r>
      <w:r>
        <w:rPr>
          <w:rStyle w:val="29"/>
          <w:rFonts w:ascii="Times New Roman" w:hAnsi="Times New Roman" w:cs="Times New Roman" w:eastAsiaTheme="minorEastAsia"/>
          <w:b w:val="0"/>
          <w:caps w:val="0"/>
          <w:sz w:val="24"/>
          <w:szCs w:val="24"/>
        </w:rPr>
        <w:t>本标准用词说明</w:t>
      </w:r>
      <w:r>
        <w:rPr>
          <w:rFonts w:ascii="Times New Roman" w:hAnsi="Times New Roman" w:cs="Times New Roman" w:eastAsiaTheme="minorEastAsia"/>
          <w:b w:val="0"/>
          <w:caps w:val="0"/>
          <w:sz w:val="24"/>
          <w:szCs w:val="24"/>
        </w:rPr>
        <w:tab/>
      </w:r>
      <w:r>
        <w:rPr>
          <w:rFonts w:ascii="Times New Roman" w:hAnsi="Times New Roman" w:cs="Times New Roman" w:eastAsiaTheme="minorEastAsia"/>
          <w:b w:val="0"/>
          <w:caps w:val="0"/>
          <w:sz w:val="24"/>
          <w:szCs w:val="24"/>
        </w:rPr>
        <w:fldChar w:fldCharType="begin"/>
      </w:r>
      <w:r>
        <w:rPr>
          <w:rFonts w:ascii="Times New Roman" w:hAnsi="Times New Roman" w:cs="Times New Roman" w:eastAsiaTheme="minorEastAsia"/>
          <w:b w:val="0"/>
          <w:caps w:val="0"/>
          <w:sz w:val="24"/>
          <w:szCs w:val="24"/>
        </w:rPr>
        <w:instrText xml:space="preserve"> PAGEREF _Toc120020306 \h </w:instrText>
      </w:r>
      <w:r>
        <w:rPr>
          <w:rFonts w:ascii="Times New Roman" w:hAnsi="Times New Roman" w:cs="Times New Roman" w:eastAsiaTheme="minorEastAsia"/>
          <w:b w:val="0"/>
          <w:caps w:val="0"/>
          <w:sz w:val="24"/>
          <w:szCs w:val="24"/>
        </w:rPr>
        <w:fldChar w:fldCharType="separate"/>
      </w:r>
      <w:r>
        <w:rPr>
          <w:rFonts w:ascii="Times New Roman" w:hAnsi="Times New Roman" w:cs="Times New Roman" w:eastAsiaTheme="minorEastAsia"/>
          <w:b w:val="0"/>
          <w:caps w:val="0"/>
          <w:sz w:val="24"/>
          <w:szCs w:val="24"/>
        </w:rPr>
        <w:t>55</w:t>
      </w:r>
      <w:r>
        <w:rPr>
          <w:rFonts w:ascii="Times New Roman" w:hAnsi="Times New Roman" w:cs="Times New Roman" w:eastAsiaTheme="minorEastAsia"/>
          <w:b w:val="0"/>
          <w:caps w:val="0"/>
          <w:sz w:val="24"/>
          <w:szCs w:val="24"/>
        </w:rPr>
        <w:fldChar w:fldCharType="end"/>
      </w:r>
      <w:r>
        <w:rPr>
          <w:rFonts w:ascii="Times New Roman" w:hAnsi="Times New Roman" w:cs="Times New Roman" w:eastAsiaTheme="minorEastAsia"/>
          <w:b w:val="0"/>
          <w:caps w:val="0"/>
          <w:sz w:val="24"/>
          <w:szCs w:val="24"/>
        </w:rPr>
        <w:fldChar w:fldCharType="end"/>
      </w:r>
    </w:p>
    <w:p>
      <w:pPr>
        <w:pStyle w:val="17"/>
        <w:tabs>
          <w:tab w:val="right" w:leader="dot" w:pos="8303"/>
        </w:tabs>
        <w:spacing w:before="0" w:after="0" w:line="300" w:lineRule="auto"/>
        <w:rPr>
          <w:rFonts w:ascii="Times New Roman" w:hAnsi="Times New Roman" w:cs="Times New Roman" w:eastAsiaTheme="minorEastAsia"/>
          <w:b w:val="0"/>
          <w:bCs w:val="0"/>
          <w:caps w:val="0"/>
          <w:sz w:val="24"/>
          <w:szCs w:val="24"/>
        </w:rPr>
      </w:pPr>
      <w:r>
        <w:fldChar w:fldCharType="begin"/>
      </w:r>
      <w:r>
        <w:instrText xml:space="preserve"> HYPERLINK \l "_Toc120020307" </w:instrText>
      </w:r>
      <w:r>
        <w:fldChar w:fldCharType="separate"/>
      </w:r>
      <w:r>
        <w:rPr>
          <w:rStyle w:val="29"/>
          <w:rFonts w:ascii="Times New Roman" w:hAnsi="Times New Roman" w:cs="Times New Roman" w:eastAsiaTheme="minorEastAsia"/>
          <w:b w:val="0"/>
          <w:caps w:val="0"/>
          <w:sz w:val="24"/>
          <w:szCs w:val="24"/>
        </w:rPr>
        <w:t>引用标准名录</w:t>
      </w:r>
      <w:r>
        <w:rPr>
          <w:rFonts w:ascii="Times New Roman" w:hAnsi="Times New Roman" w:cs="Times New Roman" w:eastAsiaTheme="minorEastAsia"/>
          <w:b w:val="0"/>
          <w:caps w:val="0"/>
          <w:sz w:val="24"/>
          <w:szCs w:val="24"/>
        </w:rPr>
        <w:tab/>
      </w:r>
      <w:r>
        <w:rPr>
          <w:rFonts w:ascii="Times New Roman" w:hAnsi="Times New Roman" w:cs="Times New Roman" w:eastAsiaTheme="minorEastAsia"/>
          <w:b w:val="0"/>
          <w:caps w:val="0"/>
          <w:sz w:val="24"/>
          <w:szCs w:val="24"/>
        </w:rPr>
        <w:fldChar w:fldCharType="begin"/>
      </w:r>
      <w:r>
        <w:rPr>
          <w:rFonts w:ascii="Times New Roman" w:hAnsi="Times New Roman" w:cs="Times New Roman" w:eastAsiaTheme="minorEastAsia"/>
          <w:b w:val="0"/>
          <w:caps w:val="0"/>
          <w:sz w:val="24"/>
          <w:szCs w:val="24"/>
        </w:rPr>
        <w:instrText xml:space="preserve"> PAGEREF _Toc120020307 \h </w:instrText>
      </w:r>
      <w:r>
        <w:rPr>
          <w:rFonts w:ascii="Times New Roman" w:hAnsi="Times New Roman" w:cs="Times New Roman" w:eastAsiaTheme="minorEastAsia"/>
          <w:b w:val="0"/>
          <w:caps w:val="0"/>
          <w:sz w:val="24"/>
          <w:szCs w:val="24"/>
        </w:rPr>
        <w:fldChar w:fldCharType="separate"/>
      </w:r>
      <w:r>
        <w:rPr>
          <w:rFonts w:ascii="Times New Roman" w:hAnsi="Times New Roman" w:cs="Times New Roman" w:eastAsiaTheme="minorEastAsia"/>
          <w:b w:val="0"/>
          <w:caps w:val="0"/>
          <w:sz w:val="24"/>
          <w:szCs w:val="24"/>
        </w:rPr>
        <w:t>56</w:t>
      </w:r>
      <w:r>
        <w:rPr>
          <w:rFonts w:ascii="Times New Roman" w:hAnsi="Times New Roman" w:cs="Times New Roman" w:eastAsiaTheme="minorEastAsia"/>
          <w:b w:val="0"/>
          <w:caps w:val="0"/>
          <w:sz w:val="24"/>
          <w:szCs w:val="24"/>
        </w:rPr>
        <w:fldChar w:fldCharType="end"/>
      </w:r>
      <w:r>
        <w:rPr>
          <w:rFonts w:ascii="Times New Roman" w:hAnsi="Times New Roman" w:cs="Times New Roman" w:eastAsiaTheme="minorEastAsia"/>
          <w:b w:val="0"/>
          <w:caps w:val="0"/>
          <w:sz w:val="24"/>
          <w:szCs w:val="24"/>
        </w:rPr>
        <w:fldChar w:fldCharType="end"/>
      </w:r>
    </w:p>
    <w:p>
      <w:pPr>
        <w:pStyle w:val="17"/>
        <w:tabs>
          <w:tab w:val="right" w:leader="dot" w:pos="8303"/>
        </w:tabs>
        <w:spacing w:before="0" w:after="0" w:line="300" w:lineRule="auto"/>
        <w:rPr>
          <w:rFonts w:ascii="Times New Roman" w:hAnsi="Times New Roman" w:cs="Times New Roman" w:eastAsiaTheme="minorEastAsia"/>
          <w:b w:val="0"/>
          <w:bCs w:val="0"/>
          <w:caps w:val="0"/>
          <w:sz w:val="24"/>
          <w:szCs w:val="24"/>
        </w:rPr>
      </w:pPr>
      <w:r>
        <w:fldChar w:fldCharType="begin"/>
      </w:r>
      <w:r>
        <w:instrText xml:space="preserve"> HYPERLINK \l "_Toc120020308" </w:instrText>
      </w:r>
      <w:r>
        <w:fldChar w:fldCharType="separate"/>
      </w:r>
      <w:r>
        <w:rPr>
          <w:rStyle w:val="29"/>
          <w:rFonts w:ascii="Times New Roman" w:hAnsi="Times New Roman" w:cs="Times New Roman" w:eastAsiaTheme="minorEastAsia"/>
          <w:b w:val="0"/>
          <w:caps w:val="0"/>
          <w:sz w:val="24"/>
          <w:szCs w:val="24"/>
        </w:rPr>
        <w:t>条文说明</w:t>
      </w:r>
      <w:r>
        <w:rPr>
          <w:rFonts w:ascii="Times New Roman" w:hAnsi="Times New Roman" w:cs="Times New Roman" w:eastAsiaTheme="minorEastAsia"/>
          <w:b w:val="0"/>
          <w:caps w:val="0"/>
          <w:sz w:val="24"/>
          <w:szCs w:val="24"/>
        </w:rPr>
        <w:tab/>
      </w:r>
      <w:r>
        <w:rPr>
          <w:rFonts w:ascii="Times New Roman" w:hAnsi="Times New Roman" w:cs="Times New Roman" w:eastAsiaTheme="minorEastAsia"/>
          <w:b w:val="0"/>
          <w:caps w:val="0"/>
          <w:sz w:val="24"/>
          <w:szCs w:val="24"/>
        </w:rPr>
        <w:fldChar w:fldCharType="begin"/>
      </w:r>
      <w:r>
        <w:rPr>
          <w:rFonts w:ascii="Times New Roman" w:hAnsi="Times New Roman" w:cs="Times New Roman" w:eastAsiaTheme="minorEastAsia"/>
          <w:b w:val="0"/>
          <w:caps w:val="0"/>
          <w:sz w:val="24"/>
          <w:szCs w:val="24"/>
        </w:rPr>
        <w:instrText xml:space="preserve"> PAGEREF _Toc120020308 \h </w:instrText>
      </w:r>
      <w:r>
        <w:rPr>
          <w:rFonts w:ascii="Times New Roman" w:hAnsi="Times New Roman" w:cs="Times New Roman" w:eastAsiaTheme="minorEastAsia"/>
          <w:b w:val="0"/>
          <w:caps w:val="0"/>
          <w:sz w:val="24"/>
          <w:szCs w:val="24"/>
        </w:rPr>
        <w:fldChar w:fldCharType="separate"/>
      </w:r>
      <w:r>
        <w:rPr>
          <w:rFonts w:ascii="Times New Roman" w:hAnsi="Times New Roman" w:cs="Times New Roman" w:eastAsiaTheme="minorEastAsia"/>
          <w:b w:val="0"/>
          <w:caps w:val="0"/>
          <w:sz w:val="24"/>
          <w:szCs w:val="24"/>
        </w:rPr>
        <w:t>57</w:t>
      </w:r>
      <w:r>
        <w:rPr>
          <w:rFonts w:ascii="Times New Roman" w:hAnsi="Times New Roman" w:cs="Times New Roman" w:eastAsiaTheme="minorEastAsia"/>
          <w:b w:val="0"/>
          <w:caps w:val="0"/>
          <w:sz w:val="24"/>
          <w:szCs w:val="24"/>
        </w:rPr>
        <w:fldChar w:fldCharType="end"/>
      </w:r>
      <w:r>
        <w:rPr>
          <w:rFonts w:ascii="Times New Roman" w:hAnsi="Times New Roman" w:cs="Times New Roman" w:eastAsiaTheme="minorEastAsia"/>
          <w:b w:val="0"/>
          <w:caps w:val="0"/>
          <w:sz w:val="24"/>
          <w:szCs w:val="24"/>
        </w:rPr>
        <w:fldChar w:fldCharType="end"/>
      </w:r>
    </w:p>
    <w:p>
      <w:pPr>
        <w:tabs>
          <w:tab w:val="right" w:leader="dot" w:pos="8306"/>
        </w:tabs>
        <w:adjustRightInd w:val="0"/>
        <w:snapToGrid w:val="0"/>
        <w:spacing w:line="300" w:lineRule="auto"/>
        <w:jc w:val="left"/>
        <w:rPr>
          <w:rFonts w:eastAsiaTheme="minorEastAsia"/>
          <w:sz w:val="24"/>
          <w:szCs w:val="24"/>
        </w:rPr>
      </w:pPr>
      <w:r>
        <w:rPr>
          <w:rFonts w:eastAsiaTheme="minorEastAsia"/>
          <w:sz w:val="24"/>
          <w:szCs w:val="24"/>
        </w:rPr>
        <w:fldChar w:fldCharType="end"/>
      </w:r>
      <w:r>
        <w:rPr>
          <w:rFonts w:eastAsiaTheme="minorEastAsia"/>
          <w:sz w:val="24"/>
          <w:szCs w:val="24"/>
        </w:rPr>
        <w:br w:type="page"/>
      </w:r>
    </w:p>
    <w:p>
      <w:pPr>
        <w:pStyle w:val="17"/>
        <w:jc w:val="center"/>
        <w:rPr>
          <w:rFonts w:ascii="Times New Roman" w:hAnsi="Times New Roman" w:cs="Times New Roman"/>
          <w:sz w:val="32"/>
          <w:szCs w:val="32"/>
        </w:rPr>
      </w:pPr>
      <w:r>
        <w:rPr>
          <w:rFonts w:ascii="Times New Roman" w:hAnsi="Times New Roman" w:cs="Times New Roman"/>
          <w:sz w:val="32"/>
          <w:szCs w:val="32"/>
        </w:rPr>
        <w:t>C</w:t>
      </w:r>
      <w:r>
        <w:rPr>
          <w:rFonts w:ascii="Times New Roman" w:hAnsi="Times New Roman" w:cs="Times New Roman"/>
          <w:caps w:val="0"/>
          <w:sz w:val="32"/>
          <w:szCs w:val="32"/>
        </w:rPr>
        <w:t>ontents</w:t>
      </w:r>
    </w:p>
    <w:p>
      <w:pPr>
        <w:pStyle w:val="17"/>
        <w:tabs>
          <w:tab w:val="right" w:leader="dot" w:pos="8303"/>
        </w:tabs>
        <w:spacing w:before="0" w:after="0" w:line="300" w:lineRule="auto"/>
        <w:rPr>
          <w:rFonts w:ascii="Times New Roman" w:hAnsi="Times New Roman" w:cs="Times New Roman" w:eastAsiaTheme="minorEastAsia"/>
          <w:b w:val="0"/>
          <w:bCs w:val="0"/>
          <w:caps w:val="0"/>
          <w:sz w:val="28"/>
          <w:szCs w:val="22"/>
        </w:rPr>
      </w:pPr>
      <w:r>
        <w:rPr>
          <w:rFonts w:ascii="Times New Roman" w:hAnsi="Times New Roman" w:cs="Times New Roman" w:eastAsiaTheme="minorEastAsia"/>
          <w:b w:val="0"/>
          <w:caps w:val="0"/>
          <w:color w:val="FF0000"/>
          <w:sz w:val="24"/>
          <w:szCs w:val="24"/>
        </w:rPr>
        <w:fldChar w:fldCharType="begin"/>
      </w:r>
      <w:r>
        <w:rPr>
          <w:rFonts w:ascii="Times New Roman" w:hAnsi="Times New Roman" w:cs="Times New Roman" w:eastAsiaTheme="minorEastAsia"/>
          <w:b w:val="0"/>
          <w:caps w:val="0"/>
          <w:color w:val="FF0000"/>
          <w:sz w:val="24"/>
          <w:szCs w:val="24"/>
        </w:rPr>
        <w:instrText xml:space="preserve"> TOC \f \h \z </w:instrText>
      </w:r>
      <w:r>
        <w:rPr>
          <w:rFonts w:ascii="Times New Roman" w:hAnsi="Times New Roman" w:cs="Times New Roman" w:eastAsiaTheme="minorEastAsia"/>
          <w:b w:val="0"/>
          <w:caps w:val="0"/>
          <w:color w:val="FF0000"/>
          <w:sz w:val="24"/>
          <w:szCs w:val="24"/>
        </w:rPr>
        <w:fldChar w:fldCharType="separate"/>
      </w:r>
      <w:r>
        <w:fldChar w:fldCharType="begin"/>
      </w:r>
      <w:r>
        <w:instrText xml:space="preserve"> HYPERLINK \l "_Toc135038255" </w:instrText>
      </w:r>
      <w:r>
        <w:fldChar w:fldCharType="separate"/>
      </w:r>
      <w:r>
        <w:rPr>
          <w:rStyle w:val="29"/>
          <w:rFonts w:ascii="Times New Roman" w:hAnsi="Times New Roman" w:cs="Times New Roman"/>
          <w:b w:val="0"/>
          <w:caps w:val="0"/>
          <w:kern w:val="44"/>
          <w:sz w:val="24"/>
        </w:rPr>
        <w:t>1  General provisions</w:t>
      </w:r>
      <w:r>
        <w:rPr>
          <w:rFonts w:ascii="Times New Roman" w:hAnsi="Times New Roman" w:cs="Times New Roman"/>
          <w:b w:val="0"/>
          <w:caps w:val="0"/>
          <w:sz w:val="24"/>
        </w:rPr>
        <w:tab/>
      </w:r>
      <w:r>
        <w:rPr>
          <w:rFonts w:ascii="Times New Roman" w:hAnsi="Times New Roman" w:cs="Times New Roman"/>
          <w:b w:val="0"/>
          <w:caps w:val="0"/>
          <w:sz w:val="24"/>
        </w:rPr>
        <w:fldChar w:fldCharType="begin"/>
      </w:r>
      <w:r>
        <w:rPr>
          <w:rFonts w:ascii="Times New Roman" w:hAnsi="Times New Roman" w:cs="Times New Roman"/>
          <w:b w:val="0"/>
          <w:caps w:val="0"/>
          <w:sz w:val="24"/>
        </w:rPr>
        <w:instrText xml:space="preserve"> PAGEREF _Toc135038255 \h </w:instrText>
      </w:r>
      <w:r>
        <w:rPr>
          <w:rFonts w:ascii="Times New Roman" w:hAnsi="Times New Roman" w:cs="Times New Roman"/>
          <w:b w:val="0"/>
          <w:caps w:val="0"/>
          <w:sz w:val="24"/>
        </w:rPr>
        <w:fldChar w:fldCharType="separate"/>
      </w:r>
      <w:r>
        <w:rPr>
          <w:rFonts w:ascii="Times New Roman" w:hAnsi="Times New Roman" w:cs="Times New Roman"/>
          <w:b w:val="0"/>
          <w:caps w:val="0"/>
          <w:sz w:val="24"/>
        </w:rPr>
        <w:t>1</w:t>
      </w:r>
      <w:r>
        <w:rPr>
          <w:rFonts w:ascii="Times New Roman" w:hAnsi="Times New Roman" w:cs="Times New Roman"/>
          <w:b w:val="0"/>
          <w:caps w:val="0"/>
          <w:sz w:val="24"/>
        </w:rPr>
        <w:fldChar w:fldCharType="end"/>
      </w:r>
      <w:r>
        <w:rPr>
          <w:rFonts w:ascii="Times New Roman" w:hAnsi="Times New Roman" w:cs="Times New Roman"/>
          <w:b w:val="0"/>
          <w:caps w:val="0"/>
          <w:sz w:val="24"/>
        </w:rPr>
        <w:fldChar w:fldCharType="end"/>
      </w:r>
    </w:p>
    <w:p>
      <w:pPr>
        <w:pStyle w:val="17"/>
        <w:tabs>
          <w:tab w:val="right" w:leader="dot" w:pos="8303"/>
        </w:tabs>
        <w:spacing w:before="0" w:after="0" w:line="300" w:lineRule="auto"/>
        <w:rPr>
          <w:rFonts w:ascii="Times New Roman" w:hAnsi="Times New Roman" w:cs="Times New Roman" w:eastAsiaTheme="minorEastAsia"/>
          <w:b w:val="0"/>
          <w:bCs w:val="0"/>
          <w:caps w:val="0"/>
          <w:sz w:val="28"/>
          <w:szCs w:val="22"/>
        </w:rPr>
      </w:pPr>
      <w:r>
        <w:fldChar w:fldCharType="begin"/>
      </w:r>
      <w:r>
        <w:instrText xml:space="preserve"> HYPERLINK \l "_Toc135038256" </w:instrText>
      </w:r>
      <w:r>
        <w:fldChar w:fldCharType="separate"/>
      </w:r>
      <w:r>
        <w:rPr>
          <w:rStyle w:val="29"/>
          <w:rFonts w:ascii="Times New Roman" w:hAnsi="Times New Roman" w:cs="Times New Roman"/>
          <w:b w:val="0"/>
          <w:caps w:val="0"/>
          <w:kern w:val="44"/>
          <w:sz w:val="24"/>
        </w:rPr>
        <w:t>2  Terms and symbols</w:t>
      </w:r>
      <w:r>
        <w:rPr>
          <w:rFonts w:ascii="Times New Roman" w:hAnsi="Times New Roman" w:cs="Times New Roman"/>
          <w:b w:val="0"/>
          <w:caps w:val="0"/>
          <w:sz w:val="24"/>
        </w:rPr>
        <w:tab/>
      </w:r>
      <w:r>
        <w:rPr>
          <w:rFonts w:ascii="Times New Roman" w:hAnsi="Times New Roman" w:cs="Times New Roman"/>
          <w:b w:val="0"/>
          <w:caps w:val="0"/>
          <w:sz w:val="24"/>
        </w:rPr>
        <w:fldChar w:fldCharType="begin"/>
      </w:r>
      <w:r>
        <w:rPr>
          <w:rFonts w:ascii="Times New Roman" w:hAnsi="Times New Roman" w:cs="Times New Roman"/>
          <w:b w:val="0"/>
          <w:caps w:val="0"/>
          <w:sz w:val="24"/>
        </w:rPr>
        <w:instrText xml:space="preserve"> PAGEREF _Toc135038256 \h </w:instrText>
      </w:r>
      <w:r>
        <w:rPr>
          <w:rFonts w:ascii="Times New Roman" w:hAnsi="Times New Roman" w:cs="Times New Roman"/>
          <w:b w:val="0"/>
          <w:caps w:val="0"/>
          <w:sz w:val="24"/>
        </w:rPr>
        <w:fldChar w:fldCharType="separate"/>
      </w:r>
      <w:r>
        <w:rPr>
          <w:rFonts w:ascii="Times New Roman" w:hAnsi="Times New Roman" w:cs="Times New Roman"/>
          <w:b w:val="0"/>
          <w:caps w:val="0"/>
          <w:sz w:val="24"/>
        </w:rPr>
        <w:t>2</w:t>
      </w:r>
      <w:r>
        <w:rPr>
          <w:rFonts w:ascii="Times New Roman" w:hAnsi="Times New Roman" w:cs="Times New Roman"/>
          <w:b w:val="0"/>
          <w:caps w:val="0"/>
          <w:sz w:val="24"/>
        </w:rPr>
        <w:fldChar w:fldCharType="end"/>
      </w:r>
      <w:r>
        <w:rPr>
          <w:rFonts w:ascii="Times New Roman" w:hAnsi="Times New Roman" w:cs="Times New Roman"/>
          <w:b w:val="0"/>
          <w:caps w:val="0"/>
          <w:sz w:val="24"/>
        </w:rPr>
        <w:fldChar w:fldCharType="end"/>
      </w:r>
    </w:p>
    <w:p>
      <w:pPr>
        <w:pStyle w:val="20"/>
        <w:tabs>
          <w:tab w:val="right" w:leader="dot" w:pos="8303"/>
        </w:tabs>
        <w:spacing w:line="300" w:lineRule="auto"/>
        <w:rPr>
          <w:rFonts w:ascii="Times New Roman" w:hAnsi="Times New Roman" w:cs="Times New Roman" w:eastAsiaTheme="minorEastAsia"/>
          <w:smallCaps w:val="0"/>
          <w:sz w:val="28"/>
          <w:szCs w:val="22"/>
        </w:rPr>
      </w:pPr>
      <w:r>
        <w:fldChar w:fldCharType="begin"/>
      </w:r>
      <w:r>
        <w:instrText xml:space="preserve"> HYPERLINK \l "_Toc135038257" </w:instrText>
      </w:r>
      <w:r>
        <w:fldChar w:fldCharType="separate"/>
      </w:r>
      <w:r>
        <w:rPr>
          <w:rStyle w:val="29"/>
          <w:rFonts w:ascii="Times New Roman" w:hAnsi="Times New Roman" w:cs="Times New Roman"/>
          <w:smallCaps w:val="0"/>
          <w:sz w:val="24"/>
        </w:rPr>
        <w:t>2.1  Terms</w:t>
      </w:r>
      <w:r>
        <w:rPr>
          <w:rFonts w:ascii="Times New Roman" w:hAnsi="Times New Roman" w:cs="Times New Roman"/>
          <w:smallCaps w:val="0"/>
          <w:sz w:val="24"/>
        </w:rPr>
        <w:tab/>
      </w:r>
      <w:r>
        <w:rPr>
          <w:rFonts w:ascii="Times New Roman" w:hAnsi="Times New Roman" w:cs="Times New Roman"/>
          <w:smallCaps w:val="0"/>
          <w:sz w:val="24"/>
        </w:rPr>
        <w:fldChar w:fldCharType="begin"/>
      </w:r>
      <w:r>
        <w:rPr>
          <w:rFonts w:ascii="Times New Roman" w:hAnsi="Times New Roman" w:cs="Times New Roman"/>
          <w:smallCaps w:val="0"/>
          <w:sz w:val="24"/>
        </w:rPr>
        <w:instrText xml:space="preserve"> PAGEREF _Toc135038257 \h </w:instrText>
      </w:r>
      <w:r>
        <w:rPr>
          <w:rFonts w:ascii="Times New Roman" w:hAnsi="Times New Roman" w:cs="Times New Roman"/>
          <w:smallCaps w:val="0"/>
          <w:sz w:val="24"/>
        </w:rPr>
        <w:fldChar w:fldCharType="separate"/>
      </w:r>
      <w:r>
        <w:rPr>
          <w:rFonts w:ascii="Times New Roman" w:hAnsi="Times New Roman" w:cs="Times New Roman"/>
          <w:smallCaps w:val="0"/>
          <w:sz w:val="24"/>
        </w:rPr>
        <w:t>2</w:t>
      </w:r>
      <w:r>
        <w:rPr>
          <w:rFonts w:ascii="Times New Roman" w:hAnsi="Times New Roman" w:cs="Times New Roman"/>
          <w:smallCaps w:val="0"/>
          <w:sz w:val="24"/>
        </w:rPr>
        <w:fldChar w:fldCharType="end"/>
      </w:r>
      <w:r>
        <w:rPr>
          <w:rFonts w:ascii="Times New Roman" w:hAnsi="Times New Roman" w:cs="Times New Roman"/>
          <w:smallCaps w:val="0"/>
          <w:sz w:val="24"/>
        </w:rPr>
        <w:fldChar w:fldCharType="end"/>
      </w:r>
    </w:p>
    <w:p>
      <w:pPr>
        <w:pStyle w:val="20"/>
        <w:tabs>
          <w:tab w:val="right" w:leader="dot" w:pos="8303"/>
        </w:tabs>
        <w:spacing w:line="300" w:lineRule="auto"/>
        <w:rPr>
          <w:rFonts w:ascii="Times New Roman" w:hAnsi="Times New Roman" w:cs="Times New Roman" w:eastAsiaTheme="minorEastAsia"/>
          <w:smallCaps w:val="0"/>
          <w:sz w:val="28"/>
          <w:szCs w:val="22"/>
        </w:rPr>
      </w:pPr>
      <w:r>
        <w:fldChar w:fldCharType="begin"/>
      </w:r>
      <w:r>
        <w:instrText xml:space="preserve"> HYPERLINK \l "_Toc135038258" </w:instrText>
      </w:r>
      <w:r>
        <w:fldChar w:fldCharType="separate"/>
      </w:r>
      <w:r>
        <w:rPr>
          <w:rStyle w:val="29"/>
          <w:rFonts w:ascii="Times New Roman" w:hAnsi="Times New Roman" w:eastAsia="黑体" w:cs="Times New Roman"/>
          <w:smallCaps w:val="0"/>
          <w:kern w:val="0"/>
          <w:sz w:val="24"/>
        </w:rPr>
        <w:t>2.2  Symbols</w:t>
      </w:r>
      <w:r>
        <w:rPr>
          <w:rFonts w:ascii="Times New Roman" w:hAnsi="Times New Roman" w:cs="Times New Roman"/>
          <w:smallCaps w:val="0"/>
          <w:sz w:val="24"/>
        </w:rPr>
        <w:tab/>
      </w:r>
      <w:r>
        <w:rPr>
          <w:rFonts w:ascii="Times New Roman" w:hAnsi="Times New Roman" w:cs="Times New Roman"/>
          <w:smallCaps w:val="0"/>
          <w:sz w:val="24"/>
        </w:rPr>
        <w:fldChar w:fldCharType="begin"/>
      </w:r>
      <w:r>
        <w:rPr>
          <w:rFonts w:ascii="Times New Roman" w:hAnsi="Times New Roman" w:cs="Times New Roman"/>
          <w:smallCaps w:val="0"/>
          <w:sz w:val="24"/>
        </w:rPr>
        <w:instrText xml:space="preserve"> PAGEREF _Toc135038258 \h </w:instrText>
      </w:r>
      <w:r>
        <w:rPr>
          <w:rFonts w:ascii="Times New Roman" w:hAnsi="Times New Roman" w:cs="Times New Roman"/>
          <w:smallCaps w:val="0"/>
          <w:sz w:val="24"/>
        </w:rPr>
        <w:fldChar w:fldCharType="separate"/>
      </w:r>
      <w:r>
        <w:rPr>
          <w:rFonts w:ascii="Times New Roman" w:hAnsi="Times New Roman" w:cs="Times New Roman"/>
          <w:smallCaps w:val="0"/>
          <w:sz w:val="24"/>
        </w:rPr>
        <w:t>3</w:t>
      </w:r>
      <w:r>
        <w:rPr>
          <w:rFonts w:ascii="Times New Roman" w:hAnsi="Times New Roman" w:cs="Times New Roman"/>
          <w:smallCaps w:val="0"/>
          <w:sz w:val="24"/>
        </w:rPr>
        <w:fldChar w:fldCharType="end"/>
      </w:r>
      <w:r>
        <w:rPr>
          <w:rFonts w:ascii="Times New Roman" w:hAnsi="Times New Roman" w:cs="Times New Roman"/>
          <w:smallCaps w:val="0"/>
          <w:sz w:val="24"/>
        </w:rPr>
        <w:fldChar w:fldCharType="end"/>
      </w:r>
    </w:p>
    <w:p>
      <w:pPr>
        <w:pStyle w:val="17"/>
        <w:tabs>
          <w:tab w:val="right" w:leader="dot" w:pos="8303"/>
        </w:tabs>
        <w:spacing w:before="0" w:after="0" w:line="300" w:lineRule="auto"/>
        <w:rPr>
          <w:rFonts w:ascii="Times New Roman" w:hAnsi="Times New Roman" w:cs="Times New Roman" w:eastAsiaTheme="minorEastAsia"/>
          <w:b w:val="0"/>
          <w:bCs w:val="0"/>
          <w:caps w:val="0"/>
          <w:sz w:val="28"/>
          <w:szCs w:val="22"/>
        </w:rPr>
      </w:pPr>
      <w:r>
        <w:fldChar w:fldCharType="begin"/>
      </w:r>
      <w:r>
        <w:instrText xml:space="preserve"> HYPERLINK \l "_Toc135038259" </w:instrText>
      </w:r>
      <w:r>
        <w:fldChar w:fldCharType="separate"/>
      </w:r>
      <w:r>
        <w:rPr>
          <w:rStyle w:val="29"/>
          <w:rFonts w:ascii="Times New Roman" w:hAnsi="Times New Roman" w:cs="Times New Roman"/>
          <w:b w:val="0"/>
          <w:caps w:val="0"/>
          <w:kern w:val="44"/>
          <w:sz w:val="24"/>
        </w:rPr>
        <w:t>3  Basic requirements</w:t>
      </w:r>
      <w:r>
        <w:rPr>
          <w:rFonts w:ascii="Times New Roman" w:hAnsi="Times New Roman" w:cs="Times New Roman"/>
          <w:b w:val="0"/>
          <w:caps w:val="0"/>
          <w:sz w:val="24"/>
        </w:rPr>
        <w:tab/>
      </w:r>
      <w:r>
        <w:rPr>
          <w:rFonts w:ascii="Times New Roman" w:hAnsi="Times New Roman" w:cs="Times New Roman"/>
          <w:b w:val="0"/>
          <w:caps w:val="0"/>
          <w:sz w:val="24"/>
        </w:rPr>
        <w:fldChar w:fldCharType="begin"/>
      </w:r>
      <w:r>
        <w:rPr>
          <w:rFonts w:ascii="Times New Roman" w:hAnsi="Times New Roman" w:cs="Times New Roman"/>
          <w:b w:val="0"/>
          <w:caps w:val="0"/>
          <w:sz w:val="24"/>
        </w:rPr>
        <w:instrText xml:space="preserve"> PAGEREF _Toc135038259 \h </w:instrText>
      </w:r>
      <w:r>
        <w:rPr>
          <w:rFonts w:ascii="Times New Roman" w:hAnsi="Times New Roman" w:cs="Times New Roman"/>
          <w:b w:val="0"/>
          <w:caps w:val="0"/>
          <w:sz w:val="24"/>
        </w:rPr>
        <w:fldChar w:fldCharType="separate"/>
      </w:r>
      <w:r>
        <w:rPr>
          <w:rFonts w:ascii="Times New Roman" w:hAnsi="Times New Roman" w:cs="Times New Roman"/>
          <w:b w:val="0"/>
          <w:caps w:val="0"/>
          <w:sz w:val="24"/>
        </w:rPr>
        <w:t>5</w:t>
      </w:r>
      <w:r>
        <w:rPr>
          <w:rFonts w:ascii="Times New Roman" w:hAnsi="Times New Roman" w:cs="Times New Roman"/>
          <w:b w:val="0"/>
          <w:caps w:val="0"/>
          <w:sz w:val="24"/>
        </w:rPr>
        <w:fldChar w:fldCharType="end"/>
      </w:r>
      <w:r>
        <w:rPr>
          <w:rFonts w:ascii="Times New Roman" w:hAnsi="Times New Roman" w:cs="Times New Roman"/>
          <w:b w:val="0"/>
          <w:caps w:val="0"/>
          <w:sz w:val="24"/>
        </w:rPr>
        <w:fldChar w:fldCharType="end"/>
      </w:r>
    </w:p>
    <w:p>
      <w:pPr>
        <w:pStyle w:val="20"/>
        <w:tabs>
          <w:tab w:val="right" w:leader="dot" w:pos="8303"/>
        </w:tabs>
        <w:spacing w:line="300" w:lineRule="auto"/>
        <w:rPr>
          <w:rFonts w:ascii="Times New Roman" w:hAnsi="Times New Roman" w:cs="Times New Roman" w:eastAsiaTheme="minorEastAsia"/>
          <w:smallCaps w:val="0"/>
          <w:sz w:val="28"/>
          <w:szCs w:val="22"/>
        </w:rPr>
      </w:pPr>
      <w:r>
        <w:fldChar w:fldCharType="begin"/>
      </w:r>
      <w:r>
        <w:instrText xml:space="preserve"> HYPERLINK \l "_Toc135038260" </w:instrText>
      </w:r>
      <w:r>
        <w:fldChar w:fldCharType="separate"/>
      </w:r>
      <w:r>
        <w:rPr>
          <w:rStyle w:val="29"/>
          <w:rFonts w:ascii="Times New Roman" w:hAnsi="Times New Roman" w:eastAsia="黑体" w:cs="Times New Roman"/>
          <w:smallCaps w:val="0"/>
          <w:kern w:val="0"/>
          <w:sz w:val="24"/>
        </w:rPr>
        <w:t>3.1  Classification of inspection</w:t>
      </w:r>
      <w:r>
        <w:rPr>
          <w:rFonts w:ascii="Times New Roman" w:hAnsi="Times New Roman" w:cs="Times New Roman"/>
          <w:smallCaps w:val="0"/>
          <w:sz w:val="24"/>
        </w:rPr>
        <w:tab/>
      </w:r>
      <w:r>
        <w:rPr>
          <w:rFonts w:ascii="Times New Roman" w:hAnsi="Times New Roman" w:cs="Times New Roman"/>
          <w:smallCaps w:val="0"/>
          <w:sz w:val="24"/>
        </w:rPr>
        <w:fldChar w:fldCharType="begin"/>
      </w:r>
      <w:r>
        <w:rPr>
          <w:rFonts w:ascii="Times New Roman" w:hAnsi="Times New Roman" w:cs="Times New Roman"/>
          <w:smallCaps w:val="0"/>
          <w:sz w:val="24"/>
        </w:rPr>
        <w:instrText xml:space="preserve"> PAGEREF _Toc135038260 \h </w:instrText>
      </w:r>
      <w:r>
        <w:rPr>
          <w:rFonts w:ascii="Times New Roman" w:hAnsi="Times New Roman" w:cs="Times New Roman"/>
          <w:smallCaps w:val="0"/>
          <w:sz w:val="24"/>
        </w:rPr>
        <w:fldChar w:fldCharType="separate"/>
      </w:r>
      <w:r>
        <w:rPr>
          <w:rFonts w:ascii="Times New Roman" w:hAnsi="Times New Roman" w:cs="Times New Roman"/>
          <w:smallCaps w:val="0"/>
          <w:sz w:val="24"/>
        </w:rPr>
        <w:t>5</w:t>
      </w:r>
      <w:r>
        <w:rPr>
          <w:rFonts w:ascii="Times New Roman" w:hAnsi="Times New Roman" w:cs="Times New Roman"/>
          <w:smallCaps w:val="0"/>
          <w:sz w:val="24"/>
        </w:rPr>
        <w:fldChar w:fldCharType="end"/>
      </w:r>
      <w:r>
        <w:rPr>
          <w:rFonts w:ascii="Times New Roman" w:hAnsi="Times New Roman" w:cs="Times New Roman"/>
          <w:smallCaps w:val="0"/>
          <w:sz w:val="24"/>
        </w:rPr>
        <w:fldChar w:fldCharType="end"/>
      </w:r>
    </w:p>
    <w:p>
      <w:pPr>
        <w:pStyle w:val="20"/>
        <w:tabs>
          <w:tab w:val="right" w:leader="dot" w:pos="8303"/>
        </w:tabs>
        <w:spacing w:line="300" w:lineRule="auto"/>
        <w:rPr>
          <w:rFonts w:ascii="Times New Roman" w:hAnsi="Times New Roman" w:cs="Times New Roman" w:eastAsiaTheme="minorEastAsia"/>
          <w:smallCaps w:val="0"/>
          <w:sz w:val="28"/>
          <w:szCs w:val="22"/>
        </w:rPr>
      </w:pPr>
      <w:r>
        <w:fldChar w:fldCharType="begin"/>
      </w:r>
      <w:r>
        <w:instrText xml:space="preserve"> HYPERLINK \l "_Toc135038261" </w:instrText>
      </w:r>
      <w:r>
        <w:fldChar w:fldCharType="separate"/>
      </w:r>
      <w:r>
        <w:rPr>
          <w:rStyle w:val="29"/>
          <w:rFonts w:ascii="Times New Roman" w:hAnsi="Times New Roman" w:eastAsia="黑体" w:cs="Times New Roman"/>
          <w:smallCaps w:val="0"/>
          <w:kern w:val="0"/>
          <w:sz w:val="24"/>
        </w:rPr>
        <w:t>3.2  Process and requirement for inspection</w:t>
      </w:r>
      <w:r>
        <w:rPr>
          <w:rFonts w:ascii="Times New Roman" w:hAnsi="Times New Roman" w:cs="Times New Roman"/>
          <w:smallCaps w:val="0"/>
          <w:sz w:val="24"/>
        </w:rPr>
        <w:tab/>
      </w:r>
      <w:r>
        <w:rPr>
          <w:rFonts w:ascii="Times New Roman" w:hAnsi="Times New Roman" w:cs="Times New Roman"/>
          <w:smallCaps w:val="0"/>
          <w:sz w:val="24"/>
        </w:rPr>
        <w:fldChar w:fldCharType="begin"/>
      </w:r>
      <w:r>
        <w:rPr>
          <w:rFonts w:ascii="Times New Roman" w:hAnsi="Times New Roman" w:cs="Times New Roman"/>
          <w:smallCaps w:val="0"/>
          <w:sz w:val="24"/>
        </w:rPr>
        <w:instrText xml:space="preserve"> PAGEREF _Toc135038261 \h </w:instrText>
      </w:r>
      <w:r>
        <w:rPr>
          <w:rFonts w:ascii="Times New Roman" w:hAnsi="Times New Roman" w:cs="Times New Roman"/>
          <w:smallCaps w:val="0"/>
          <w:sz w:val="24"/>
        </w:rPr>
        <w:fldChar w:fldCharType="separate"/>
      </w:r>
      <w:r>
        <w:rPr>
          <w:rFonts w:ascii="Times New Roman" w:hAnsi="Times New Roman" w:cs="Times New Roman"/>
          <w:smallCaps w:val="0"/>
          <w:sz w:val="24"/>
        </w:rPr>
        <w:t>5</w:t>
      </w:r>
      <w:r>
        <w:rPr>
          <w:rFonts w:ascii="Times New Roman" w:hAnsi="Times New Roman" w:cs="Times New Roman"/>
          <w:smallCaps w:val="0"/>
          <w:sz w:val="24"/>
        </w:rPr>
        <w:fldChar w:fldCharType="end"/>
      </w:r>
      <w:r>
        <w:rPr>
          <w:rFonts w:ascii="Times New Roman" w:hAnsi="Times New Roman" w:cs="Times New Roman"/>
          <w:smallCaps w:val="0"/>
          <w:sz w:val="24"/>
        </w:rPr>
        <w:fldChar w:fldCharType="end"/>
      </w:r>
    </w:p>
    <w:p>
      <w:pPr>
        <w:pStyle w:val="20"/>
        <w:tabs>
          <w:tab w:val="right" w:leader="dot" w:pos="8303"/>
        </w:tabs>
        <w:spacing w:line="300" w:lineRule="auto"/>
        <w:rPr>
          <w:rFonts w:ascii="Times New Roman" w:hAnsi="Times New Roman" w:cs="Times New Roman" w:eastAsiaTheme="minorEastAsia"/>
          <w:smallCaps w:val="0"/>
          <w:sz w:val="28"/>
          <w:szCs w:val="22"/>
        </w:rPr>
      </w:pPr>
      <w:r>
        <w:fldChar w:fldCharType="begin"/>
      </w:r>
      <w:r>
        <w:instrText xml:space="preserve"> HYPERLINK \l "_Toc135038262" </w:instrText>
      </w:r>
      <w:r>
        <w:fldChar w:fldCharType="separate"/>
      </w:r>
      <w:r>
        <w:rPr>
          <w:rStyle w:val="29"/>
          <w:rFonts w:ascii="Times New Roman" w:hAnsi="Times New Roman" w:eastAsia="黑体" w:cs="Times New Roman"/>
          <w:smallCaps w:val="0"/>
          <w:kern w:val="0"/>
          <w:sz w:val="24"/>
        </w:rPr>
        <w:t>3.3  Sampling methods and evaluation rules</w:t>
      </w:r>
      <w:r>
        <w:rPr>
          <w:rFonts w:ascii="Times New Roman" w:hAnsi="Times New Roman" w:cs="Times New Roman"/>
          <w:smallCaps w:val="0"/>
          <w:sz w:val="24"/>
        </w:rPr>
        <w:tab/>
      </w:r>
      <w:r>
        <w:rPr>
          <w:rFonts w:ascii="Times New Roman" w:hAnsi="Times New Roman" w:cs="Times New Roman"/>
          <w:smallCaps w:val="0"/>
          <w:sz w:val="24"/>
        </w:rPr>
        <w:fldChar w:fldCharType="begin"/>
      </w:r>
      <w:r>
        <w:rPr>
          <w:rFonts w:ascii="Times New Roman" w:hAnsi="Times New Roman" w:cs="Times New Roman"/>
          <w:smallCaps w:val="0"/>
          <w:sz w:val="24"/>
        </w:rPr>
        <w:instrText xml:space="preserve"> PAGEREF _Toc135038262 \h </w:instrText>
      </w:r>
      <w:r>
        <w:rPr>
          <w:rFonts w:ascii="Times New Roman" w:hAnsi="Times New Roman" w:cs="Times New Roman"/>
          <w:smallCaps w:val="0"/>
          <w:sz w:val="24"/>
        </w:rPr>
        <w:fldChar w:fldCharType="separate"/>
      </w:r>
      <w:r>
        <w:rPr>
          <w:rFonts w:ascii="Times New Roman" w:hAnsi="Times New Roman" w:cs="Times New Roman"/>
          <w:smallCaps w:val="0"/>
          <w:sz w:val="24"/>
        </w:rPr>
        <w:t>7</w:t>
      </w:r>
      <w:r>
        <w:rPr>
          <w:rFonts w:ascii="Times New Roman" w:hAnsi="Times New Roman" w:cs="Times New Roman"/>
          <w:smallCaps w:val="0"/>
          <w:sz w:val="24"/>
        </w:rPr>
        <w:fldChar w:fldCharType="end"/>
      </w:r>
      <w:r>
        <w:rPr>
          <w:rFonts w:ascii="Times New Roman" w:hAnsi="Times New Roman" w:cs="Times New Roman"/>
          <w:smallCaps w:val="0"/>
          <w:sz w:val="24"/>
        </w:rPr>
        <w:fldChar w:fldCharType="end"/>
      </w:r>
    </w:p>
    <w:p>
      <w:pPr>
        <w:pStyle w:val="17"/>
        <w:tabs>
          <w:tab w:val="right" w:leader="dot" w:pos="8303"/>
        </w:tabs>
        <w:spacing w:before="0" w:after="0" w:line="300" w:lineRule="auto"/>
        <w:rPr>
          <w:rFonts w:ascii="Times New Roman" w:hAnsi="Times New Roman" w:cs="Times New Roman" w:eastAsiaTheme="minorEastAsia"/>
          <w:b w:val="0"/>
          <w:bCs w:val="0"/>
          <w:caps w:val="0"/>
          <w:sz w:val="28"/>
          <w:szCs w:val="22"/>
        </w:rPr>
      </w:pPr>
      <w:r>
        <w:fldChar w:fldCharType="begin"/>
      </w:r>
      <w:r>
        <w:instrText xml:space="preserve"> HYPERLINK \l "_Toc135038263" </w:instrText>
      </w:r>
      <w:r>
        <w:fldChar w:fldCharType="separate"/>
      </w:r>
      <w:r>
        <w:rPr>
          <w:rStyle w:val="29"/>
          <w:rFonts w:ascii="Times New Roman" w:hAnsi="Times New Roman" w:cs="Times New Roman"/>
          <w:b w:val="0"/>
          <w:caps w:val="0"/>
          <w:kern w:val="44"/>
          <w:sz w:val="24"/>
        </w:rPr>
        <w:t>4  Precast concrete components</w:t>
      </w:r>
      <w:r>
        <w:rPr>
          <w:rFonts w:ascii="Times New Roman" w:hAnsi="Times New Roman" w:cs="Times New Roman"/>
          <w:b w:val="0"/>
          <w:caps w:val="0"/>
          <w:sz w:val="24"/>
        </w:rPr>
        <w:tab/>
      </w:r>
      <w:r>
        <w:rPr>
          <w:rFonts w:ascii="Times New Roman" w:hAnsi="Times New Roman" w:cs="Times New Roman"/>
          <w:b w:val="0"/>
          <w:caps w:val="0"/>
          <w:sz w:val="24"/>
        </w:rPr>
        <w:fldChar w:fldCharType="begin"/>
      </w:r>
      <w:r>
        <w:rPr>
          <w:rFonts w:ascii="Times New Roman" w:hAnsi="Times New Roman" w:cs="Times New Roman"/>
          <w:b w:val="0"/>
          <w:caps w:val="0"/>
          <w:sz w:val="24"/>
        </w:rPr>
        <w:instrText xml:space="preserve"> PAGEREF _Toc135038263 \h </w:instrText>
      </w:r>
      <w:r>
        <w:rPr>
          <w:rFonts w:ascii="Times New Roman" w:hAnsi="Times New Roman" w:cs="Times New Roman"/>
          <w:b w:val="0"/>
          <w:caps w:val="0"/>
          <w:sz w:val="24"/>
        </w:rPr>
        <w:fldChar w:fldCharType="separate"/>
      </w:r>
      <w:r>
        <w:rPr>
          <w:rFonts w:ascii="Times New Roman" w:hAnsi="Times New Roman" w:cs="Times New Roman"/>
          <w:b w:val="0"/>
          <w:caps w:val="0"/>
          <w:sz w:val="24"/>
        </w:rPr>
        <w:t>11</w:t>
      </w:r>
      <w:r>
        <w:rPr>
          <w:rFonts w:ascii="Times New Roman" w:hAnsi="Times New Roman" w:cs="Times New Roman"/>
          <w:b w:val="0"/>
          <w:caps w:val="0"/>
          <w:sz w:val="24"/>
        </w:rPr>
        <w:fldChar w:fldCharType="end"/>
      </w:r>
      <w:r>
        <w:rPr>
          <w:rFonts w:ascii="Times New Roman" w:hAnsi="Times New Roman" w:cs="Times New Roman"/>
          <w:b w:val="0"/>
          <w:caps w:val="0"/>
          <w:sz w:val="24"/>
        </w:rPr>
        <w:fldChar w:fldCharType="end"/>
      </w:r>
    </w:p>
    <w:p>
      <w:pPr>
        <w:pStyle w:val="20"/>
        <w:tabs>
          <w:tab w:val="right" w:leader="dot" w:pos="8303"/>
        </w:tabs>
        <w:spacing w:line="300" w:lineRule="auto"/>
        <w:rPr>
          <w:rFonts w:ascii="Times New Roman" w:hAnsi="Times New Roman" w:cs="Times New Roman" w:eastAsiaTheme="minorEastAsia"/>
          <w:smallCaps w:val="0"/>
          <w:sz w:val="28"/>
          <w:szCs w:val="22"/>
        </w:rPr>
      </w:pPr>
      <w:r>
        <w:fldChar w:fldCharType="begin"/>
      </w:r>
      <w:r>
        <w:instrText xml:space="preserve"> HYPERLINK \l "_Toc135038264" </w:instrText>
      </w:r>
      <w:r>
        <w:fldChar w:fldCharType="separate"/>
      </w:r>
      <w:r>
        <w:rPr>
          <w:rStyle w:val="29"/>
          <w:rFonts w:ascii="Times New Roman" w:hAnsi="Times New Roman" w:eastAsia="黑体" w:cs="Times New Roman"/>
          <w:smallCaps w:val="0"/>
          <w:kern w:val="0"/>
          <w:sz w:val="24"/>
        </w:rPr>
        <w:t>4.1  General requirements</w:t>
      </w:r>
      <w:r>
        <w:rPr>
          <w:rFonts w:ascii="Times New Roman" w:hAnsi="Times New Roman" w:cs="Times New Roman"/>
          <w:smallCaps w:val="0"/>
          <w:sz w:val="24"/>
        </w:rPr>
        <w:tab/>
      </w:r>
      <w:r>
        <w:rPr>
          <w:rFonts w:ascii="Times New Roman" w:hAnsi="Times New Roman" w:cs="Times New Roman"/>
          <w:smallCaps w:val="0"/>
          <w:sz w:val="24"/>
        </w:rPr>
        <w:fldChar w:fldCharType="begin"/>
      </w:r>
      <w:r>
        <w:rPr>
          <w:rFonts w:ascii="Times New Roman" w:hAnsi="Times New Roman" w:cs="Times New Roman"/>
          <w:smallCaps w:val="0"/>
          <w:sz w:val="24"/>
        </w:rPr>
        <w:instrText xml:space="preserve"> PAGEREF _Toc135038264 \h </w:instrText>
      </w:r>
      <w:r>
        <w:rPr>
          <w:rFonts w:ascii="Times New Roman" w:hAnsi="Times New Roman" w:cs="Times New Roman"/>
          <w:smallCaps w:val="0"/>
          <w:sz w:val="24"/>
        </w:rPr>
        <w:fldChar w:fldCharType="separate"/>
      </w:r>
      <w:r>
        <w:rPr>
          <w:rFonts w:ascii="Times New Roman" w:hAnsi="Times New Roman" w:cs="Times New Roman"/>
          <w:smallCaps w:val="0"/>
          <w:sz w:val="24"/>
        </w:rPr>
        <w:t>11</w:t>
      </w:r>
      <w:r>
        <w:rPr>
          <w:rFonts w:ascii="Times New Roman" w:hAnsi="Times New Roman" w:cs="Times New Roman"/>
          <w:smallCaps w:val="0"/>
          <w:sz w:val="24"/>
        </w:rPr>
        <w:fldChar w:fldCharType="end"/>
      </w:r>
      <w:r>
        <w:rPr>
          <w:rFonts w:ascii="Times New Roman" w:hAnsi="Times New Roman" w:cs="Times New Roman"/>
          <w:smallCaps w:val="0"/>
          <w:sz w:val="24"/>
        </w:rPr>
        <w:fldChar w:fldCharType="end"/>
      </w:r>
    </w:p>
    <w:p>
      <w:pPr>
        <w:pStyle w:val="20"/>
        <w:tabs>
          <w:tab w:val="right" w:leader="dot" w:pos="8303"/>
        </w:tabs>
        <w:spacing w:line="300" w:lineRule="auto"/>
        <w:rPr>
          <w:rFonts w:ascii="Times New Roman" w:hAnsi="Times New Roman" w:cs="Times New Roman" w:eastAsiaTheme="minorEastAsia"/>
          <w:smallCaps w:val="0"/>
          <w:sz w:val="28"/>
          <w:szCs w:val="22"/>
        </w:rPr>
      </w:pPr>
      <w:r>
        <w:fldChar w:fldCharType="begin"/>
      </w:r>
      <w:r>
        <w:instrText xml:space="preserve"> HYPERLINK \l "_Toc135038265" </w:instrText>
      </w:r>
      <w:r>
        <w:fldChar w:fldCharType="separate"/>
      </w:r>
      <w:r>
        <w:rPr>
          <w:rStyle w:val="29"/>
          <w:rFonts w:ascii="Times New Roman" w:hAnsi="Times New Roman" w:eastAsia="黑体" w:cs="Times New Roman"/>
          <w:smallCaps w:val="0"/>
          <w:kern w:val="0"/>
          <w:sz w:val="24"/>
        </w:rPr>
        <w:t>4.2  Concrete compression strength of precast concrete components</w:t>
      </w:r>
      <w:r>
        <w:rPr>
          <w:rFonts w:ascii="Times New Roman" w:hAnsi="Times New Roman" w:cs="Times New Roman"/>
          <w:smallCaps w:val="0"/>
          <w:sz w:val="24"/>
        </w:rPr>
        <w:tab/>
      </w:r>
      <w:r>
        <w:rPr>
          <w:rFonts w:ascii="Times New Roman" w:hAnsi="Times New Roman" w:cs="Times New Roman"/>
          <w:smallCaps w:val="0"/>
          <w:sz w:val="24"/>
        </w:rPr>
        <w:fldChar w:fldCharType="begin"/>
      </w:r>
      <w:r>
        <w:rPr>
          <w:rFonts w:ascii="Times New Roman" w:hAnsi="Times New Roman" w:cs="Times New Roman"/>
          <w:smallCaps w:val="0"/>
          <w:sz w:val="24"/>
        </w:rPr>
        <w:instrText xml:space="preserve"> PAGEREF _Toc135038265 \h </w:instrText>
      </w:r>
      <w:r>
        <w:rPr>
          <w:rFonts w:ascii="Times New Roman" w:hAnsi="Times New Roman" w:cs="Times New Roman"/>
          <w:smallCaps w:val="0"/>
          <w:sz w:val="24"/>
        </w:rPr>
        <w:fldChar w:fldCharType="separate"/>
      </w:r>
      <w:r>
        <w:rPr>
          <w:rFonts w:ascii="Times New Roman" w:hAnsi="Times New Roman" w:cs="Times New Roman"/>
          <w:smallCaps w:val="0"/>
          <w:sz w:val="24"/>
        </w:rPr>
        <w:t>11</w:t>
      </w:r>
      <w:r>
        <w:rPr>
          <w:rFonts w:ascii="Times New Roman" w:hAnsi="Times New Roman" w:cs="Times New Roman"/>
          <w:smallCaps w:val="0"/>
          <w:sz w:val="24"/>
        </w:rPr>
        <w:fldChar w:fldCharType="end"/>
      </w:r>
      <w:r>
        <w:rPr>
          <w:rFonts w:ascii="Times New Roman" w:hAnsi="Times New Roman" w:cs="Times New Roman"/>
          <w:smallCaps w:val="0"/>
          <w:sz w:val="24"/>
        </w:rPr>
        <w:fldChar w:fldCharType="end"/>
      </w:r>
    </w:p>
    <w:p>
      <w:pPr>
        <w:pStyle w:val="20"/>
        <w:tabs>
          <w:tab w:val="right" w:leader="dot" w:pos="8303"/>
        </w:tabs>
        <w:spacing w:line="300" w:lineRule="auto"/>
        <w:rPr>
          <w:rFonts w:ascii="Times New Roman" w:hAnsi="Times New Roman" w:cs="Times New Roman" w:eastAsiaTheme="minorEastAsia"/>
          <w:smallCaps w:val="0"/>
          <w:sz w:val="28"/>
          <w:szCs w:val="22"/>
        </w:rPr>
      </w:pPr>
      <w:r>
        <w:fldChar w:fldCharType="begin"/>
      </w:r>
      <w:r>
        <w:instrText xml:space="preserve"> HYPERLINK \l "_Toc135038266" </w:instrText>
      </w:r>
      <w:r>
        <w:fldChar w:fldCharType="separate"/>
      </w:r>
      <w:r>
        <w:rPr>
          <w:rStyle w:val="29"/>
          <w:rFonts w:ascii="Times New Roman" w:hAnsi="Times New Roman" w:eastAsia="黑体" w:cs="Times New Roman"/>
          <w:smallCaps w:val="0"/>
          <w:kern w:val="0"/>
          <w:sz w:val="24"/>
        </w:rPr>
        <w:t>4.3  Rough surface quality of precast concrete components</w:t>
      </w:r>
      <w:r>
        <w:rPr>
          <w:rFonts w:ascii="Times New Roman" w:hAnsi="Times New Roman" w:cs="Times New Roman"/>
          <w:smallCaps w:val="0"/>
          <w:sz w:val="24"/>
        </w:rPr>
        <w:tab/>
      </w:r>
      <w:r>
        <w:rPr>
          <w:rFonts w:ascii="Times New Roman" w:hAnsi="Times New Roman" w:cs="Times New Roman"/>
          <w:smallCaps w:val="0"/>
          <w:sz w:val="24"/>
        </w:rPr>
        <w:fldChar w:fldCharType="begin"/>
      </w:r>
      <w:r>
        <w:rPr>
          <w:rFonts w:ascii="Times New Roman" w:hAnsi="Times New Roman" w:cs="Times New Roman"/>
          <w:smallCaps w:val="0"/>
          <w:sz w:val="24"/>
        </w:rPr>
        <w:instrText xml:space="preserve"> PAGEREF _Toc135038266 \h </w:instrText>
      </w:r>
      <w:r>
        <w:rPr>
          <w:rFonts w:ascii="Times New Roman" w:hAnsi="Times New Roman" w:cs="Times New Roman"/>
          <w:smallCaps w:val="0"/>
          <w:sz w:val="24"/>
        </w:rPr>
        <w:fldChar w:fldCharType="separate"/>
      </w:r>
      <w:r>
        <w:rPr>
          <w:rFonts w:ascii="Times New Roman" w:hAnsi="Times New Roman" w:cs="Times New Roman"/>
          <w:smallCaps w:val="0"/>
          <w:sz w:val="24"/>
        </w:rPr>
        <w:t>11</w:t>
      </w:r>
      <w:r>
        <w:rPr>
          <w:rFonts w:ascii="Times New Roman" w:hAnsi="Times New Roman" w:cs="Times New Roman"/>
          <w:smallCaps w:val="0"/>
          <w:sz w:val="24"/>
        </w:rPr>
        <w:fldChar w:fldCharType="end"/>
      </w:r>
      <w:r>
        <w:rPr>
          <w:rFonts w:ascii="Times New Roman" w:hAnsi="Times New Roman" w:cs="Times New Roman"/>
          <w:smallCaps w:val="0"/>
          <w:sz w:val="24"/>
        </w:rPr>
        <w:fldChar w:fldCharType="end"/>
      </w:r>
    </w:p>
    <w:p>
      <w:pPr>
        <w:pStyle w:val="20"/>
        <w:tabs>
          <w:tab w:val="right" w:leader="dot" w:pos="8303"/>
        </w:tabs>
        <w:spacing w:line="300" w:lineRule="auto"/>
        <w:rPr>
          <w:rFonts w:ascii="Times New Roman" w:hAnsi="Times New Roman" w:cs="Times New Roman" w:eastAsiaTheme="minorEastAsia"/>
          <w:smallCaps w:val="0"/>
          <w:sz w:val="28"/>
          <w:szCs w:val="22"/>
        </w:rPr>
      </w:pPr>
      <w:r>
        <w:fldChar w:fldCharType="begin"/>
      </w:r>
      <w:r>
        <w:instrText xml:space="preserve"> HYPERLINK \l "_Toc135038267" </w:instrText>
      </w:r>
      <w:r>
        <w:fldChar w:fldCharType="separate"/>
      </w:r>
      <w:r>
        <w:rPr>
          <w:rStyle w:val="29"/>
          <w:rFonts w:ascii="Times New Roman" w:hAnsi="Times New Roman" w:eastAsia="黑体" w:cs="Times New Roman"/>
          <w:smallCaps w:val="0"/>
          <w:kern w:val="0"/>
          <w:sz w:val="24"/>
        </w:rPr>
        <w:t>4.4  Anchorage bearing capacity of connector using in sandwich insulation walls</w:t>
      </w:r>
      <w:r>
        <w:rPr>
          <w:rFonts w:ascii="Times New Roman" w:hAnsi="Times New Roman" w:cs="Times New Roman"/>
          <w:smallCaps w:val="0"/>
          <w:sz w:val="24"/>
        </w:rPr>
        <w:tab/>
      </w:r>
      <w:r>
        <w:rPr>
          <w:rFonts w:ascii="Times New Roman" w:hAnsi="Times New Roman" w:cs="Times New Roman"/>
          <w:smallCaps w:val="0"/>
          <w:sz w:val="24"/>
        </w:rPr>
        <w:fldChar w:fldCharType="begin"/>
      </w:r>
      <w:r>
        <w:rPr>
          <w:rFonts w:ascii="Times New Roman" w:hAnsi="Times New Roman" w:cs="Times New Roman"/>
          <w:smallCaps w:val="0"/>
          <w:sz w:val="24"/>
        </w:rPr>
        <w:instrText xml:space="preserve"> PAGEREF _Toc135038267 \h </w:instrText>
      </w:r>
      <w:r>
        <w:rPr>
          <w:rFonts w:ascii="Times New Roman" w:hAnsi="Times New Roman" w:cs="Times New Roman"/>
          <w:smallCaps w:val="0"/>
          <w:sz w:val="24"/>
        </w:rPr>
        <w:fldChar w:fldCharType="separate"/>
      </w:r>
      <w:r>
        <w:rPr>
          <w:rFonts w:ascii="Times New Roman" w:hAnsi="Times New Roman" w:cs="Times New Roman"/>
          <w:smallCaps w:val="0"/>
          <w:sz w:val="24"/>
        </w:rPr>
        <w:t>13</w:t>
      </w:r>
      <w:r>
        <w:rPr>
          <w:rFonts w:ascii="Times New Roman" w:hAnsi="Times New Roman" w:cs="Times New Roman"/>
          <w:smallCaps w:val="0"/>
          <w:sz w:val="24"/>
        </w:rPr>
        <w:fldChar w:fldCharType="end"/>
      </w:r>
      <w:r>
        <w:rPr>
          <w:rFonts w:ascii="Times New Roman" w:hAnsi="Times New Roman" w:cs="Times New Roman"/>
          <w:smallCaps w:val="0"/>
          <w:sz w:val="24"/>
        </w:rPr>
        <w:fldChar w:fldCharType="end"/>
      </w:r>
    </w:p>
    <w:p>
      <w:pPr>
        <w:pStyle w:val="20"/>
        <w:tabs>
          <w:tab w:val="right" w:leader="dot" w:pos="8303"/>
        </w:tabs>
        <w:spacing w:line="300" w:lineRule="auto"/>
        <w:rPr>
          <w:rFonts w:ascii="Times New Roman" w:hAnsi="Times New Roman" w:cs="Times New Roman" w:eastAsiaTheme="minorEastAsia"/>
          <w:smallCaps w:val="0"/>
          <w:sz w:val="28"/>
          <w:szCs w:val="22"/>
        </w:rPr>
      </w:pPr>
      <w:r>
        <w:fldChar w:fldCharType="begin"/>
      </w:r>
      <w:r>
        <w:instrText xml:space="preserve"> HYPERLINK \l "_Toc135038268" </w:instrText>
      </w:r>
      <w:r>
        <w:fldChar w:fldCharType="separate"/>
      </w:r>
      <w:r>
        <w:rPr>
          <w:rStyle w:val="29"/>
          <w:rFonts w:ascii="Times New Roman" w:hAnsi="Times New Roman" w:eastAsia="黑体" w:cs="Times New Roman"/>
          <w:smallCaps w:val="0"/>
          <w:kern w:val="0"/>
          <w:sz w:val="24"/>
        </w:rPr>
        <w:t>4.5  Anchorage bearing capacity of embedded hoisting part</w:t>
      </w:r>
      <w:r>
        <w:rPr>
          <w:rFonts w:ascii="Times New Roman" w:hAnsi="Times New Roman" w:cs="Times New Roman"/>
          <w:smallCaps w:val="0"/>
          <w:sz w:val="24"/>
        </w:rPr>
        <w:tab/>
      </w:r>
      <w:r>
        <w:rPr>
          <w:rFonts w:ascii="Times New Roman" w:hAnsi="Times New Roman" w:cs="Times New Roman"/>
          <w:smallCaps w:val="0"/>
          <w:sz w:val="24"/>
        </w:rPr>
        <w:fldChar w:fldCharType="begin"/>
      </w:r>
      <w:r>
        <w:rPr>
          <w:rFonts w:ascii="Times New Roman" w:hAnsi="Times New Roman" w:cs="Times New Roman"/>
          <w:smallCaps w:val="0"/>
          <w:sz w:val="24"/>
        </w:rPr>
        <w:instrText xml:space="preserve"> PAGEREF _Toc135038268 \h </w:instrText>
      </w:r>
      <w:r>
        <w:rPr>
          <w:rFonts w:ascii="Times New Roman" w:hAnsi="Times New Roman" w:cs="Times New Roman"/>
          <w:smallCaps w:val="0"/>
          <w:sz w:val="24"/>
        </w:rPr>
        <w:fldChar w:fldCharType="separate"/>
      </w:r>
      <w:r>
        <w:rPr>
          <w:rFonts w:ascii="Times New Roman" w:hAnsi="Times New Roman" w:cs="Times New Roman"/>
          <w:smallCaps w:val="0"/>
          <w:sz w:val="24"/>
        </w:rPr>
        <w:t>16</w:t>
      </w:r>
      <w:r>
        <w:rPr>
          <w:rFonts w:ascii="Times New Roman" w:hAnsi="Times New Roman" w:cs="Times New Roman"/>
          <w:smallCaps w:val="0"/>
          <w:sz w:val="24"/>
        </w:rPr>
        <w:fldChar w:fldCharType="end"/>
      </w:r>
      <w:r>
        <w:rPr>
          <w:rFonts w:ascii="Times New Roman" w:hAnsi="Times New Roman" w:cs="Times New Roman"/>
          <w:smallCaps w:val="0"/>
          <w:sz w:val="24"/>
        </w:rPr>
        <w:fldChar w:fldCharType="end"/>
      </w:r>
    </w:p>
    <w:p>
      <w:pPr>
        <w:pStyle w:val="17"/>
        <w:tabs>
          <w:tab w:val="right" w:leader="dot" w:pos="8303"/>
        </w:tabs>
        <w:spacing w:before="0" w:after="0" w:line="300" w:lineRule="auto"/>
        <w:rPr>
          <w:rFonts w:ascii="Times New Roman" w:hAnsi="Times New Roman" w:cs="Times New Roman" w:eastAsiaTheme="minorEastAsia"/>
          <w:b w:val="0"/>
          <w:bCs w:val="0"/>
          <w:caps w:val="0"/>
          <w:sz w:val="28"/>
          <w:szCs w:val="22"/>
        </w:rPr>
      </w:pPr>
      <w:r>
        <w:fldChar w:fldCharType="begin"/>
      </w:r>
      <w:r>
        <w:instrText xml:space="preserve"> HYPERLINK \l "_Toc135038269" </w:instrText>
      </w:r>
      <w:r>
        <w:fldChar w:fldCharType="separate"/>
      </w:r>
      <w:r>
        <w:rPr>
          <w:rStyle w:val="29"/>
          <w:rFonts w:ascii="Times New Roman" w:hAnsi="Times New Roman" w:cs="Times New Roman"/>
          <w:b w:val="0"/>
          <w:caps w:val="0"/>
          <w:kern w:val="44"/>
          <w:sz w:val="24"/>
        </w:rPr>
        <w:t>5  Concrete joint surface</w:t>
      </w:r>
      <w:r>
        <w:rPr>
          <w:rFonts w:ascii="Times New Roman" w:hAnsi="Times New Roman" w:cs="Times New Roman"/>
          <w:b w:val="0"/>
          <w:caps w:val="0"/>
          <w:sz w:val="24"/>
        </w:rPr>
        <w:tab/>
      </w:r>
      <w:r>
        <w:rPr>
          <w:rFonts w:ascii="Times New Roman" w:hAnsi="Times New Roman" w:cs="Times New Roman"/>
          <w:b w:val="0"/>
          <w:caps w:val="0"/>
          <w:sz w:val="24"/>
        </w:rPr>
        <w:fldChar w:fldCharType="begin"/>
      </w:r>
      <w:r>
        <w:rPr>
          <w:rFonts w:ascii="Times New Roman" w:hAnsi="Times New Roman" w:cs="Times New Roman"/>
          <w:b w:val="0"/>
          <w:caps w:val="0"/>
          <w:sz w:val="24"/>
        </w:rPr>
        <w:instrText xml:space="preserve"> PAGEREF _Toc135038269 \h </w:instrText>
      </w:r>
      <w:r>
        <w:rPr>
          <w:rFonts w:ascii="Times New Roman" w:hAnsi="Times New Roman" w:cs="Times New Roman"/>
          <w:b w:val="0"/>
          <w:caps w:val="0"/>
          <w:sz w:val="24"/>
        </w:rPr>
        <w:fldChar w:fldCharType="separate"/>
      </w:r>
      <w:r>
        <w:rPr>
          <w:rFonts w:ascii="Times New Roman" w:hAnsi="Times New Roman" w:cs="Times New Roman"/>
          <w:b w:val="0"/>
          <w:caps w:val="0"/>
          <w:sz w:val="24"/>
        </w:rPr>
        <w:t>19</w:t>
      </w:r>
      <w:r>
        <w:rPr>
          <w:rFonts w:ascii="Times New Roman" w:hAnsi="Times New Roman" w:cs="Times New Roman"/>
          <w:b w:val="0"/>
          <w:caps w:val="0"/>
          <w:sz w:val="24"/>
        </w:rPr>
        <w:fldChar w:fldCharType="end"/>
      </w:r>
      <w:r>
        <w:rPr>
          <w:rFonts w:ascii="Times New Roman" w:hAnsi="Times New Roman" w:cs="Times New Roman"/>
          <w:b w:val="0"/>
          <w:caps w:val="0"/>
          <w:sz w:val="24"/>
        </w:rPr>
        <w:fldChar w:fldCharType="end"/>
      </w:r>
    </w:p>
    <w:p>
      <w:pPr>
        <w:pStyle w:val="20"/>
        <w:tabs>
          <w:tab w:val="right" w:leader="dot" w:pos="8303"/>
        </w:tabs>
        <w:spacing w:line="300" w:lineRule="auto"/>
        <w:rPr>
          <w:rFonts w:ascii="Times New Roman" w:hAnsi="Times New Roman" w:cs="Times New Roman" w:eastAsiaTheme="minorEastAsia"/>
          <w:smallCaps w:val="0"/>
          <w:sz w:val="28"/>
          <w:szCs w:val="22"/>
        </w:rPr>
      </w:pPr>
      <w:r>
        <w:fldChar w:fldCharType="begin"/>
      </w:r>
      <w:r>
        <w:instrText xml:space="preserve"> HYPERLINK \l "_Toc135038270" </w:instrText>
      </w:r>
      <w:r>
        <w:fldChar w:fldCharType="separate"/>
      </w:r>
      <w:r>
        <w:rPr>
          <w:rStyle w:val="29"/>
          <w:rFonts w:ascii="Times New Roman" w:hAnsi="Times New Roman" w:eastAsia="黑体" w:cs="Times New Roman"/>
          <w:smallCaps w:val="0"/>
          <w:kern w:val="0"/>
          <w:sz w:val="24"/>
        </w:rPr>
        <w:t>5.1  General requirements</w:t>
      </w:r>
      <w:r>
        <w:rPr>
          <w:rFonts w:ascii="Times New Roman" w:hAnsi="Times New Roman" w:cs="Times New Roman"/>
          <w:smallCaps w:val="0"/>
          <w:sz w:val="24"/>
        </w:rPr>
        <w:tab/>
      </w:r>
      <w:r>
        <w:rPr>
          <w:rFonts w:ascii="Times New Roman" w:hAnsi="Times New Roman" w:cs="Times New Roman"/>
          <w:smallCaps w:val="0"/>
          <w:sz w:val="24"/>
        </w:rPr>
        <w:fldChar w:fldCharType="begin"/>
      </w:r>
      <w:r>
        <w:rPr>
          <w:rFonts w:ascii="Times New Roman" w:hAnsi="Times New Roman" w:cs="Times New Roman"/>
          <w:smallCaps w:val="0"/>
          <w:sz w:val="24"/>
        </w:rPr>
        <w:instrText xml:space="preserve"> PAGEREF _Toc135038270 \h </w:instrText>
      </w:r>
      <w:r>
        <w:rPr>
          <w:rFonts w:ascii="Times New Roman" w:hAnsi="Times New Roman" w:cs="Times New Roman"/>
          <w:smallCaps w:val="0"/>
          <w:sz w:val="24"/>
        </w:rPr>
        <w:fldChar w:fldCharType="separate"/>
      </w:r>
      <w:r>
        <w:rPr>
          <w:rFonts w:ascii="Times New Roman" w:hAnsi="Times New Roman" w:cs="Times New Roman"/>
          <w:smallCaps w:val="0"/>
          <w:sz w:val="24"/>
        </w:rPr>
        <w:t>19</w:t>
      </w:r>
      <w:r>
        <w:rPr>
          <w:rFonts w:ascii="Times New Roman" w:hAnsi="Times New Roman" w:cs="Times New Roman"/>
          <w:smallCaps w:val="0"/>
          <w:sz w:val="24"/>
        </w:rPr>
        <w:fldChar w:fldCharType="end"/>
      </w:r>
      <w:r>
        <w:rPr>
          <w:rFonts w:ascii="Times New Roman" w:hAnsi="Times New Roman" w:cs="Times New Roman"/>
          <w:smallCaps w:val="0"/>
          <w:sz w:val="24"/>
        </w:rPr>
        <w:fldChar w:fldCharType="end"/>
      </w:r>
    </w:p>
    <w:p>
      <w:pPr>
        <w:pStyle w:val="20"/>
        <w:tabs>
          <w:tab w:val="right" w:leader="dot" w:pos="8303"/>
        </w:tabs>
        <w:spacing w:line="300" w:lineRule="auto"/>
        <w:rPr>
          <w:rFonts w:ascii="Times New Roman" w:hAnsi="Times New Roman" w:cs="Times New Roman" w:eastAsiaTheme="minorEastAsia"/>
          <w:smallCaps w:val="0"/>
          <w:sz w:val="28"/>
          <w:szCs w:val="22"/>
        </w:rPr>
      </w:pPr>
      <w:r>
        <w:fldChar w:fldCharType="begin"/>
      </w:r>
      <w:r>
        <w:instrText xml:space="preserve"> HYPERLINK \l "_Toc135038271" </w:instrText>
      </w:r>
      <w:r>
        <w:fldChar w:fldCharType="separate"/>
      </w:r>
      <w:r>
        <w:rPr>
          <w:rStyle w:val="29"/>
          <w:rFonts w:ascii="Times New Roman" w:hAnsi="Times New Roman" w:eastAsia="黑体" w:cs="Times New Roman"/>
          <w:smallCaps w:val="0"/>
          <w:kern w:val="0"/>
          <w:sz w:val="24"/>
        </w:rPr>
        <w:t>5.2  Normal tensile bond strength of joint surface</w:t>
      </w:r>
      <w:r>
        <w:rPr>
          <w:rFonts w:ascii="Times New Roman" w:hAnsi="Times New Roman" w:cs="Times New Roman"/>
          <w:smallCaps w:val="0"/>
          <w:sz w:val="24"/>
        </w:rPr>
        <w:tab/>
      </w:r>
      <w:r>
        <w:rPr>
          <w:rFonts w:ascii="Times New Roman" w:hAnsi="Times New Roman" w:cs="Times New Roman"/>
          <w:smallCaps w:val="0"/>
          <w:sz w:val="24"/>
        </w:rPr>
        <w:fldChar w:fldCharType="begin"/>
      </w:r>
      <w:r>
        <w:rPr>
          <w:rFonts w:ascii="Times New Roman" w:hAnsi="Times New Roman" w:cs="Times New Roman"/>
          <w:smallCaps w:val="0"/>
          <w:sz w:val="24"/>
        </w:rPr>
        <w:instrText xml:space="preserve"> PAGEREF _Toc135038271 \h </w:instrText>
      </w:r>
      <w:r>
        <w:rPr>
          <w:rFonts w:ascii="Times New Roman" w:hAnsi="Times New Roman" w:cs="Times New Roman"/>
          <w:smallCaps w:val="0"/>
          <w:sz w:val="24"/>
        </w:rPr>
        <w:fldChar w:fldCharType="separate"/>
      </w:r>
      <w:r>
        <w:rPr>
          <w:rFonts w:ascii="Times New Roman" w:hAnsi="Times New Roman" w:cs="Times New Roman"/>
          <w:smallCaps w:val="0"/>
          <w:sz w:val="24"/>
        </w:rPr>
        <w:t>19</w:t>
      </w:r>
      <w:r>
        <w:rPr>
          <w:rFonts w:ascii="Times New Roman" w:hAnsi="Times New Roman" w:cs="Times New Roman"/>
          <w:smallCaps w:val="0"/>
          <w:sz w:val="24"/>
        </w:rPr>
        <w:fldChar w:fldCharType="end"/>
      </w:r>
      <w:r>
        <w:rPr>
          <w:rFonts w:ascii="Times New Roman" w:hAnsi="Times New Roman" w:cs="Times New Roman"/>
          <w:smallCaps w:val="0"/>
          <w:sz w:val="24"/>
        </w:rPr>
        <w:fldChar w:fldCharType="end"/>
      </w:r>
    </w:p>
    <w:p>
      <w:pPr>
        <w:pStyle w:val="20"/>
        <w:tabs>
          <w:tab w:val="right" w:leader="dot" w:pos="8303"/>
        </w:tabs>
        <w:spacing w:line="300" w:lineRule="auto"/>
        <w:rPr>
          <w:rFonts w:ascii="Times New Roman" w:hAnsi="Times New Roman" w:cs="Times New Roman" w:eastAsiaTheme="minorEastAsia"/>
          <w:smallCaps w:val="0"/>
          <w:sz w:val="28"/>
          <w:szCs w:val="22"/>
        </w:rPr>
      </w:pPr>
      <w:r>
        <w:fldChar w:fldCharType="begin"/>
      </w:r>
      <w:r>
        <w:instrText xml:space="preserve"> HYPERLINK \l "_Toc135038272" </w:instrText>
      </w:r>
      <w:r>
        <w:fldChar w:fldCharType="separate"/>
      </w:r>
      <w:r>
        <w:rPr>
          <w:rStyle w:val="29"/>
          <w:rFonts w:ascii="Times New Roman" w:hAnsi="Times New Roman" w:eastAsia="黑体" w:cs="Times New Roman"/>
          <w:smallCaps w:val="0"/>
          <w:kern w:val="0"/>
          <w:sz w:val="24"/>
        </w:rPr>
        <w:t>5.3  Defects of joint surface in concrete</w:t>
      </w:r>
      <w:r>
        <w:rPr>
          <w:rFonts w:ascii="Times New Roman" w:hAnsi="Times New Roman" w:cs="Times New Roman"/>
          <w:smallCaps w:val="0"/>
          <w:sz w:val="24"/>
        </w:rPr>
        <w:tab/>
      </w:r>
      <w:r>
        <w:rPr>
          <w:rFonts w:ascii="Times New Roman" w:hAnsi="Times New Roman" w:cs="Times New Roman"/>
          <w:smallCaps w:val="0"/>
          <w:sz w:val="24"/>
        </w:rPr>
        <w:fldChar w:fldCharType="begin"/>
      </w:r>
      <w:r>
        <w:rPr>
          <w:rFonts w:ascii="Times New Roman" w:hAnsi="Times New Roman" w:cs="Times New Roman"/>
          <w:smallCaps w:val="0"/>
          <w:sz w:val="24"/>
        </w:rPr>
        <w:instrText xml:space="preserve"> PAGEREF _Toc135038272 \h </w:instrText>
      </w:r>
      <w:r>
        <w:rPr>
          <w:rFonts w:ascii="Times New Roman" w:hAnsi="Times New Roman" w:cs="Times New Roman"/>
          <w:smallCaps w:val="0"/>
          <w:sz w:val="24"/>
        </w:rPr>
        <w:fldChar w:fldCharType="separate"/>
      </w:r>
      <w:r>
        <w:rPr>
          <w:rFonts w:ascii="Times New Roman" w:hAnsi="Times New Roman" w:cs="Times New Roman"/>
          <w:smallCaps w:val="0"/>
          <w:sz w:val="24"/>
        </w:rPr>
        <w:t>21</w:t>
      </w:r>
      <w:r>
        <w:rPr>
          <w:rFonts w:ascii="Times New Roman" w:hAnsi="Times New Roman" w:cs="Times New Roman"/>
          <w:smallCaps w:val="0"/>
          <w:sz w:val="24"/>
        </w:rPr>
        <w:fldChar w:fldCharType="end"/>
      </w:r>
      <w:r>
        <w:rPr>
          <w:rFonts w:ascii="Times New Roman" w:hAnsi="Times New Roman" w:cs="Times New Roman"/>
          <w:smallCaps w:val="0"/>
          <w:sz w:val="24"/>
        </w:rPr>
        <w:fldChar w:fldCharType="end"/>
      </w:r>
    </w:p>
    <w:p>
      <w:pPr>
        <w:pStyle w:val="20"/>
        <w:tabs>
          <w:tab w:val="right" w:leader="dot" w:pos="8303"/>
        </w:tabs>
        <w:spacing w:line="300" w:lineRule="auto"/>
        <w:rPr>
          <w:rFonts w:ascii="Times New Roman" w:hAnsi="Times New Roman" w:cs="Times New Roman" w:eastAsiaTheme="minorEastAsia"/>
          <w:smallCaps w:val="0"/>
          <w:sz w:val="28"/>
          <w:szCs w:val="22"/>
        </w:rPr>
      </w:pPr>
      <w:r>
        <w:fldChar w:fldCharType="begin"/>
      </w:r>
      <w:r>
        <w:instrText xml:space="preserve"> HYPERLINK \l "_Toc135038273" </w:instrText>
      </w:r>
      <w:r>
        <w:fldChar w:fldCharType="separate"/>
      </w:r>
      <w:r>
        <w:rPr>
          <w:rStyle w:val="29"/>
          <w:rFonts w:ascii="Times New Roman" w:hAnsi="Times New Roman" w:eastAsia="黑体" w:cs="Times New Roman"/>
          <w:smallCaps w:val="0"/>
          <w:kern w:val="0"/>
          <w:sz w:val="24"/>
        </w:rPr>
        <w:t>5.4  Internal defects of vertical component bottom seams</w:t>
      </w:r>
      <w:r>
        <w:rPr>
          <w:rFonts w:ascii="Times New Roman" w:hAnsi="Times New Roman" w:cs="Times New Roman"/>
          <w:smallCaps w:val="0"/>
          <w:sz w:val="24"/>
        </w:rPr>
        <w:tab/>
      </w:r>
      <w:r>
        <w:rPr>
          <w:rFonts w:ascii="Times New Roman" w:hAnsi="Times New Roman" w:cs="Times New Roman"/>
          <w:smallCaps w:val="0"/>
          <w:sz w:val="24"/>
        </w:rPr>
        <w:fldChar w:fldCharType="begin"/>
      </w:r>
      <w:r>
        <w:rPr>
          <w:rFonts w:ascii="Times New Roman" w:hAnsi="Times New Roman" w:cs="Times New Roman"/>
          <w:smallCaps w:val="0"/>
          <w:sz w:val="24"/>
        </w:rPr>
        <w:instrText xml:space="preserve"> PAGEREF _Toc135038273 \h </w:instrText>
      </w:r>
      <w:r>
        <w:rPr>
          <w:rFonts w:ascii="Times New Roman" w:hAnsi="Times New Roman" w:cs="Times New Roman"/>
          <w:smallCaps w:val="0"/>
          <w:sz w:val="24"/>
        </w:rPr>
        <w:fldChar w:fldCharType="separate"/>
      </w:r>
      <w:r>
        <w:rPr>
          <w:rFonts w:ascii="Times New Roman" w:hAnsi="Times New Roman" w:cs="Times New Roman"/>
          <w:smallCaps w:val="0"/>
          <w:sz w:val="24"/>
        </w:rPr>
        <w:t>21</w:t>
      </w:r>
      <w:r>
        <w:rPr>
          <w:rFonts w:ascii="Times New Roman" w:hAnsi="Times New Roman" w:cs="Times New Roman"/>
          <w:smallCaps w:val="0"/>
          <w:sz w:val="24"/>
        </w:rPr>
        <w:fldChar w:fldCharType="end"/>
      </w:r>
      <w:r>
        <w:rPr>
          <w:rFonts w:ascii="Times New Roman" w:hAnsi="Times New Roman" w:cs="Times New Roman"/>
          <w:smallCaps w:val="0"/>
          <w:sz w:val="24"/>
        </w:rPr>
        <w:fldChar w:fldCharType="end"/>
      </w:r>
    </w:p>
    <w:p>
      <w:pPr>
        <w:pStyle w:val="17"/>
        <w:tabs>
          <w:tab w:val="right" w:leader="dot" w:pos="8303"/>
        </w:tabs>
        <w:spacing w:before="0" w:after="0" w:line="300" w:lineRule="auto"/>
        <w:rPr>
          <w:rFonts w:ascii="Times New Roman" w:hAnsi="Times New Roman" w:cs="Times New Roman" w:eastAsiaTheme="minorEastAsia"/>
          <w:b w:val="0"/>
          <w:bCs w:val="0"/>
          <w:caps w:val="0"/>
          <w:sz w:val="28"/>
          <w:szCs w:val="22"/>
        </w:rPr>
      </w:pPr>
      <w:r>
        <w:fldChar w:fldCharType="begin"/>
      </w:r>
      <w:r>
        <w:instrText xml:space="preserve"> HYPERLINK \l "_Toc135038274" </w:instrText>
      </w:r>
      <w:r>
        <w:fldChar w:fldCharType="separate"/>
      </w:r>
      <w:r>
        <w:rPr>
          <w:rStyle w:val="29"/>
          <w:rFonts w:ascii="Times New Roman" w:hAnsi="Times New Roman" w:cs="Times New Roman"/>
          <w:b w:val="0"/>
          <w:caps w:val="0"/>
          <w:kern w:val="44"/>
          <w:sz w:val="24"/>
        </w:rPr>
        <w:t>6  Grout sleeve splicing of rebars</w:t>
      </w:r>
      <w:r>
        <w:rPr>
          <w:rFonts w:ascii="Times New Roman" w:hAnsi="Times New Roman" w:cs="Times New Roman"/>
          <w:b w:val="0"/>
          <w:caps w:val="0"/>
          <w:sz w:val="24"/>
        </w:rPr>
        <w:tab/>
      </w:r>
      <w:r>
        <w:rPr>
          <w:rFonts w:ascii="Times New Roman" w:hAnsi="Times New Roman" w:cs="Times New Roman"/>
          <w:b w:val="0"/>
          <w:caps w:val="0"/>
          <w:sz w:val="24"/>
        </w:rPr>
        <w:fldChar w:fldCharType="begin"/>
      </w:r>
      <w:r>
        <w:rPr>
          <w:rFonts w:ascii="Times New Roman" w:hAnsi="Times New Roman" w:cs="Times New Roman"/>
          <w:b w:val="0"/>
          <w:caps w:val="0"/>
          <w:sz w:val="24"/>
        </w:rPr>
        <w:instrText xml:space="preserve"> PAGEREF _Toc135038274 \h </w:instrText>
      </w:r>
      <w:r>
        <w:rPr>
          <w:rFonts w:ascii="Times New Roman" w:hAnsi="Times New Roman" w:cs="Times New Roman"/>
          <w:b w:val="0"/>
          <w:caps w:val="0"/>
          <w:sz w:val="24"/>
        </w:rPr>
        <w:fldChar w:fldCharType="separate"/>
      </w:r>
      <w:r>
        <w:rPr>
          <w:rFonts w:ascii="Times New Roman" w:hAnsi="Times New Roman" w:cs="Times New Roman"/>
          <w:b w:val="0"/>
          <w:caps w:val="0"/>
          <w:sz w:val="24"/>
        </w:rPr>
        <w:t>23</w:t>
      </w:r>
      <w:r>
        <w:rPr>
          <w:rFonts w:ascii="Times New Roman" w:hAnsi="Times New Roman" w:cs="Times New Roman"/>
          <w:b w:val="0"/>
          <w:caps w:val="0"/>
          <w:sz w:val="24"/>
        </w:rPr>
        <w:fldChar w:fldCharType="end"/>
      </w:r>
      <w:r>
        <w:rPr>
          <w:rFonts w:ascii="Times New Roman" w:hAnsi="Times New Roman" w:cs="Times New Roman"/>
          <w:b w:val="0"/>
          <w:caps w:val="0"/>
          <w:sz w:val="24"/>
        </w:rPr>
        <w:fldChar w:fldCharType="end"/>
      </w:r>
    </w:p>
    <w:p>
      <w:pPr>
        <w:pStyle w:val="20"/>
        <w:tabs>
          <w:tab w:val="right" w:leader="dot" w:pos="8303"/>
        </w:tabs>
        <w:spacing w:line="300" w:lineRule="auto"/>
        <w:rPr>
          <w:rFonts w:ascii="Times New Roman" w:hAnsi="Times New Roman" w:cs="Times New Roman" w:eastAsiaTheme="minorEastAsia"/>
          <w:smallCaps w:val="0"/>
          <w:sz w:val="28"/>
          <w:szCs w:val="22"/>
        </w:rPr>
      </w:pPr>
      <w:r>
        <w:fldChar w:fldCharType="begin"/>
      </w:r>
      <w:r>
        <w:instrText xml:space="preserve"> HYPERLINK \l "_Toc135038275" </w:instrText>
      </w:r>
      <w:r>
        <w:fldChar w:fldCharType="separate"/>
      </w:r>
      <w:r>
        <w:rPr>
          <w:rStyle w:val="29"/>
          <w:rFonts w:ascii="Times New Roman" w:hAnsi="Times New Roman" w:eastAsia="黑体" w:cs="Times New Roman"/>
          <w:smallCaps w:val="0"/>
          <w:kern w:val="0"/>
          <w:sz w:val="24"/>
        </w:rPr>
        <w:t>6.1  General requirements</w:t>
      </w:r>
      <w:r>
        <w:rPr>
          <w:rFonts w:ascii="Times New Roman" w:hAnsi="Times New Roman" w:cs="Times New Roman"/>
          <w:smallCaps w:val="0"/>
          <w:sz w:val="24"/>
        </w:rPr>
        <w:tab/>
      </w:r>
      <w:r>
        <w:rPr>
          <w:rFonts w:ascii="Times New Roman" w:hAnsi="Times New Roman" w:cs="Times New Roman"/>
          <w:smallCaps w:val="0"/>
          <w:sz w:val="24"/>
        </w:rPr>
        <w:fldChar w:fldCharType="begin"/>
      </w:r>
      <w:r>
        <w:rPr>
          <w:rFonts w:ascii="Times New Roman" w:hAnsi="Times New Roman" w:cs="Times New Roman"/>
          <w:smallCaps w:val="0"/>
          <w:sz w:val="24"/>
        </w:rPr>
        <w:instrText xml:space="preserve"> PAGEREF _Toc135038275 \h </w:instrText>
      </w:r>
      <w:r>
        <w:rPr>
          <w:rFonts w:ascii="Times New Roman" w:hAnsi="Times New Roman" w:cs="Times New Roman"/>
          <w:smallCaps w:val="0"/>
          <w:sz w:val="24"/>
        </w:rPr>
        <w:fldChar w:fldCharType="separate"/>
      </w:r>
      <w:r>
        <w:rPr>
          <w:rFonts w:ascii="Times New Roman" w:hAnsi="Times New Roman" w:cs="Times New Roman"/>
          <w:smallCaps w:val="0"/>
          <w:sz w:val="24"/>
        </w:rPr>
        <w:t>23</w:t>
      </w:r>
      <w:r>
        <w:rPr>
          <w:rFonts w:ascii="Times New Roman" w:hAnsi="Times New Roman" w:cs="Times New Roman"/>
          <w:smallCaps w:val="0"/>
          <w:sz w:val="24"/>
        </w:rPr>
        <w:fldChar w:fldCharType="end"/>
      </w:r>
      <w:r>
        <w:rPr>
          <w:rFonts w:ascii="Times New Roman" w:hAnsi="Times New Roman" w:cs="Times New Roman"/>
          <w:smallCaps w:val="0"/>
          <w:sz w:val="24"/>
        </w:rPr>
        <w:fldChar w:fldCharType="end"/>
      </w:r>
    </w:p>
    <w:p>
      <w:pPr>
        <w:pStyle w:val="20"/>
        <w:tabs>
          <w:tab w:val="right" w:leader="dot" w:pos="8303"/>
        </w:tabs>
        <w:spacing w:line="300" w:lineRule="auto"/>
        <w:rPr>
          <w:rFonts w:ascii="Times New Roman" w:hAnsi="Times New Roman" w:cs="Times New Roman" w:eastAsiaTheme="minorEastAsia"/>
          <w:smallCaps w:val="0"/>
          <w:sz w:val="28"/>
          <w:szCs w:val="22"/>
        </w:rPr>
      </w:pPr>
      <w:r>
        <w:fldChar w:fldCharType="begin"/>
      </w:r>
      <w:r>
        <w:instrText xml:space="preserve"> HYPERLINK \l "_Toc135038276" </w:instrText>
      </w:r>
      <w:r>
        <w:fldChar w:fldCharType="separate"/>
      </w:r>
      <w:r>
        <w:rPr>
          <w:rStyle w:val="29"/>
          <w:rFonts w:ascii="Times New Roman" w:hAnsi="Times New Roman" w:eastAsia="黑体" w:cs="Times New Roman"/>
          <w:smallCaps w:val="0"/>
          <w:kern w:val="0"/>
          <w:sz w:val="24"/>
        </w:rPr>
        <w:t>6.2  Entitative strength of grout</w:t>
      </w:r>
      <w:r>
        <w:rPr>
          <w:rFonts w:ascii="Times New Roman" w:hAnsi="Times New Roman" w:cs="Times New Roman"/>
          <w:smallCaps w:val="0"/>
          <w:sz w:val="24"/>
        </w:rPr>
        <w:tab/>
      </w:r>
      <w:r>
        <w:rPr>
          <w:rFonts w:ascii="Times New Roman" w:hAnsi="Times New Roman" w:cs="Times New Roman"/>
          <w:smallCaps w:val="0"/>
          <w:sz w:val="24"/>
        </w:rPr>
        <w:fldChar w:fldCharType="begin"/>
      </w:r>
      <w:r>
        <w:rPr>
          <w:rFonts w:ascii="Times New Roman" w:hAnsi="Times New Roman" w:cs="Times New Roman"/>
          <w:smallCaps w:val="0"/>
          <w:sz w:val="24"/>
        </w:rPr>
        <w:instrText xml:space="preserve"> PAGEREF _Toc135038276 \h </w:instrText>
      </w:r>
      <w:r>
        <w:rPr>
          <w:rFonts w:ascii="Times New Roman" w:hAnsi="Times New Roman" w:cs="Times New Roman"/>
          <w:smallCaps w:val="0"/>
          <w:sz w:val="24"/>
        </w:rPr>
        <w:fldChar w:fldCharType="separate"/>
      </w:r>
      <w:r>
        <w:rPr>
          <w:rFonts w:ascii="Times New Roman" w:hAnsi="Times New Roman" w:cs="Times New Roman"/>
          <w:smallCaps w:val="0"/>
          <w:sz w:val="24"/>
        </w:rPr>
        <w:t>23</w:t>
      </w:r>
      <w:r>
        <w:rPr>
          <w:rFonts w:ascii="Times New Roman" w:hAnsi="Times New Roman" w:cs="Times New Roman"/>
          <w:smallCaps w:val="0"/>
          <w:sz w:val="24"/>
        </w:rPr>
        <w:fldChar w:fldCharType="end"/>
      </w:r>
      <w:r>
        <w:rPr>
          <w:rFonts w:ascii="Times New Roman" w:hAnsi="Times New Roman" w:cs="Times New Roman"/>
          <w:smallCaps w:val="0"/>
          <w:sz w:val="24"/>
        </w:rPr>
        <w:fldChar w:fldCharType="end"/>
      </w:r>
    </w:p>
    <w:p>
      <w:pPr>
        <w:pStyle w:val="20"/>
        <w:tabs>
          <w:tab w:val="right" w:leader="dot" w:pos="8303"/>
        </w:tabs>
        <w:spacing w:line="300" w:lineRule="auto"/>
        <w:rPr>
          <w:rFonts w:ascii="Times New Roman" w:hAnsi="Times New Roman" w:cs="Times New Roman" w:eastAsiaTheme="minorEastAsia"/>
          <w:smallCaps w:val="0"/>
          <w:sz w:val="28"/>
          <w:szCs w:val="22"/>
        </w:rPr>
      </w:pPr>
      <w:r>
        <w:fldChar w:fldCharType="begin"/>
      </w:r>
      <w:r>
        <w:instrText xml:space="preserve"> HYPERLINK \l "_Toc135038277" </w:instrText>
      </w:r>
      <w:r>
        <w:fldChar w:fldCharType="separate"/>
      </w:r>
      <w:r>
        <w:rPr>
          <w:rStyle w:val="29"/>
          <w:rFonts w:ascii="Times New Roman" w:hAnsi="Times New Roman" w:eastAsia="黑体" w:cs="Times New Roman"/>
          <w:smallCaps w:val="0"/>
          <w:kern w:val="0"/>
          <w:sz w:val="24"/>
        </w:rPr>
        <w:t>6.3  Grouting plumpness status</w:t>
      </w:r>
      <w:r>
        <w:rPr>
          <w:rFonts w:ascii="Times New Roman" w:hAnsi="Times New Roman" w:cs="Times New Roman"/>
          <w:smallCaps w:val="0"/>
          <w:sz w:val="24"/>
        </w:rPr>
        <w:tab/>
      </w:r>
      <w:r>
        <w:rPr>
          <w:rFonts w:ascii="Times New Roman" w:hAnsi="Times New Roman" w:cs="Times New Roman"/>
          <w:smallCaps w:val="0"/>
          <w:sz w:val="24"/>
        </w:rPr>
        <w:fldChar w:fldCharType="begin"/>
      </w:r>
      <w:r>
        <w:rPr>
          <w:rFonts w:ascii="Times New Roman" w:hAnsi="Times New Roman" w:cs="Times New Roman"/>
          <w:smallCaps w:val="0"/>
          <w:sz w:val="24"/>
        </w:rPr>
        <w:instrText xml:space="preserve"> PAGEREF _Toc135038277 \h </w:instrText>
      </w:r>
      <w:r>
        <w:rPr>
          <w:rFonts w:ascii="Times New Roman" w:hAnsi="Times New Roman" w:cs="Times New Roman"/>
          <w:smallCaps w:val="0"/>
          <w:sz w:val="24"/>
        </w:rPr>
        <w:fldChar w:fldCharType="separate"/>
      </w:r>
      <w:r>
        <w:rPr>
          <w:rFonts w:ascii="Times New Roman" w:hAnsi="Times New Roman" w:cs="Times New Roman"/>
          <w:smallCaps w:val="0"/>
          <w:sz w:val="24"/>
        </w:rPr>
        <w:t>24</w:t>
      </w:r>
      <w:r>
        <w:rPr>
          <w:rFonts w:ascii="Times New Roman" w:hAnsi="Times New Roman" w:cs="Times New Roman"/>
          <w:smallCaps w:val="0"/>
          <w:sz w:val="24"/>
        </w:rPr>
        <w:fldChar w:fldCharType="end"/>
      </w:r>
      <w:r>
        <w:rPr>
          <w:rFonts w:ascii="Times New Roman" w:hAnsi="Times New Roman" w:cs="Times New Roman"/>
          <w:smallCaps w:val="0"/>
          <w:sz w:val="24"/>
        </w:rPr>
        <w:fldChar w:fldCharType="end"/>
      </w:r>
    </w:p>
    <w:p>
      <w:pPr>
        <w:pStyle w:val="20"/>
        <w:tabs>
          <w:tab w:val="right" w:leader="dot" w:pos="8303"/>
        </w:tabs>
        <w:spacing w:line="300" w:lineRule="auto"/>
        <w:rPr>
          <w:rFonts w:ascii="Times New Roman" w:hAnsi="Times New Roman" w:cs="Times New Roman" w:eastAsiaTheme="minorEastAsia"/>
          <w:smallCaps w:val="0"/>
          <w:sz w:val="28"/>
          <w:szCs w:val="22"/>
        </w:rPr>
      </w:pPr>
      <w:r>
        <w:fldChar w:fldCharType="begin"/>
      </w:r>
      <w:r>
        <w:instrText xml:space="preserve"> HYPERLINK \l "_Toc135038278" </w:instrText>
      </w:r>
      <w:r>
        <w:fldChar w:fldCharType="separate"/>
      </w:r>
      <w:r>
        <w:rPr>
          <w:rStyle w:val="29"/>
          <w:rFonts w:ascii="Times New Roman" w:hAnsi="Times New Roman" w:eastAsia="黑体" w:cs="Times New Roman"/>
          <w:smallCaps w:val="0"/>
          <w:kern w:val="0"/>
          <w:sz w:val="24"/>
        </w:rPr>
        <w:t>6.4  Inserted length of rebars</w:t>
      </w:r>
      <w:r>
        <w:rPr>
          <w:rFonts w:ascii="Times New Roman" w:hAnsi="Times New Roman" w:cs="Times New Roman"/>
          <w:smallCaps w:val="0"/>
          <w:sz w:val="24"/>
        </w:rPr>
        <w:tab/>
      </w:r>
      <w:r>
        <w:rPr>
          <w:rFonts w:ascii="Times New Roman" w:hAnsi="Times New Roman" w:cs="Times New Roman"/>
          <w:smallCaps w:val="0"/>
          <w:sz w:val="24"/>
        </w:rPr>
        <w:fldChar w:fldCharType="begin"/>
      </w:r>
      <w:r>
        <w:rPr>
          <w:rFonts w:ascii="Times New Roman" w:hAnsi="Times New Roman" w:cs="Times New Roman"/>
          <w:smallCaps w:val="0"/>
          <w:sz w:val="24"/>
        </w:rPr>
        <w:instrText xml:space="preserve"> PAGEREF _Toc135038278 \h </w:instrText>
      </w:r>
      <w:r>
        <w:rPr>
          <w:rFonts w:ascii="Times New Roman" w:hAnsi="Times New Roman" w:cs="Times New Roman"/>
          <w:smallCaps w:val="0"/>
          <w:sz w:val="24"/>
        </w:rPr>
        <w:fldChar w:fldCharType="separate"/>
      </w:r>
      <w:r>
        <w:rPr>
          <w:rFonts w:ascii="Times New Roman" w:hAnsi="Times New Roman" w:cs="Times New Roman"/>
          <w:smallCaps w:val="0"/>
          <w:sz w:val="24"/>
        </w:rPr>
        <w:t>24</w:t>
      </w:r>
      <w:r>
        <w:rPr>
          <w:rFonts w:ascii="Times New Roman" w:hAnsi="Times New Roman" w:cs="Times New Roman"/>
          <w:smallCaps w:val="0"/>
          <w:sz w:val="24"/>
        </w:rPr>
        <w:fldChar w:fldCharType="end"/>
      </w:r>
      <w:r>
        <w:rPr>
          <w:rFonts w:ascii="Times New Roman" w:hAnsi="Times New Roman" w:cs="Times New Roman"/>
          <w:smallCaps w:val="0"/>
          <w:sz w:val="24"/>
        </w:rPr>
        <w:fldChar w:fldCharType="end"/>
      </w:r>
    </w:p>
    <w:p>
      <w:pPr>
        <w:pStyle w:val="17"/>
        <w:tabs>
          <w:tab w:val="right" w:leader="dot" w:pos="8303"/>
        </w:tabs>
        <w:spacing w:before="0" w:after="0" w:line="300" w:lineRule="auto"/>
        <w:rPr>
          <w:rFonts w:ascii="Times New Roman" w:hAnsi="Times New Roman" w:cs="Times New Roman" w:eastAsiaTheme="minorEastAsia"/>
          <w:b w:val="0"/>
          <w:bCs w:val="0"/>
          <w:caps w:val="0"/>
          <w:sz w:val="28"/>
          <w:szCs w:val="22"/>
        </w:rPr>
      </w:pPr>
      <w:r>
        <w:fldChar w:fldCharType="begin"/>
      </w:r>
      <w:r>
        <w:instrText xml:space="preserve"> HYPERLINK \l "_Toc135038279" </w:instrText>
      </w:r>
      <w:r>
        <w:fldChar w:fldCharType="separate"/>
      </w:r>
      <w:r>
        <w:rPr>
          <w:rStyle w:val="29"/>
          <w:rFonts w:ascii="Times New Roman" w:hAnsi="Times New Roman" w:cs="Times New Roman"/>
          <w:b w:val="0"/>
          <w:caps w:val="0"/>
          <w:kern w:val="44"/>
          <w:sz w:val="24"/>
        </w:rPr>
        <w:t>7  Precast concrete exterior wall joints</w:t>
      </w:r>
      <w:r>
        <w:rPr>
          <w:rFonts w:ascii="Times New Roman" w:hAnsi="Times New Roman" w:cs="Times New Roman"/>
          <w:b w:val="0"/>
          <w:caps w:val="0"/>
          <w:sz w:val="24"/>
        </w:rPr>
        <w:tab/>
      </w:r>
      <w:r>
        <w:rPr>
          <w:rFonts w:ascii="Times New Roman" w:hAnsi="Times New Roman" w:cs="Times New Roman"/>
          <w:b w:val="0"/>
          <w:caps w:val="0"/>
          <w:sz w:val="24"/>
        </w:rPr>
        <w:fldChar w:fldCharType="begin"/>
      </w:r>
      <w:r>
        <w:rPr>
          <w:rFonts w:ascii="Times New Roman" w:hAnsi="Times New Roman" w:cs="Times New Roman"/>
          <w:b w:val="0"/>
          <w:caps w:val="0"/>
          <w:sz w:val="24"/>
        </w:rPr>
        <w:instrText xml:space="preserve"> PAGEREF _Toc135038279 \h </w:instrText>
      </w:r>
      <w:r>
        <w:rPr>
          <w:rFonts w:ascii="Times New Roman" w:hAnsi="Times New Roman" w:cs="Times New Roman"/>
          <w:b w:val="0"/>
          <w:caps w:val="0"/>
          <w:sz w:val="24"/>
        </w:rPr>
        <w:fldChar w:fldCharType="separate"/>
      </w:r>
      <w:r>
        <w:rPr>
          <w:rFonts w:ascii="Times New Roman" w:hAnsi="Times New Roman" w:cs="Times New Roman"/>
          <w:b w:val="0"/>
          <w:caps w:val="0"/>
          <w:sz w:val="24"/>
        </w:rPr>
        <w:t>26</w:t>
      </w:r>
      <w:r>
        <w:rPr>
          <w:rFonts w:ascii="Times New Roman" w:hAnsi="Times New Roman" w:cs="Times New Roman"/>
          <w:b w:val="0"/>
          <w:caps w:val="0"/>
          <w:sz w:val="24"/>
        </w:rPr>
        <w:fldChar w:fldCharType="end"/>
      </w:r>
      <w:r>
        <w:rPr>
          <w:rFonts w:ascii="Times New Roman" w:hAnsi="Times New Roman" w:cs="Times New Roman"/>
          <w:b w:val="0"/>
          <w:caps w:val="0"/>
          <w:sz w:val="24"/>
        </w:rPr>
        <w:fldChar w:fldCharType="end"/>
      </w:r>
    </w:p>
    <w:p>
      <w:pPr>
        <w:pStyle w:val="20"/>
        <w:tabs>
          <w:tab w:val="right" w:leader="dot" w:pos="8303"/>
        </w:tabs>
        <w:spacing w:line="300" w:lineRule="auto"/>
        <w:rPr>
          <w:rFonts w:ascii="Times New Roman" w:hAnsi="Times New Roman" w:cs="Times New Roman" w:eastAsiaTheme="minorEastAsia"/>
          <w:smallCaps w:val="0"/>
          <w:sz w:val="28"/>
          <w:szCs w:val="22"/>
        </w:rPr>
      </w:pPr>
      <w:r>
        <w:fldChar w:fldCharType="begin"/>
      </w:r>
      <w:r>
        <w:instrText xml:space="preserve"> HYPERLINK \l "_Toc135038280" </w:instrText>
      </w:r>
      <w:r>
        <w:fldChar w:fldCharType="separate"/>
      </w:r>
      <w:r>
        <w:rPr>
          <w:rStyle w:val="29"/>
          <w:rFonts w:ascii="Times New Roman" w:hAnsi="Times New Roman" w:eastAsia="黑体" w:cs="Times New Roman"/>
          <w:smallCaps w:val="0"/>
          <w:kern w:val="0"/>
          <w:sz w:val="24"/>
        </w:rPr>
        <w:t>7.1  Bond quality of caulking sealant</w:t>
      </w:r>
      <w:r>
        <w:rPr>
          <w:rFonts w:ascii="Times New Roman" w:hAnsi="Times New Roman" w:cs="Times New Roman"/>
          <w:smallCaps w:val="0"/>
          <w:sz w:val="24"/>
        </w:rPr>
        <w:tab/>
      </w:r>
      <w:r>
        <w:rPr>
          <w:rFonts w:ascii="Times New Roman" w:hAnsi="Times New Roman" w:cs="Times New Roman"/>
          <w:smallCaps w:val="0"/>
          <w:sz w:val="24"/>
        </w:rPr>
        <w:fldChar w:fldCharType="begin"/>
      </w:r>
      <w:r>
        <w:rPr>
          <w:rFonts w:ascii="Times New Roman" w:hAnsi="Times New Roman" w:cs="Times New Roman"/>
          <w:smallCaps w:val="0"/>
          <w:sz w:val="24"/>
        </w:rPr>
        <w:instrText xml:space="preserve"> PAGEREF _Toc135038280 \h </w:instrText>
      </w:r>
      <w:r>
        <w:rPr>
          <w:rFonts w:ascii="Times New Roman" w:hAnsi="Times New Roman" w:cs="Times New Roman"/>
          <w:smallCaps w:val="0"/>
          <w:sz w:val="24"/>
        </w:rPr>
        <w:fldChar w:fldCharType="separate"/>
      </w:r>
      <w:r>
        <w:rPr>
          <w:rFonts w:ascii="Times New Roman" w:hAnsi="Times New Roman" w:cs="Times New Roman"/>
          <w:smallCaps w:val="0"/>
          <w:sz w:val="24"/>
        </w:rPr>
        <w:t>26</w:t>
      </w:r>
      <w:r>
        <w:rPr>
          <w:rFonts w:ascii="Times New Roman" w:hAnsi="Times New Roman" w:cs="Times New Roman"/>
          <w:smallCaps w:val="0"/>
          <w:sz w:val="24"/>
        </w:rPr>
        <w:fldChar w:fldCharType="end"/>
      </w:r>
      <w:r>
        <w:rPr>
          <w:rFonts w:ascii="Times New Roman" w:hAnsi="Times New Roman" w:cs="Times New Roman"/>
          <w:smallCaps w:val="0"/>
          <w:sz w:val="24"/>
        </w:rPr>
        <w:fldChar w:fldCharType="end"/>
      </w:r>
    </w:p>
    <w:p>
      <w:pPr>
        <w:pStyle w:val="20"/>
        <w:tabs>
          <w:tab w:val="right" w:leader="dot" w:pos="8303"/>
        </w:tabs>
        <w:spacing w:line="300" w:lineRule="auto"/>
        <w:rPr>
          <w:rFonts w:ascii="Times New Roman" w:hAnsi="Times New Roman" w:cs="Times New Roman" w:eastAsiaTheme="minorEastAsia"/>
          <w:smallCaps w:val="0"/>
          <w:sz w:val="28"/>
          <w:szCs w:val="22"/>
        </w:rPr>
      </w:pPr>
      <w:r>
        <w:fldChar w:fldCharType="begin"/>
      </w:r>
      <w:r>
        <w:instrText xml:space="preserve"> HYPERLINK \l "_Toc135038281" </w:instrText>
      </w:r>
      <w:r>
        <w:fldChar w:fldCharType="separate"/>
      </w:r>
      <w:r>
        <w:rPr>
          <w:rStyle w:val="29"/>
          <w:rFonts w:ascii="Times New Roman" w:hAnsi="Times New Roman" w:eastAsia="黑体" w:cs="Times New Roman"/>
          <w:smallCaps w:val="0"/>
          <w:kern w:val="0"/>
          <w:sz w:val="24"/>
        </w:rPr>
        <w:t>7.2  Waterproof quality of exterior concrete wall joints</w:t>
      </w:r>
      <w:r>
        <w:rPr>
          <w:rFonts w:ascii="Times New Roman" w:hAnsi="Times New Roman" w:cs="Times New Roman"/>
          <w:smallCaps w:val="0"/>
          <w:sz w:val="24"/>
        </w:rPr>
        <w:tab/>
      </w:r>
      <w:r>
        <w:rPr>
          <w:rFonts w:ascii="Times New Roman" w:hAnsi="Times New Roman" w:cs="Times New Roman"/>
          <w:smallCaps w:val="0"/>
          <w:sz w:val="24"/>
        </w:rPr>
        <w:fldChar w:fldCharType="begin"/>
      </w:r>
      <w:r>
        <w:rPr>
          <w:rFonts w:ascii="Times New Roman" w:hAnsi="Times New Roman" w:cs="Times New Roman"/>
          <w:smallCaps w:val="0"/>
          <w:sz w:val="24"/>
        </w:rPr>
        <w:instrText xml:space="preserve"> PAGEREF _Toc135038281 \h </w:instrText>
      </w:r>
      <w:r>
        <w:rPr>
          <w:rFonts w:ascii="Times New Roman" w:hAnsi="Times New Roman" w:cs="Times New Roman"/>
          <w:smallCaps w:val="0"/>
          <w:sz w:val="24"/>
        </w:rPr>
        <w:fldChar w:fldCharType="separate"/>
      </w:r>
      <w:r>
        <w:rPr>
          <w:rFonts w:ascii="Times New Roman" w:hAnsi="Times New Roman" w:cs="Times New Roman"/>
          <w:smallCaps w:val="0"/>
          <w:sz w:val="24"/>
        </w:rPr>
        <w:t>27</w:t>
      </w:r>
      <w:r>
        <w:rPr>
          <w:rFonts w:ascii="Times New Roman" w:hAnsi="Times New Roman" w:cs="Times New Roman"/>
          <w:smallCaps w:val="0"/>
          <w:sz w:val="24"/>
        </w:rPr>
        <w:fldChar w:fldCharType="end"/>
      </w:r>
      <w:r>
        <w:rPr>
          <w:rFonts w:ascii="Times New Roman" w:hAnsi="Times New Roman" w:cs="Times New Roman"/>
          <w:smallCaps w:val="0"/>
          <w:sz w:val="24"/>
        </w:rPr>
        <w:fldChar w:fldCharType="end"/>
      </w:r>
    </w:p>
    <w:p>
      <w:pPr>
        <w:pStyle w:val="17"/>
        <w:tabs>
          <w:tab w:val="right" w:leader="dot" w:pos="8303"/>
        </w:tabs>
        <w:spacing w:before="0" w:after="0" w:line="300" w:lineRule="auto"/>
        <w:rPr>
          <w:rFonts w:ascii="Times New Roman" w:hAnsi="Times New Roman" w:cs="Times New Roman" w:eastAsiaTheme="minorEastAsia"/>
          <w:b w:val="0"/>
          <w:bCs w:val="0"/>
          <w:caps w:val="0"/>
          <w:sz w:val="28"/>
          <w:szCs w:val="22"/>
        </w:rPr>
      </w:pPr>
      <w:r>
        <w:fldChar w:fldCharType="begin"/>
      </w:r>
      <w:r>
        <w:instrText xml:space="preserve"> HYPERLINK \l "_Toc135038282" </w:instrText>
      </w:r>
      <w:r>
        <w:fldChar w:fldCharType="separate"/>
      </w:r>
      <w:r>
        <w:rPr>
          <w:rStyle w:val="29"/>
          <w:rFonts w:ascii="Times New Roman" w:hAnsi="Times New Roman" w:cs="Times New Roman"/>
          <w:b w:val="0"/>
          <w:caps w:val="0"/>
          <w:kern w:val="44"/>
          <w:sz w:val="24"/>
        </w:rPr>
        <w:t>Appendix A  50mm-Diameter drilled core method for testing compression strength of concrete</w:t>
      </w:r>
      <w:r>
        <w:rPr>
          <w:rFonts w:ascii="Times New Roman" w:hAnsi="Times New Roman" w:cs="Times New Roman"/>
          <w:b w:val="0"/>
          <w:caps w:val="0"/>
          <w:sz w:val="24"/>
        </w:rPr>
        <w:tab/>
      </w:r>
      <w:r>
        <w:rPr>
          <w:rFonts w:ascii="Times New Roman" w:hAnsi="Times New Roman" w:cs="Times New Roman"/>
          <w:b w:val="0"/>
          <w:caps w:val="0"/>
          <w:sz w:val="24"/>
        </w:rPr>
        <w:fldChar w:fldCharType="begin"/>
      </w:r>
      <w:r>
        <w:rPr>
          <w:rFonts w:ascii="Times New Roman" w:hAnsi="Times New Roman" w:cs="Times New Roman"/>
          <w:b w:val="0"/>
          <w:caps w:val="0"/>
          <w:sz w:val="24"/>
        </w:rPr>
        <w:instrText xml:space="preserve"> PAGEREF _Toc135038282 \h </w:instrText>
      </w:r>
      <w:r>
        <w:rPr>
          <w:rFonts w:ascii="Times New Roman" w:hAnsi="Times New Roman" w:cs="Times New Roman"/>
          <w:b w:val="0"/>
          <w:caps w:val="0"/>
          <w:sz w:val="24"/>
        </w:rPr>
        <w:fldChar w:fldCharType="separate"/>
      </w:r>
      <w:r>
        <w:rPr>
          <w:rFonts w:ascii="Times New Roman" w:hAnsi="Times New Roman" w:cs="Times New Roman"/>
          <w:b w:val="0"/>
          <w:caps w:val="0"/>
          <w:sz w:val="24"/>
        </w:rPr>
        <w:t>29</w:t>
      </w:r>
      <w:r>
        <w:rPr>
          <w:rFonts w:ascii="Times New Roman" w:hAnsi="Times New Roman" w:cs="Times New Roman"/>
          <w:b w:val="0"/>
          <w:caps w:val="0"/>
          <w:sz w:val="24"/>
        </w:rPr>
        <w:fldChar w:fldCharType="end"/>
      </w:r>
      <w:r>
        <w:rPr>
          <w:rFonts w:ascii="Times New Roman" w:hAnsi="Times New Roman" w:cs="Times New Roman"/>
          <w:b w:val="0"/>
          <w:caps w:val="0"/>
          <w:sz w:val="24"/>
        </w:rPr>
        <w:fldChar w:fldCharType="end"/>
      </w:r>
    </w:p>
    <w:p>
      <w:pPr>
        <w:pStyle w:val="17"/>
        <w:tabs>
          <w:tab w:val="right" w:leader="dot" w:pos="8303"/>
        </w:tabs>
        <w:spacing w:before="0" w:after="0" w:line="300" w:lineRule="auto"/>
        <w:rPr>
          <w:rFonts w:ascii="Times New Roman" w:hAnsi="Times New Roman" w:cs="Times New Roman" w:eastAsiaTheme="minorEastAsia"/>
          <w:b w:val="0"/>
          <w:bCs w:val="0"/>
          <w:caps w:val="0"/>
          <w:sz w:val="28"/>
          <w:szCs w:val="22"/>
        </w:rPr>
      </w:pPr>
      <w:r>
        <w:fldChar w:fldCharType="begin"/>
      </w:r>
      <w:r>
        <w:instrText xml:space="preserve"> HYPERLINK \l "_Toc135038283" </w:instrText>
      </w:r>
      <w:r>
        <w:fldChar w:fldCharType="separate"/>
      </w:r>
      <w:r>
        <w:rPr>
          <w:rStyle w:val="29"/>
          <w:rFonts w:ascii="Times New Roman" w:hAnsi="Times New Roman" w:cs="Times New Roman"/>
          <w:b w:val="0"/>
          <w:caps w:val="0"/>
          <w:kern w:val="44"/>
          <w:sz w:val="24"/>
        </w:rPr>
        <w:t>Appendix C  Array ultrasonic method for inspection of defects in concrete</w:t>
      </w:r>
      <w:r>
        <w:rPr>
          <w:rFonts w:ascii="Times New Roman" w:hAnsi="Times New Roman" w:cs="Times New Roman"/>
          <w:b w:val="0"/>
          <w:caps w:val="0"/>
          <w:sz w:val="24"/>
        </w:rPr>
        <w:tab/>
      </w:r>
      <w:r>
        <w:rPr>
          <w:rFonts w:ascii="Times New Roman" w:hAnsi="Times New Roman" w:cs="Times New Roman"/>
          <w:b w:val="0"/>
          <w:caps w:val="0"/>
          <w:sz w:val="24"/>
        </w:rPr>
        <w:fldChar w:fldCharType="begin"/>
      </w:r>
      <w:r>
        <w:rPr>
          <w:rFonts w:ascii="Times New Roman" w:hAnsi="Times New Roman" w:cs="Times New Roman"/>
          <w:b w:val="0"/>
          <w:caps w:val="0"/>
          <w:sz w:val="24"/>
        </w:rPr>
        <w:instrText xml:space="preserve"> PAGEREF _Toc135038283 \h </w:instrText>
      </w:r>
      <w:r>
        <w:rPr>
          <w:rFonts w:ascii="Times New Roman" w:hAnsi="Times New Roman" w:cs="Times New Roman"/>
          <w:b w:val="0"/>
          <w:caps w:val="0"/>
          <w:sz w:val="24"/>
        </w:rPr>
        <w:fldChar w:fldCharType="separate"/>
      </w:r>
      <w:r>
        <w:rPr>
          <w:rFonts w:ascii="Times New Roman" w:hAnsi="Times New Roman" w:cs="Times New Roman"/>
          <w:b w:val="0"/>
          <w:caps w:val="0"/>
          <w:sz w:val="24"/>
        </w:rPr>
        <w:t>35</w:t>
      </w:r>
      <w:r>
        <w:rPr>
          <w:rFonts w:ascii="Times New Roman" w:hAnsi="Times New Roman" w:cs="Times New Roman"/>
          <w:b w:val="0"/>
          <w:caps w:val="0"/>
          <w:sz w:val="24"/>
        </w:rPr>
        <w:fldChar w:fldCharType="end"/>
      </w:r>
      <w:r>
        <w:rPr>
          <w:rFonts w:ascii="Times New Roman" w:hAnsi="Times New Roman" w:cs="Times New Roman"/>
          <w:b w:val="0"/>
          <w:caps w:val="0"/>
          <w:sz w:val="24"/>
        </w:rPr>
        <w:fldChar w:fldCharType="end"/>
      </w:r>
    </w:p>
    <w:p>
      <w:pPr>
        <w:pStyle w:val="17"/>
        <w:tabs>
          <w:tab w:val="right" w:leader="dot" w:pos="8303"/>
        </w:tabs>
        <w:spacing w:before="0" w:after="0" w:line="300" w:lineRule="auto"/>
        <w:rPr>
          <w:rFonts w:ascii="Times New Roman" w:hAnsi="Times New Roman" w:cs="Times New Roman" w:eastAsiaTheme="minorEastAsia"/>
          <w:b w:val="0"/>
          <w:bCs w:val="0"/>
          <w:caps w:val="0"/>
          <w:sz w:val="28"/>
          <w:szCs w:val="22"/>
        </w:rPr>
      </w:pPr>
      <w:r>
        <w:fldChar w:fldCharType="begin"/>
      </w:r>
      <w:r>
        <w:instrText xml:space="preserve"> HYPERLINK \l "_Toc135038284" </w:instrText>
      </w:r>
      <w:r>
        <w:fldChar w:fldCharType="separate"/>
      </w:r>
      <w:r>
        <w:rPr>
          <w:rStyle w:val="29"/>
          <w:rFonts w:ascii="Times New Roman" w:hAnsi="Times New Roman" w:cs="Times New Roman"/>
          <w:b w:val="0"/>
          <w:caps w:val="0"/>
          <w:kern w:val="44"/>
          <w:sz w:val="24"/>
        </w:rPr>
        <w:t>Appendix E  Sampling method for testing compressive strength of sleeve grout</w:t>
      </w:r>
      <w:r>
        <w:rPr>
          <w:rFonts w:ascii="Times New Roman" w:hAnsi="Times New Roman" w:cs="Times New Roman"/>
          <w:b w:val="0"/>
          <w:caps w:val="0"/>
          <w:sz w:val="24"/>
        </w:rPr>
        <w:tab/>
      </w:r>
      <w:r>
        <w:rPr>
          <w:rFonts w:ascii="Times New Roman" w:hAnsi="Times New Roman" w:cs="Times New Roman"/>
          <w:b w:val="0"/>
          <w:caps w:val="0"/>
          <w:sz w:val="24"/>
        </w:rPr>
        <w:fldChar w:fldCharType="begin"/>
      </w:r>
      <w:r>
        <w:rPr>
          <w:rFonts w:ascii="Times New Roman" w:hAnsi="Times New Roman" w:cs="Times New Roman"/>
          <w:b w:val="0"/>
          <w:caps w:val="0"/>
          <w:sz w:val="24"/>
        </w:rPr>
        <w:instrText xml:space="preserve"> PAGEREF _Toc135038284 \h </w:instrText>
      </w:r>
      <w:r>
        <w:rPr>
          <w:rFonts w:ascii="Times New Roman" w:hAnsi="Times New Roman" w:cs="Times New Roman"/>
          <w:b w:val="0"/>
          <w:caps w:val="0"/>
          <w:sz w:val="24"/>
        </w:rPr>
        <w:fldChar w:fldCharType="separate"/>
      </w:r>
      <w:r>
        <w:rPr>
          <w:rFonts w:ascii="Times New Roman" w:hAnsi="Times New Roman" w:cs="Times New Roman"/>
          <w:b w:val="0"/>
          <w:caps w:val="0"/>
          <w:sz w:val="24"/>
        </w:rPr>
        <w:t>38</w:t>
      </w:r>
      <w:r>
        <w:rPr>
          <w:rFonts w:ascii="Times New Roman" w:hAnsi="Times New Roman" w:cs="Times New Roman"/>
          <w:b w:val="0"/>
          <w:caps w:val="0"/>
          <w:sz w:val="24"/>
        </w:rPr>
        <w:fldChar w:fldCharType="end"/>
      </w:r>
      <w:r>
        <w:rPr>
          <w:rFonts w:ascii="Times New Roman" w:hAnsi="Times New Roman" w:cs="Times New Roman"/>
          <w:b w:val="0"/>
          <w:caps w:val="0"/>
          <w:sz w:val="24"/>
        </w:rPr>
        <w:fldChar w:fldCharType="end"/>
      </w:r>
    </w:p>
    <w:p>
      <w:pPr>
        <w:pStyle w:val="17"/>
        <w:tabs>
          <w:tab w:val="right" w:leader="dot" w:pos="8303"/>
        </w:tabs>
        <w:spacing w:before="0" w:after="0" w:line="300" w:lineRule="auto"/>
        <w:rPr>
          <w:rFonts w:ascii="Times New Roman" w:hAnsi="Times New Roman" w:cs="Times New Roman" w:eastAsiaTheme="minorEastAsia"/>
          <w:b w:val="0"/>
          <w:bCs w:val="0"/>
          <w:caps w:val="0"/>
          <w:sz w:val="28"/>
          <w:szCs w:val="22"/>
        </w:rPr>
      </w:pPr>
      <w:r>
        <w:fldChar w:fldCharType="begin"/>
      </w:r>
      <w:r>
        <w:instrText xml:space="preserve"> HYPERLINK \l "_Toc135038285" </w:instrText>
      </w:r>
      <w:r>
        <w:fldChar w:fldCharType="separate"/>
      </w:r>
      <w:r>
        <w:rPr>
          <w:rStyle w:val="29"/>
          <w:rFonts w:ascii="Times New Roman" w:hAnsi="Times New Roman" w:cs="Times New Roman"/>
          <w:b w:val="0"/>
          <w:caps w:val="0"/>
          <w:kern w:val="44"/>
          <w:sz w:val="24"/>
        </w:rPr>
        <w:t>Appendix G  Endoscopy inspection technology by drilling holes</w:t>
      </w:r>
      <w:r>
        <w:rPr>
          <w:rFonts w:ascii="Times New Roman" w:hAnsi="Times New Roman" w:cs="Times New Roman"/>
          <w:b w:val="0"/>
          <w:caps w:val="0"/>
          <w:sz w:val="24"/>
        </w:rPr>
        <w:tab/>
      </w:r>
      <w:r>
        <w:rPr>
          <w:rFonts w:ascii="Times New Roman" w:hAnsi="Times New Roman" w:cs="Times New Roman"/>
          <w:b w:val="0"/>
          <w:caps w:val="0"/>
          <w:sz w:val="24"/>
        </w:rPr>
        <w:fldChar w:fldCharType="begin"/>
      </w:r>
      <w:r>
        <w:rPr>
          <w:rFonts w:ascii="Times New Roman" w:hAnsi="Times New Roman" w:cs="Times New Roman"/>
          <w:b w:val="0"/>
          <w:caps w:val="0"/>
          <w:sz w:val="24"/>
        </w:rPr>
        <w:instrText xml:space="preserve"> PAGEREF _Toc135038285 \h </w:instrText>
      </w:r>
      <w:r>
        <w:rPr>
          <w:rFonts w:ascii="Times New Roman" w:hAnsi="Times New Roman" w:cs="Times New Roman"/>
          <w:b w:val="0"/>
          <w:caps w:val="0"/>
          <w:sz w:val="24"/>
        </w:rPr>
        <w:fldChar w:fldCharType="separate"/>
      </w:r>
      <w:r>
        <w:rPr>
          <w:rFonts w:ascii="Times New Roman" w:hAnsi="Times New Roman" w:cs="Times New Roman"/>
          <w:b w:val="0"/>
          <w:caps w:val="0"/>
          <w:sz w:val="24"/>
        </w:rPr>
        <w:t>49</w:t>
      </w:r>
      <w:r>
        <w:rPr>
          <w:rFonts w:ascii="Times New Roman" w:hAnsi="Times New Roman" w:cs="Times New Roman"/>
          <w:b w:val="0"/>
          <w:caps w:val="0"/>
          <w:sz w:val="24"/>
        </w:rPr>
        <w:fldChar w:fldCharType="end"/>
      </w:r>
      <w:r>
        <w:rPr>
          <w:rFonts w:ascii="Times New Roman" w:hAnsi="Times New Roman" w:cs="Times New Roman"/>
          <w:b w:val="0"/>
          <w:caps w:val="0"/>
          <w:sz w:val="24"/>
        </w:rPr>
        <w:fldChar w:fldCharType="end"/>
      </w:r>
    </w:p>
    <w:p>
      <w:pPr>
        <w:pStyle w:val="17"/>
        <w:tabs>
          <w:tab w:val="right" w:leader="dot" w:pos="8303"/>
        </w:tabs>
        <w:spacing w:before="0" w:after="0" w:line="300" w:lineRule="auto"/>
        <w:rPr>
          <w:rFonts w:ascii="Times New Roman" w:hAnsi="Times New Roman" w:cs="Times New Roman" w:eastAsiaTheme="minorEastAsia"/>
          <w:b w:val="0"/>
          <w:bCs w:val="0"/>
          <w:caps w:val="0"/>
          <w:sz w:val="28"/>
          <w:szCs w:val="22"/>
        </w:rPr>
      </w:pPr>
      <w:r>
        <w:fldChar w:fldCharType="begin"/>
      </w:r>
      <w:r>
        <w:instrText xml:space="preserve"> HYPERLINK \l "_Toc135038286" </w:instrText>
      </w:r>
      <w:r>
        <w:fldChar w:fldCharType="separate"/>
      </w:r>
      <w:r>
        <w:rPr>
          <w:rStyle w:val="29"/>
          <w:rFonts w:ascii="Times New Roman" w:hAnsi="Times New Roman" w:cs="Times New Roman"/>
          <w:b w:val="0"/>
          <w:caps w:val="0"/>
          <w:kern w:val="44"/>
          <w:sz w:val="24"/>
        </w:rPr>
        <w:t>Explanation of wording</w:t>
      </w:r>
      <w:r>
        <w:rPr>
          <w:rFonts w:ascii="Times New Roman" w:hAnsi="Times New Roman" w:cs="Times New Roman"/>
          <w:b w:val="0"/>
          <w:caps w:val="0"/>
          <w:sz w:val="24"/>
        </w:rPr>
        <w:tab/>
      </w:r>
      <w:r>
        <w:rPr>
          <w:rFonts w:ascii="Times New Roman" w:hAnsi="Times New Roman" w:cs="Times New Roman"/>
          <w:b w:val="0"/>
          <w:caps w:val="0"/>
          <w:sz w:val="24"/>
        </w:rPr>
        <w:fldChar w:fldCharType="begin"/>
      </w:r>
      <w:r>
        <w:rPr>
          <w:rFonts w:ascii="Times New Roman" w:hAnsi="Times New Roman" w:cs="Times New Roman"/>
          <w:b w:val="0"/>
          <w:caps w:val="0"/>
          <w:sz w:val="24"/>
        </w:rPr>
        <w:instrText xml:space="preserve"> PAGEREF _Toc135038286 \h </w:instrText>
      </w:r>
      <w:r>
        <w:rPr>
          <w:rFonts w:ascii="Times New Roman" w:hAnsi="Times New Roman" w:cs="Times New Roman"/>
          <w:b w:val="0"/>
          <w:caps w:val="0"/>
          <w:sz w:val="24"/>
        </w:rPr>
        <w:fldChar w:fldCharType="separate"/>
      </w:r>
      <w:r>
        <w:rPr>
          <w:rFonts w:ascii="Times New Roman" w:hAnsi="Times New Roman" w:cs="Times New Roman"/>
          <w:b w:val="0"/>
          <w:caps w:val="0"/>
          <w:sz w:val="24"/>
        </w:rPr>
        <w:t>55</w:t>
      </w:r>
      <w:r>
        <w:rPr>
          <w:rFonts w:ascii="Times New Roman" w:hAnsi="Times New Roman" w:cs="Times New Roman"/>
          <w:b w:val="0"/>
          <w:caps w:val="0"/>
          <w:sz w:val="24"/>
        </w:rPr>
        <w:fldChar w:fldCharType="end"/>
      </w:r>
      <w:r>
        <w:rPr>
          <w:rFonts w:ascii="Times New Roman" w:hAnsi="Times New Roman" w:cs="Times New Roman"/>
          <w:b w:val="0"/>
          <w:caps w:val="0"/>
          <w:sz w:val="24"/>
        </w:rPr>
        <w:fldChar w:fldCharType="end"/>
      </w:r>
    </w:p>
    <w:p>
      <w:pPr>
        <w:pStyle w:val="17"/>
        <w:tabs>
          <w:tab w:val="right" w:leader="dot" w:pos="8303"/>
        </w:tabs>
        <w:spacing w:before="0" w:after="0" w:line="300" w:lineRule="auto"/>
        <w:rPr>
          <w:rFonts w:ascii="Times New Roman" w:hAnsi="Times New Roman" w:cs="Times New Roman" w:eastAsiaTheme="minorEastAsia"/>
          <w:b w:val="0"/>
          <w:bCs w:val="0"/>
          <w:caps w:val="0"/>
          <w:sz w:val="28"/>
          <w:szCs w:val="22"/>
        </w:rPr>
      </w:pPr>
      <w:r>
        <w:fldChar w:fldCharType="begin"/>
      </w:r>
      <w:r>
        <w:instrText xml:space="preserve"> HYPERLINK \l "_Toc135038287" </w:instrText>
      </w:r>
      <w:r>
        <w:fldChar w:fldCharType="separate"/>
      </w:r>
      <w:r>
        <w:rPr>
          <w:rStyle w:val="29"/>
          <w:rFonts w:ascii="Times New Roman" w:hAnsi="Times New Roman" w:cs="Times New Roman"/>
          <w:b w:val="0"/>
          <w:caps w:val="0"/>
          <w:kern w:val="44"/>
          <w:sz w:val="24"/>
        </w:rPr>
        <w:t>List of quoted standards</w:t>
      </w:r>
      <w:r>
        <w:rPr>
          <w:rFonts w:ascii="Times New Roman" w:hAnsi="Times New Roman" w:cs="Times New Roman"/>
          <w:b w:val="0"/>
          <w:caps w:val="0"/>
          <w:sz w:val="24"/>
        </w:rPr>
        <w:tab/>
      </w:r>
      <w:r>
        <w:rPr>
          <w:rFonts w:ascii="Times New Roman" w:hAnsi="Times New Roman" w:cs="Times New Roman"/>
          <w:b w:val="0"/>
          <w:caps w:val="0"/>
          <w:sz w:val="24"/>
        </w:rPr>
        <w:fldChar w:fldCharType="begin"/>
      </w:r>
      <w:r>
        <w:rPr>
          <w:rFonts w:ascii="Times New Roman" w:hAnsi="Times New Roman" w:cs="Times New Roman"/>
          <w:b w:val="0"/>
          <w:caps w:val="0"/>
          <w:sz w:val="24"/>
        </w:rPr>
        <w:instrText xml:space="preserve"> PAGEREF _Toc135038287 \h </w:instrText>
      </w:r>
      <w:r>
        <w:rPr>
          <w:rFonts w:ascii="Times New Roman" w:hAnsi="Times New Roman" w:cs="Times New Roman"/>
          <w:b w:val="0"/>
          <w:caps w:val="0"/>
          <w:sz w:val="24"/>
        </w:rPr>
        <w:fldChar w:fldCharType="separate"/>
      </w:r>
      <w:r>
        <w:rPr>
          <w:rFonts w:ascii="Times New Roman" w:hAnsi="Times New Roman" w:cs="Times New Roman"/>
          <w:b w:val="0"/>
          <w:caps w:val="0"/>
          <w:sz w:val="24"/>
        </w:rPr>
        <w:t>56</w:t>
      </w:r>
      <w:r>
        <w:rPr>
          <w:rFonts w:ascii="Times New Roman" w:hAnsi="Times New Roman" w:cs="Times New Roman"/>
          <w:b w:val="0"/>
          <w:caps w:val="0"/>
          <w:sz w:val="24"/>
        </w:rPr>
        <w:fldChar w:fldCharType="end"/>
      </w:r>
      <w:r>
        <w:rPr>
          <w:rFonts w:ascii="Times New Roman" w:hAnsi="Times New Roman" w:cs="Times New Roman"/>
          <w:b w:val="0"/>
          <w:caps w:val="0"/>
          <w:sz w:val="24"/>
        </w:rPr>
        <w:fldChar w:fldCharType="end"/>
      </w:r>
    </w:p>
    <w:p>
      <w:pPr>
        <w:pStyle w:val="17"/>
        <w:tabs>
          <w:tab w:val="right" w:leader="dot" w:pos="8303"/>
        </w:tabs>
        <w:spacing w:before="0" w:after="0" w:line="300" w:lineRule="auto"/>
        <w:rPr>
          <w:rFonts w:eastAsiaTheme="minorEastAsia" w:cstheme="minorBidi"/>
          <w:b w:val="0"/>
          <w:bCs w:val="0"/>
          <w:caps w:val="0"/>
          <w:sz w:val="21"/>
          <w:szCs w:val="22"/>
        </w:rPr>
      </w:pPr>
      <w:r>
        <w:fldChar w:fldCharType="begin"/>
      </w:r>
      <w:r>
        <w:instrText xml:space="preserve"> HYPERLINK \l "_Toc135038288" </w:instrText>
      </w:r>
      <w:r>
        <w:fldChar w:fldCharType="separate"/>
      </w:r>
      <w:r>
        <w:rPr>
          <w:rStyle w:val="29"/>
          <w:rFonts w:ascii="Times New Roman" w:hAnsi="Times New Roman" w:cs="Times New Roman"/>
          <w:b w:val="0"/>
          <w:caps w:val="0"/>
          <w:sz w:val="24"/>
        </w:rPr>
        <w:t>Explanation of provisions</w:t>
      </w:r>
      <w:r>
        <w:rPr>
          <w:rFonts w:ascii="Times New Roman" w:hAnsi="Times New Roman" w:cs="Times New Roman"/>
          <w:b w:val="0"/>
          <w:caps w:val="0"/>
          <w:sz w:val="24"/>
        </w:rPr>
        <w:tab/>
      </w:r>
      <w:r>
        <w:rPr>
          <w:rFonts w:ascii="Times New Roman" w:hAnsi="Times New Roman" w:cs="Times New Roman"/>
          <w:b w:val="0"/>
          <w:caps w:val="0"/>
          <w:sz w:val="24"/>
        </w:rPr>
        <w:fldChar w:fldCharType="begin"/>
      </w:r>
      <w:r>
        <w:rPr>
          <w:rFonts w:ascii="Times New Roman" w:hAnsi="Times New Roman" w:cs="Times New Roman"/>
          <w:b w:val="0"/>
          <w:caps w:val="0"/>
          <w:sz w:val="24"/>
        </w:rPr>
        <w:instrText xml:space="preserve"> PAGEREF _Toc135038288 \h </w:instrText>
      </w:r>
      <w:r>
        <w:rPr>
          <w:rFonts w:ascii="Times New Roman" w:hAnsi="Times New Roman" w:cs="Times New Roman"/>
          <w:b w:val="0"/>
          <w:caps w:val="0"/>
          <w:sz w:val="24"/>
        </w:rPr>
        <w:fldChar w:fldCharType="separate"/>
      </w:r>
      <w:r>
        <w:rPr>
          <w:rFonts w:ascii="Times New Roman" w:hAnsi="Times New Roman" w:cs="Times New Roman"/>
          <w:b w:val="0"/>
          <w:caps w:val="0"/>
          <w:sz w:val="24"/>
        </w:rPr>
        <w:t>57</w:t>
      </w:r>
      <w:r>
        <w:rPr>
          <w:rFonts w:ascii="Times New Roman" w:hAnsi="Times New Roman" w:cs="Times New Roman"/>
          <w:b w:val="0"/>
          <w:caps w:val="0"/>
          <w:sz w:val="24"/>
        </w:rPr>
        <w:fldChar w:fldCharType="end"/>
      </w:r>
      <w:r>
        <w:rPr>
          <w:rFonts w:ascii="Times New Roman" w:hAnsi="Times New Roman" w:cs="Times New Roman"/>
          <w:b w:val="0"/>
          <w:caps w:val="0"/>
          <w:sz w:val="24"/>
        </w:rPr>
        <w:fldChar w:fldCharType="end"/>
      </w:r>
    </w:p>
    <w:p>
      <w:pPr>
        <w:tabs>
          <w:tab w:val="right" w:leader="dot" w:pos="8306"/>
        </w:tabs>
        <w:adjustRightInd w:val="0"/>
        <w:snapToGrid w:val="0"/>
        <w:spacing w:line="300" w:lineRule="auto"/>
        <w:jc w:val="left"/>
        <w:rPr>
          <w:bCs/>
          <w:sz w:val="22"/>
        </w:rPr>
      </w:pPr>
      <w:r>
        <w:rPr>
          <w:rFonts w:eastAsiaTheme="minorEastAsia"/>
          <w:color w:val="FF0000"/>
          <w:sz w:val="24"/>
          <w:szCs w:val="24"/>
        </w:rPr>
        <w:fldChar w:fldCharType="end"/>
      </w:r>
    </w:p>
    <w:p>
      <w:pPr>
        <w:tabs>
          <w:tab w:val="right" w:leader="dot" w:pos="8306"/>
        </w:tabs>
        <w:spacing w:line="400" w:lineRule="exact"/>
        <w:jc w:val="center"/>
        <w:rPr>
          <w:bCs/>
        </w:rPr>
        <w:sectPr>
          <w:headerReference r:id="rId7" w:type="default"/>
          <w:footerReference r:id="rId8" w:type="default"/>
          <w:pgSz w:w="11907" w:h="16840"/>
          <w:pgMar w:top="1440" w:right="1797" w:bottom="1440" w:left="1797" w:header="720" w:footer="720" w:gutter="0"/>
          <w:cols w:space="720" w:num="1"/>
        </w:sectPr>
      </w:pPr>
    </w:p>
    <w:p>
      <w:pPr>
        <w:keepNext/>
        <w:keepLines/>
        <w:spacing w:before="240" w:beforeLines="100" w:after="120" w:afterLines="50" w:line="400" w:lineRule="exact"/>
        <w:jc w:val="center"/>
        <w:outlineLvl w:val="0"/>
        <w:rPr>
          <w:b/>
          <w:kern w:val="44"/>
          <w:sz w:val="28"/>
          <w:szCs w:val="28"/>
        </w:rPr>
      </w:pPr>
      <w:bookmarkStart w:id="29" w:name="_Toc120020271"/>
      <w:r>
        <w:rPr>
          <w:b/>
          <w:kern w:val="44"/>
          <w:sz w:val="28"/>
          <w:szCs w:val="28"/>
        </w:rPr>
        <w:t>1  总    则</w:t>
      </w:r>
      <w:bookmarkEnd w:id="29"/>
      <w:r>
        <w:rPr>
          <w:b/>
          <w:kern w:val="44"/>
          <w:sz w:val="30"/>
          <w:szCs w:val="30"/>
        </w:rPr>
        <w:fldChar w:fldCharType="begin"/>
      </w:r>
      <w:r>
        <w:rPr>
          <w:b/>
          <w:kern w:val="44"/>
          <w:sz w:val="30"/>
          <w:szCs w:val="30"/>
        </w:rPr>
        <w:instrText xml:space="preserve"> TC  "</w:instrText>
      </w:r>
      <w:bookmarkStart w:id="30" w:name="_Toc108470215"/>
      <w:bookmarkStart w:id="31" w:name="_Toc135038255"/>
      <w:r>
        <w:rPr>
          <w:b/>
          <w:kern w:val="44"/>
          <w:sz w:val="30"/>
          <w:szCs w:val="30"/>
        </w:rPr>
        <w:instrText xml:space="preserve">1  General provisions</w:instrText>
      </w:r>
      <w:bookmarkEnd w:id="30"/>
      <w:bookmarkEnd w:id="31"/>
      <w:r>
        <w:rPr>
          <w:b/>
          <w:kern w:val="44"/>
          <w:sz w:val="30"/>
          <w:szCs w:val="30"/>
        </w:rPr>
        <w:instrText xml:space="preserve">" \l </w:instrText>
      </w:r>
      <w:r>
        <w:rPr>
          <w:b/>
          <w:kern w:val="44"/>
          <w:sz w:val="30"/>
          <w:szCs w:val="30"/>
        </w:rPr>
        <w:fldChar w:fldCharType="end"/>
      </w:r>
    </w:p>
    <w:p>
      <w:pPr>
        <w:spacing w:line="360" w:lineRule="auto"/>
        <w:rPr>
          <w:bCs/>
          <w:sz w:val="24"/>
          <w:szCs w:val="24"/>
        </w:rPr>
      </w:pPr>
      <w:r>
        <w:rPr>
          <w:b/>
          <w:bCs/>
          <w:sz w:val="24"/>
          <w:szCs w:val="24"/>
        </w:rPr>
        <w:t xml:space="preserve">1.0.1  </w:t>
      </w:r>
      <w:r>
        <w:rPr>
          <w:sz w:val="24"/>
          <w:szCs w:val="24"/>
        </w:rPr>
        <w:t>为规范装配式混凝土结构检测工作，合理选择检测方法，保证检测质量，制定本标准</w:t>
      </w:r>
      <w:r>
        <w:rPr>
          <w:bCs/>
          <w:sz w:val="24"/>
          <w:szCs w:val="24"/>
        </w:rPr>
        <w:t>。</w:t>
      </w:r>
    </w:p>
    <w:p>
      <w:pPr>
        <w:spacing w:line="360" w:lineRule="auto"/>
        <w:rPr>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1.0.2  </w:t>
      </w:r>
      <w:r>
        <w:rPr>
          <w:bCs/>
          <w:color w:val="000000" w:themeColor="text1"/>
          <w:sz w:val="24"/>
          <w:szCs w:val="24"/>
          <w14:textFill>
            <w14:solidFill>
              <w14:schemeClr w14:val="tx1"/>
            </w14:solidFill>
          </w14:textFill>
        </w:rPr>
        <w:t>本标准适用于北京</w:t>
      </w:r>
      <w:r>
        <w:rPr>
          <w:rFonts w:hint="eastAsia"/>
          <w:bCs/>
          <w:color w:val="000000" w:themeColor="text1"/>
          <w:sz w:val="24"/>
          <w:szCs w:val="24"/>
          <w14:textFill>
            <w14:solidFill>
              <w14:schemeClr w14:val="tx1"/>
            </w14:solidFill>
          </w14:textFill>
        </w:rPr>
        <w:t>市</w:t>
      </w:r>
      <w:r>
        <w:rPr>
          <w:bCs/>
          <w:color w:val="000000" w:themeColor="text1"/>
          <w:sz w:val="24"/>
          <w:szCs w:val="24"/>
          <w14:textFill>
            <w14:solidFill>
              <w14:schemeClr w14:val="tx1"/>
            </w14:solidFill>
          </w14:textFill>
        </w:rPr>
        <w:t>行政区域内装配式混凝土结构工程用预制构件和结构实体的检测。</w:t>
      </w:r>
    </w:p>
    <w:p>
      <w:pPr>
        <w:spacing w:line="360" w:lineRule="auto"/>
        <w:rPr>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1.0.3  </w:t>
      </w:r>
      <w:r>
        <w:rPr>
          <w:bCs/>
          <w:color w:val="000000" w:themeColor="text1"/>
          <w:sz w:val="24"/>
          <w:szCs w:val="24"/>
          <w14:textFill>
            <w14:solidFill>
              <w14:schemeClr w14:val="tx1"/>
            </w14:solidFill>
          </w14:textFill>
        </w:rPr>
        <w:t>装配式混凝土结构检测除应符合本标准的规定外，尚应符合国家和北京市现行相关标准的规定。</w:t>
      </w:r>
    </w:p>
    <w:p>
      <w:pPr>
        <w:keepNext/>
        <w:keepLines/>
        <w:spacing w:before="240" w:beforeLines="100" w:after="120" w:afterLines="50" w:line="400" w:lineRule="exact"/>
        <w:jc w:val="center"/>
        <w:outlineLvl w:val="0"/>
        <w:rPr>
          <w:b/>
          <w:kern w:val="44"/>
          <w:sz w:val="28"/>
          <w:szCs w:val="28"/>
        </w:rPr>
      </w:pPr>
      <w:r>
        <w:rPr>
          <w:rFonts w:eastAsia="黑体"/>
          <w:b/>
          <w:bCs/>
          <w:sz w:val="24"/>
          <w:szCs w:val="24"/>
        </w:rPr>
        <w:br w:type="page"/>
      </w:r>
      <w:bookmarkStart w:id="32" w:name="_Toc120020272"/>
      <w:r>
        <w:rPr>
          <w:b/>
          <w:kern w:val="44"/>
          <w:sz w:val="28"/>
          <w:szCs w:val="28"/>
        </w:rPr>
        <w:t>2  术语和符号</w:t>
      </w:r>
      <w:bookmarkEnd w:id="32"/>
      <w:r>
        <w:rPr>
          <w:b/>
          <w:kern w:val="44"/>
          <w:sz w:val="30"/>
          <w:szCs w:val="30"/>
        </w:rPr>
        <w:fldChar w:fldCharType="begin"/>
      </w:r>
      <w:r>
        <w:rPr>
          <w:b/>
          <w:kern w:val="44"/>
          <w:sz w:val="30"/>
          <w:szCs w:val="30"/>
        </w:rPr>
        <w:instrText xml:space="preserve"> TC  "</w:instrText>
      </w:r>
      <w:bookmarkStart w:id="33" w:name="_Toc108470216"/>
      <w:bookmarkStart w:id="34" w:name="_Toc135038256"/>
      <w:r>
        <w:rPr>
          <w:b/>
          <w:kern w:val="44"/>
          <w:sz w:val="30"/>
          <w:szCs w:val="30"/>
        </w:rPr>
        <w:instrText xml:space="preserve">2  Terms and symbols</w:instrText>
      </w:r>
      <w:bookmarkEnd w:id="33"/>
      <w:bookmarkEnd w:id="34"/>
      <w:r>
        <w:rPr>
          <w:b/>
          <w:kern w:val="44"/>
          <w:sz w:val="30"/>
          <w:szCs w:val="30"/>
        </w:rPr>
        <w:instrText xml:space="preserve">" \l 1 </w:instrText>
      </w:r>
      <w:r>
        <w:rPr>
          <w:b/>
          <w:kern w:val="44"/>
          <w:sz w:val="30"/>
          <w:szCs w:val="30"/>
        </w:rPr>
        <w:fldChar w:fldCharType="end"/>
      </w:r>
    </w:p>
    <w:p>
      <w:pPr>
        <w:keepNext/>
        <w:keepLines/>
        <w:spacing w:before="120" w:beforeLines="50" w:after="120" w:afterLines="50" w:line="400" w:lineRule="exact"/>
        <w:jc w:val="center"/>
        <w:outlineLvl w:val="1"/>
        <w:rPr>
          <w:b/>
          <w:kern w:val="0"/>
          <w:sz w:val="24"/>
          <w:szCs w:val="24"/>
        </w:rPr>
      </w:pPr>
      <w:bookmarkStart w:id="35" w:name="_Toc120020273"/>
      <w:r>
        <w:rPr>
          <w:b/>
          <w:kern w:val="0"/>
          <w:sz w:val="24"/>
          <w:szCs w:val="24"/>
        </w:rPr>
        <w:t>2.1  术语</w:t>
      </w:r>
      <w:bookmarkEnd w:id="35"/>
      <w:r>
        <w:rPr>
          <w:b/>
          <w:sz w:val="24"/>
          <w:szCs w:val="24"/>
        </w:rPr>
        <w:fldChar w:fldCharType="begin"/>
      </w:r>
      <w:r>
        <w:rPr>
          <w:b/>
          <w:sz w:val="24"/>
          <w:szCs w:val="24"/>
        </w:rPr>
        <w:instrText xml:space="preserve"> TC  "</w:instrText>
      </w:r>
      <w:bookmarkStart w:id="36" w:name="_Toc135038257"/>
      <w:bookmarkStart w:id="37" w:name="_Toc108470217"/>
      <w:r>
        <w:rPr>
          <w:b/>
          <w:sz w:val="24"/>
          <w:szCs w:val="24"/>
        </w:rPr>
        <w:instrText xml:space="preserve">2.1  Terms</w:instrText>
      </w:r>
      <w:bookmarkEnd w:id="36"/>
      <w:bookmarkEnd w:id="37"/>
      <w:r>
        <w:rPr>
          <w:b/>
          <w:sz w:val="24"/>
          <w:szCs w:val="24"/>
        </w:rPr>
        <w:instrText xml:space="preserve">" \l 2 </w:instrText>
      </w:r>
      <w:r>
        <w:rPr>
          <w:b/>
          <w:sz w:val="24"/>
          <w:szCs w:val="24"/>
        </w:rPr>
        <w:fldChar w:fldCharType="end"/>
      </w:r>
    </w:p>
    <w:p>
      <w:pPr>
        <w:spacing w:line="360" w:lineRule="auto"/>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2.1.1  </w:t>
      </w:r>
      <w:r>
        <w:rPr>
          <w:color w:val="000000" w:themeColor="text1"/>
          <w:sz w:val="24"/>
          <w:szCs w:val="24"/>
          <w14:textFill>
            <w14:solidFill>
              <w14:schemeClr w14:val="tx1"/>
            </w14:solidFill>
          </w14:textFill>
        </w:rPr>
        <w:t>装配式混凝土结构检测 inspection of precast concrete structure</w:t>
      </w:r>
    </w:p>
    <w:p>
      <w:pPr>
        <w:pStyle w:val="72"/>
        <w:adjustRightInd/>
        <w:snapToGrid/>
        <w:spacing w:line="360" w:lineRule="auto"/>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为评定</w:t>
      </w:r>
      <w:r>
        <w:rPr>
          <w:bCs/>
          <w:color w:val="000000" w:themeColor="text1"/>
          <w:sz w:val="24"/>
          <w:szCs w:val="24"/>
          <w14:textFill>
            <w14:solidFill>
              <w14:schemeClr w14:val="tx1"/>
            </w14:solidFill>
          </w14:textFill>
        </w:rPr>
        <w:t>装配式混凝土</w:t>
      </w:r>
      <w:r>
        <w:rPr>
          <w:color w:val="000000" w:themeColor="text1"/>
          <w:sz w:val="24"/>
          <w:szCs w:val="24"/>
          <w14:textFill>
            <w14:solidFill>
              <w14:schemeClr w14:val="tx1"/>
            </w14:solidFill>
          </w14:textFill>
        </w:rPr>
        <w:t>结构工程质量或既有装配式混凝土结构性能等所实施的检测。</w:t>
      </w:r>
    </w:p>
    <w:p>
      <w:pPr>
        <w:autoSpaceDE w:val="0"/>
        <w:autoSpaceDN w:val="0"/>
        <w:spacing w:line="360" w:lineRule="auto"/>
        <w:jc w:val="left"/>
        <w:rPr>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2.1.2  </w:t>
      </w:r>
      <w:r>
        <w:rPr>
          <w:rFonts w:hint="eastAsia"/>
          <w:bCs/>
          <w:color w:val="000000" w:themeColor="text1"/>
          <w:sz w:val="24"/>
          <w:szCs w:val="24"/>
          <w14:textFill>
            <w14:solidFill>
              <w14:schemeClr w14:val="tx1"/>
            </w14:solidFill>
          </w14:textFill>
        </w:rPr>
        <w:t>粗糙面</w:t>
      </w:r>
      <w:r>
        <w:rPr>
          <w:bCs/>
          <w:color w:val="000000" w:themeColor="text1"/>
          <w:sz w:val="24"/>
          <w:szCs w:val="24"/>
          <w14:textFill>
            <w14:solidFill>
              <w14:schemeClr w14:val="tx1"/>
            </w14:solidFill>
          </w14:textFill>
        </w:rPr>
        <w:t xml:space="preserve"> rough surface </w:t>
      </w:r>
    </w:p>
    <w:p>
      <w:pPr>
        <w:pStyle w:val="72"/>
        <w:adjustRightInd/>
        <w:snapToGrid/>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采用特殊的工具或工艺形成预制构件混凝土凹凸不平或骨料显露的表面，可实现预制构件和后浇筑混凝土的可靠结合。（DB11/T 1030-2021）</w:t>
      </w:r>
    </w:p>
    <w:p>
      <w:pPr>
        <w:autoSpaceDE w:val="0"/>
        <w:autoSpaceDN w:val="0"/>
        <w:spacing w:line="360" w:lineRule="auto"/>
        <w:jc w:val="left"/>
        <w:rPr>
          <w:bCs/>
          <w:sz w:val="24"/>
          <w:szCs w:val="24"/>
        </w:rPr>
      </w:pPr>
      <w:r>
        <w:rPr>
          <w:b/>
          <w:bCs/>
          <w:sz w:val="24"/>
          <w:szCs w:val="24"/>
        </w:rPr>
        <w:t xml:space="preserve">2.1.3  </w:t>
      </w:r>
      <w:r>
        <w:rPr>
          <w:bCs/>
          <w:sz w:val="24"/>
          <w:szCs w:val="24"/>
        </w:rPr>
        <w:t>粗糙面凹凸深度 relative depth of rough surface</w:t>
      </w:r>
    </w:p>
    <w:p>
      <w:pPr>
        <w:pStyle w:val="72"/>
        <w:adjustRightInd/>
        <w:snapToGrid/>
        <w:spacing w:line="360" w:lineRule="auto"/>
        <w:ind w:firstLine="480"/>
        <w:rPr>
          <w:bCs/>
          <w:sz w:val="24"/>
          <w:szCs w:val="24"/>
        </w:rPr>
      </w:pPr>
      <w:r>
        <w:rPr>
          <w:bCs/>
          <w:sz w:val="24"/>
          <w:szCs w:val="24"/>
        </w:rPr>
        <w:t>一定区域范围内粗糙面最高点与最低点的高度差。</w:t>
      </w:r>
    </w:p>
    <w:p>
      <w:pPr>
        <w:spacing w:line="360" w:lineRule="auto"/>
        <w:rPr>
          <w:color w:val="FF0000"/>
          <w:sz w:val="24"/>
          <w:szCs w:val="24"/>
        </w:rPr>
      </w:pPr>
      <w:r>
        <w:rPr>
          <w:b/>
          <w:sz w:val="24"/>
          <w:szCs w:val="24"/>
        </w:rPr>
        <w:t xml:space="preserve">2.1.4  </w:t>
      </w:r>
      <w:r>
        <w:rPr>
          <w:bCs/>
          <w:sz w:val="24"/>
          <w:szCs w:val="24"/>
        </w:rPr>
        <w:t>结合面正拉粘结强度 normal tensile bond strength of joint surface</w:t>
      </w:r>
    </w:p>
    <w:p>
      <w:pPr>
        <w:pStyle w:val="72"/>
        <w:adjustRightInd/>
        <w:snapToGrid/>
        <w:spacing w:line="360" w:lineRule="auto"/>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垂直于混凝土</w:t>
      </w:r>
      <w:r>
        <w:rPr>
          <w:bCs/>
          <w:sz w:val="24"/>
          <w:szCs w:val="24"/>
        </w:rPr>
        <w:t>结合面</w:t>
      </w:r>
      <w:r>
        <w:rPr>
          <w:color w:val="000000" w:themeColor="text1"/>
          <w:sz w:val="24"/>
          <w:szCs w:val="24"/>
          <w14:textFill>
            <w14:solidFill>
              <w14:schemeClr w14:val="tx1"/>
            </w14:solidFill>
          </w14:textFill>
        </w:rPr>
        <w:t>施加外拉荷载，以极限荷载与</w:t>
      </w:r>
      <w:r>
        <w:rPr>
          <w:bCs/>
          <w:sz w:val="24"/>
          <w:szCs w:val="24"/>
        </w:rPr>
        <w:t>结合面</w:t>
      </w:r>
      <w:r>
        <w:rPr>
          <w:color w:val="000000" w:themeColor="text1"/>
          <w:sz w:val="24"/>
          <w:szCs w:val="24"/>
          <w14:textFill>
            <w14:solidFill>
              <w14:schemeClr w14:val="tx1"/>
            </w14:solidFill>
          </w14:textFill>
        </w:rPr>
        <w:t>破断面积之比计算的</w:t>
      </w:r>
      <w:r>
        <w:rPr>
          <w:bCs/>
          <w:sz w:val="24"/>
          <w:szCs w:val="24"/>
        </w:rPr>
        <w:t>结合面混凝土</w:t>
      </w:r>
      <w:r>
        <w:rPr>
          <w:color w:val="000000" w:themeColor="text1"/>
          <w:sz w:val="24"/>
          <w:szCs w:val="24"/>
          <w14:textFill>
            <w14:solidFill>
              <w14:schemeClr w14:val="tx1"/>
            </w14:solidFill>
          </w14:textFill>
        </w:rPr>
        <w:t>抗拉强度。</w:t>
      </w:r>
    </w:p>
    <w:p>
      <w:pPr>
        <w:spacing w:line="360" w:lineRule="auto"/>
        <w:rPr>
          <w:sz w:val="24"/>
          <w:szCs w:val="24"/>
        </w:rPr>
      </w:pPr>
      <w:r>
        <w:rPr>
          <w:b/>
          <w:sz w:val="24"/>
          <w:szCs w:val="24"/>
        </w:rPr>
        <w:t xml:space="preserve">2.1.5  </w:t>
      </w:r>
      <w:r>
        <w:rPr>
          <w:sz w:val="24"/>
          <w:szCs w:val="24"/>
        </w:rPr>
        <w:t>灌浆饱满度 grouting plumpness</w:t>
      </w:r>
    </w:p>
    <w:p>
      <w:pPr>
        <w:pStyle w:val="72"/>
        <w:adjustRightInd/>
        <w:snapToGrid/>
        <w:spacing w:line="360" w:lineRule="auto"/>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采用钢筋套筒灌浆连接时，灌浆结束并稳定后，套筒内部灌浆料顶部界面相对</w:t>
      </w:r>
      <w:r>
        <w:rPr>
          <w:rFonts w:hint="eastAsia"/>
          <w:color w:val="000000" w:themeColor="text1"/>
          <w:sz w:val="24"/>
          <w:szCs w:val="24"/>
          <w14:textFill>
            <w14:solidFill>
              <w14:schemeClr w14:val="tx1"/>
            </w14:solidFill>
          </w14:textFill>
        </w:rPr>
        <w:t>出浆孔位置</w:t>
      </w:r>
      <w:r>
        <w:rPr>
          <w:color w:val="000000" w:themeColor="text1"/>
          <w:sz w:val="24"/>
          <w:szCs w:val="24"/>
          <w14:textFill>
            <w14:solidFill>
              <w14:schemeClr w14:val="tx1"/>
            </w14:solidFill>
          </w14:textFill>
        </w:rPr>
        <w:t>的状态。</w:t>
      </w:r>
    </w:p>
    <w:p>
      <w:pPr>
        <w:spacing w:line="360" w:lineRule="auto"/>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2.1.6  </w:t>
      </w:r>
      <w:r>
        <w:rPr>
          <w:color w:val="000000" w:themeColor="text1"/>
          <w:sz w:val="24"/>
          <w:szCs w:val="24"/>
          <w14:textFill>
            <w14:solidFill>
              <w14:schemeClr w14:val="tx1"/>
            </w14:solidFill>
          </w14:textFill>
        </w:rPr>
        <w:t>灌浆料实体强度 entitative strength of grouting material</w:t>
      </w:r>
    </w:p>
    <w:p>
      <w:pPr>
        <w:pStyle w:val="72"/>
        <w:adjustRightInd/>
        <w:snapToGrid/>
        <w:spacing w:line="360" w:lineRule="auto"/>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灌浆料凝固硬化达到</w:t>
      </w:r>
      <w:r>
        <w:rPr>
          <w:rFonts w:hint="eastAsia"/>
          <w:color w:val="000000" w:themeColor="text1"/>
          <w:sz w:val="24"/>
          <w:szCs w:val="24"/>
          <w14:textFill>
            <w14:solidFill>
              <w14:schemeClr w14:val="tx1"/>
            </w14:solidFill>
          </w14:textFill>
        </w:rPr>
        <w:t>规定</w:t>
      </w:r>
      <w:r>
        <w:rPr>
          <w:color w:val="000000" w:themeColor="text1"/>
          <w:sz w:val="24"/>
          <w:szCs w:val="24"/>
          <w14:textFill>
            <w14:solidFill>
              <w14:schemeClr w14:val="tx1"/>
            </w14:solidFill>
          </w14:textFill>
        </w:rPr>
        <w:t>龄期后，在结构实体上抽样检测得到的灌浆料抗压强度。</w:t>
      </w:r>
    </w:p>
    <w:p>
      <w:pPr>
        <w:spacing w:line="360" w:lineRule="auto"/>
        <w:rPr>
          <w:sz w:val="24"/>
          <w:szCs w:val="24"/>
        </w:rPr>
      </w:pPr>
      <w:r>
        <w:rPr>
          <w:b/>
          <w:sz w:val="24"/>
          <w:szCs w:val="24"/>
        </w:rPr>
        <w:t xml:space="preserve">2.1.7  </w:t>
      </w:r>
      <w:r>
        <w:rPr>
          <w:sz w:val="24"/>
          <w:szCs w:val="24"/>
        </w:rPr>
        <w:t>测深尺法 method of measuring depth with probe ruler</w:t>
      </w:r>
    </w:p>
    <w:p>
      <w:pPr>
        <w:pStyle w:val="72"/>
        <w:adjustRightInd/>
        <w:snapToGrid/>
        <w:spacing w:line="360" w:lineRule="auto"/>
        <w:ind w:firstLine="480"/>
        <w:rPr>
          <w:b/>
          <w:color w:val="000000" w:themeColor="text1"/>
          <w:sz w:val="24"/>
          <w:szCs w:val="24"/>
          <w14:textFill>
            <w14:solidFill>
              <w14:schemeClr w14:val="tx1"/>
            </w14:solidFill>
          </w14:textFill>
        </w:rPr>
      </w:pPr>
      <w:r>
        <w:rPr>
          <w:rFonts w:eastAsiaTheme="minorEastAsia"/>
          <w:color w:val="000000" w:themeColor="text1"/>
          <w:sz w:val="24"/>
          <w:szCs w:val="24"/>
          <w14:textFill>
            <w14:solidFill>
              <w14:schemeClr w14:val="tx1"/>
            </w14:solidFill>
          </w14:textFill>
        </w:rPr>
        <w:t>将基准板</w:t>
      </w:r>
      <w:r>
        <w:rPr>
          <w:color w:val="000000" w:themeColor="text1"/>
          <w:sz w:val="24"/>
          <w:szCs w:val="24"/>
          <w14:textFill>
            <w14:solidFill>
              <w14:schemeClr w14:val="tx1"/>
            </w14:solidFill>
          </w14:textFill>
        </w:rPr>
        <w:t>紧贴预制构件粗糙面</w:t>
      </w:r>
      <w:r>
        <w:rPr>
          <w:rFonts w:eastAsiaTheme="minorEastAsia"/>
          <w:color w:val="000000" w:themeColor="text1"/>
          <w:sz w:val="24"/>
          <w:szCs w:val="24"/>
          <w14:textFill>
            <w14:solidFill>
              <w14:schemeClr w14:val="tx1"/>
            </w14:solidFill>
          </w14:textFill>
        </w:rPr>
        <w:t>，采用测深尺穿过测试孔抵触粗糙面的底部并获取凹凸深度的方法。</w:t>
      </w:r>
    </w:p>
    <w:p>
      <w:pPr>
        <w:spacing w:line="360" w:lineRule="auto"/>
        <w:rPr>
          <w:sz w:val="24"/>
          <w:szCs w:val="24"/>
        </w:rPr>
      </w:pPr>
      <w:r>
        <w:rPr>
          <w:b/>
          <w:sz w:val="24"/>
          <w:szCs w:val="24"/>
        </w:rPr>
        <w:t xml:space="preserve">2.1.8  </w:t>
      </w:r>
      <w:r>
        <w:rPr>
          <w:sz w:val="24"/>
          <w:szCs w:val="24"/>
        </w:rPr>
        <w:t>三维扫描法 three dimensional scanning method</w:t>
      </w:r>
    </w:p>
    <w:p>
      <w:pPr>
        <w:pStyle w:val="72"/>
        <w:adjustRightInd/>
        <w:snapToGrid/>
        <w:spacing w:line="360" w:lineRule="auto"/>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通过激光扫描预制构件粗糙面的空间形态并形成点云数据，对数据进行分析计算</w:t>
      </w:r>
      <w:r>
        <w:rPr>
          <w:rFonts w:eastAsiaTheme="minorEastAsia"/>
          <w:color w:val="000000" w:themeColor="text1"/>
          <w:sz w:val="24"/>
          <w:szCs w:val="24"/>
          <w14:textFill>
            <w14:solidFill>
              <w14:schemeClr w14:val="tx1"/>
            </w14:solidFill>
          </w14:textFill>
        </w:rPr>
        <w:t>凹凸深度的方法。</w:t>
      </w:r>
    </w:p>
    <w:p>
      <w:pPr>
        <w:pStyle w:val="72"/>
        <w:adjustRightInd/>
        <w:snapToGrid/>
        <w:spacing w:line="360" w:lineRule="auto"/>
        <w:ind w:firstLine="0" w:firstLineChars="0"/>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2.1.9  </w:t>
      </w:r>
      <w:r>
        <w:rPr>
          <w:color w:val="000000" w:themeColor="text1"/>
          <w:sz w:val="24"/>
          <w:szCs w:val="24"/>
          <w14:textFill>
            <w14:solidFill>
              <w14:schemeClr w14:val="tx1"/>
            </w14:solidFill>
          </w14:textFill>
        </w:rPr>
        <w:t>钻孔内窥法 endoscopy method by drilling hole</w:t>
      </w:r>
    </w:p>
    <w:p>
      <w:pPr>
        <w:pStyle w:val="72"/>
        <w:adjustRightInd/>
        <w:snapToGrid/>
        <w:spacing w:line="360" w:lineRule="auto"/>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在出浆孔道、灌浆孔道或套筒壁钻孔形成检测通道，采用内窥镜检测判定灌浆饱满度或钢筋插入情况的方法。</w:t>
      </w:r>
    </w:p>
    <w:p>
      <w:pPr>
        <w:spacing w:line="360" w:lineRule="auto"/>
        <w:rPr>
          <w:sz w:val="24"/>
          <w:szCs w:val="24"/>
        </w:rPr>
      </w:pPr>
      <w:r>
        <w:rPr>
          <w:b/>
          <w:sz w:val="24"/>
          <w:szCs w:val="24"/>
        </w:rPr>
        <w:t xml:space="preserve">2.1.10  </w:t>
      </w:r>
      <w:r>
        <w:rPr>
          <w:sz w:val="24"/>
          <w:szCs w:val="24"/>
        </w:rPr>
        <w:t xml:space="preserve">阵列超声法 array ultrasonic method </w:t>
      </w:r>
    </w:p>
    <w:p>
      <w:pPr>
        <w:pStyle w:val="72"/>
        <w:adjustRightInd/>
        <w:snapToGrid/>
        <w:spacing w:line="360" w:lineRule="auto"/>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通过阵列式排布的超声探头实现超声波的发射与接收，采用合成孔径聚焦技术实时显示检测结果，识别混凝土内部缺陷的方法。</w:t>
      </w:r>
    </w:p>
    <w:p>
      <w:pPr>
        <w:spacing w:line="360" w:lineRule="auto"/>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2.1.11  </w:t>
      </w:r>
      <w:r>
        <w:rPr>
          <w:color w:val="000000" w:themeColor="text1"/>
          <w:sz w:val="24"/>
          <w:szCs w:val="24"/>
          <w14:textFill>
            <w14:solidFill>
              <w14:schemeClr w14:val="tx1"/>
            </w14:solidFill>
          </w14:textFill>
        </w:rPr>
        <w:t>X射线成像法 X-ray radiography method</w:t>
      </w:r>
    </w:p>
    <w:p>
      <w:pPr>
        <w:pStyle w:val="72"/>
        <w:adjustRightInd/>
        <w:snapToGrid/>
        <w:spacing w:line="360" w:lineRule="auto"/>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采用X射线透照混凝土构件，通过数字平板探测器或胶片接收X射线并成像，基于图像差异识别套筒内部灌浆缺陷或插入钢筋轮廓的方法。</w:t>
      </w:r>
    </w:p>
    <w:p>
      <w:pPr>
        <w:keepNext/>
        <w:keepLines/>
        <w:spacing w:before="120" w:beforeLines="50" w:after="120" w:afterLines="50" w:line="400" w:lineRule="exact"/>
        <w:jc w:val="center"/>
        <w:outlineLvl w:val="1"/>
        <w:rPr>
          <w:b/>
          <w:kern w:val="0"/>
          <w:sz w:val="24"/>
          <w:szCs w:val="24"/>
        </w:rPr>
      </w:pPr>
      <w:bookmarkStart w:id="38" w:name="_Toc120020274"/>
      <w:r>
        <w:rPr>
          <w:b/>
          <w:kern w:val="0"/>
          <w:sz w:val="24"/>
          <w:szCs w:val="24"/>
        </w:rPr>
        <w:t>2.2  符号</w:t>
      </w:r>
      <w:bookmarkEnd w:id="38"/>
      <w:r>
        <w:rPr>
          <w:rFonts w:eastAsia="黑体"/>
          <w:b/>
          <w:kern w:val="0"/>
          <w:sz w:val="28"/>
        </w:rPr>
        <w:fldChar w:fldCharType="begin"/>
      </w:r>
      <w:r>
        <w:rPr>
          <w:rFonts w:eastAsia="黑体"/>
          <w:b/>
          <w:kern w:val="0"/>
          <w:sz w:val="28"/>
        </w:rPr>
        <w:instrText xml:space="preserve"> TC  "</w:instrText>
      </w:r>
      <w:bookmarkStart w:id="39" w:name="_Toc108470218"/>
      <w:bookmarkStart w:id="40" w:name="_Toc135038258"/>
      <w:r>
        <w:rPr>
          <w:rFonts w:eastAsia="黑体"/>
          <w:b/>
          <w:kern w:val="0"/>
          <w:sz w:val="28"/>
        </w:rPr>
        <w:instrText xml:space="preserve">2.2  Symbols</w:instrText>
      </w:r>
      <w:bookmarkEnd w:id="39"/>
      <w:bookmarkEnd w:id="40"/>
      <w:r>
        <w:rPr>
          <w:rFonts w:eastAsia="黑体"/>
          <w:b/>
          <w:kern w:val="0"/>
          <w:sz w:val="28"/>
        </w:rPr>
        <w:instrText xml:space="preserve">" \l 2 </w:instrText>
      </w:r>
      <w:r>
        <w:rPr>
          <w:rFonts w:eastAsia="黑体"/>
          <w:b/>
          <w:kern w:val="0"/>
          <w:sz w:val="28"/>
        </w:rPr>
        <w:fldChar w:fldCharType="end"/>
      </w:r>
    </w:p>
    <w:p>
      <w:pPr>
        <w:spacing w:line="300" w:lineRule="auto"/>
        <w:rPr>
          <w:b/>
          <w:bCs/>
          <w:sz w:val="24"/>
          <w:szCs w:val="24"/>
        </w:rPr>
      </w:pPr>
      <w:r>
        <w:rPr>
          <w:b/>
          <w:bCs/>
          <w:sz w:val="24"/>
          <w:szCs w:val="24"/>
        </w:rPr>
        <w:t xml:space="preserve">2.2.1  </w:t>
      </w:r>
      <w:r>
        <w:rPr>
          <w:bCs/>
          <w:sz w:val="24"/>
          <w:szCs w:val="24"/>
        </w:rPr>
        <w:t>几何参数</w:t>
      </w:r>
    </w:p>
    <w:p>
      <w:pPr>
        <w:spacing w:line="300" w:lineRule="auto"/>
        <w:ind w:firstLine="480" w:firstLineChars="200"/>
        <w:rPr>
          <w:sz w:val="24"/>
          <w:szCs w:val="24"/>
        </w:rPr>
      </w:pPr>
      <w:r>
        <w:rPr>
          <w:i/>
          <w:iCs/>
          <w:color w:val="000000" w:themeColor="text1"/>
          <w:sz w:val="24"/>
          <w:szCs w:val="24"/>
          <w14:textFill>
            <w14:solidFill>
              <w14:schemeClr w14:val="tx1"/>
            </w14:solidFill>
          </w14:textFill>
        </w:rPr>
        <w:t>A</w:t>
      </w:r>
      <w:r>
        <w:rPr>
          <w:bCs/>
          <w:sz w:val="24"/>
          <w:szCs w:val="24"/>
        </w:rPr>
        <w:t>——</w:t>
      </w:r>
      <w:r>
        <w:rPr>
          <w:sz w:val="24"/>
          <w:szCs w:val="24"/>
        </w:rPr>
        <w:t>测量区域的结合面面积；</w:t>
      </w:r>
    </w:p>
    <w:p>
      <w:pPr>
        <w:tabs>
          <w:tab w:val="left" w:pos="0"/>
          <w:tab w:val="left" w:pos="840"/>
        </w:tabs>
        <w:adjustRightInd w:val="0"/>
        <w:snapToGrid w:val="0"/>
        <w:spacing w:line="300" w:lineRule="auto"/>
        <w:ind w:firstLine="480" w:firstLineChars="200"/>
        <w:rPr>
          <w:color w:val="000000" w:themeColor="text1"/>
          <w:sz w:val="24"/>
          <w:szCs w:val="24"/>
          <w14:textFill>
            <w14:solidFill>
              <w14:schemeClr w14:val="tx1"/>
            </w14:solidFill>
          </w14:textFill>
        </w:rPr>
      </w:pPr>
      <w:r>
        <w:rPr>
          <w:i/>
          <w:iCs/>
          <w:color w:val="000000" w:themeColor="text1"/>
          <w:sz w:val="24"/>
          <w:szCs w:val="24"/>
          <w14:textFill>
            <w14:solidFill>
              <w14:schemeClr w14:val="tx1"/>
            </w14:solidFill>
          </w14:textFill>
        </w:rPr>
        <w:t>A</w:t>
      </w:r>
      <w:r>
        <w:rPr>
          <w:iCs/>
          <w:color w:val="000000" w:themeColor="text1"/>
          <w:sz w:val="24"/>
          <w:szCs w:val="24"/>
          <w:vertAlign w:val="subscript"/>
          <w14:textFill>
            <w14:solidFill>
              <w14:schemeClr w14:val="tx1"/>
            </w14:solidFill>
          </w14:textFill>
        </w:rPr>
        <w:t>c</w:t>
      </w:r>
      <w:r>
        <w:rPr>
          <w:color w:val="000000" w:themeColor="text1"/>
          <w:sz w:val="24"/>
          <w:szCs w:val="24"/>
          <w14:textFill>
            <w14:solidFill>
              <w14:schemeClr w14:val="tx1"/>
            </w14:solidFill>
          </w14:textFill>
        </w:rPr>
        <w:t>——混凝土芯样试件抗压截面面积；</w:t>
      </w:r>
    </w:p>
    <w:p>
      <w:pPr>
        <w:tabs>
          <w:tab w:val="left" w:pos="0"/>
          <w:tab w:val="left" w:pos="840"/>
        </w:tabs>
        <w:adjustRightInd w:val="0"/>
        <w:snapToGrid w:val="0"/>
        <w:spacing w:line="300" w:lineRule="auto"/>
        <w:ind w:firstLine="480" w:firstLineChars="200"/>
        <w:rPr>
          <w:color w:val="000000" w:themeColor="text1"/>
          <w:sz w:val="24"/>
          <w14:textFill>
            <w14:solidFill>
              <w14:schemeClr w14:val="tx1"/>
            </w14:solidFill>
          </w14:textFill>
        </w:rPr>
      </w:pPr>
      <w:r>
        <w:rPr>
          <w:i/>
          <w:iCs/>
          <w:color w:val="000000" w:themeColor="text1"/>
          <w:sz w:val="24"/>
          <w:szCs w:val="24"/>
          <w14:textFill>
            <w14:solidFill>
              <w14:schemeClr w14:val="tx1"/>
            </w14:solidFill>
          </w14:textFill>
        </w:rPr>
        <w:t>A</w:t>
      </w:r>
      <w:r>
        <w:rPr>
          <w:iCs/>
          <w:color w:val="000000" w:themeColor="text1"/>
          <w:sz w:val="24"/>
          <w:szCs w:val="24"/>
          <w:vertAlign w:val="subscript"/>
          <w14:textFill>
            <w14:solidFill>
              <w14:schemeClr w14:val="tx1"/>
            </w14:solidFill>
          </w14:textFill>
        </w:rPr>
        <w:t>gm</w:t>
      </w:r>
      <w:r>
        <w:rPr>
          <w:color w:val="000000" w:themeColor="text1"/>
          <w:sz w:val="24"/>
          <w14:textFill>
            <w14:solidFill>
              <w14:schemeClr w14:val="tx1"/>
            </w14:solidFill>
          </w14:textFill>
        </w:rPr>
        <w:t>——灌浆料圆柱体试件抗压横截面面积</w:t>
      </w:r>
      <w:r>
        <w:rPr>
          <w:rFonts w:hint="eastAsia"/>
          <w:color w:val="000000" w:themeColor="text1"/>
          <w:sz w:val="24"/>
          <w14:textFill>
            <w14:solidFill>
              <w14:schemeClr w14:val="tx1"/>
            </w14:solidFill>
          </w14:textFill>
        </w:rPr>
        <w:t>；</w:t>
      </w:r>
    </w:p>
    <w:p>
      <w:pPr>
        <w:spacing w:line="300" w:lineRule="auto"/>
        <w:ind w:firstLine="480" w:firstLineChars="200"/>
        <w:rPr>
          <w:color w:val="000000" w:themeColor="text1"/>
          <w:sz w:val="24"/>
          <w:szCs w:val="24"/>
          <w14:textFill>
            <w14:solidFill>
              <w14:schemeClr w14:val="tx1"/>
            </w14:solidFill>
          </w14:textFill>
        </w:rPr>
      </w:pPr>
      <w:r>
        <w:rPr>
          <w:i/>
          <w:iCs/>
          <w:color w:val="000000" w:themeColor="text1"/>
          <w:sz w:val="24"/>
          <w:szCs w:val="24"/>
          <w14:textFill>
            <w14:solidFill>
              <w14:schemeClr w14:val="tx1"/>
            </w14:solidFill>
          </w14:textFill>
        </w:rPr>
        <w:t>A</w:t>
      </w:r>
      <w:r>
        <w:rPr>
          <w:iCs/>
          <w:color w:val="000000" w:themeColor="text1"/>
          <w:sz w:val="24"/>
          <w:szCs w:val="24"/>
          <w:vertAlign w:val="subscript"/>
          <w14:textFill>
            <w14:solidFill>
              <w14:schemeClr w14:val="tx1"/>
            </w14:solidFill>
          </w14:textFill>
        </w:rPr>
        <w:t>r</w:t>
      </w:r>
      <w:r>
        <w:rPr>
          <w:bCs/>
          <w:sz w:val="24"/>
          <w:szCs w:val="24"/>
        </w:rPr>
        <w:t>——</w:t>
      </w:r>
      <w:r>
        <w:rPr>
          <w:sz w:val="24"/>
          <w:szCs w:val="24"/>
        </w:rPr>
        <w:t>测量区域内粗糙面面积；</w:t>
      </w:r>
    </w:p>
    <w:p>
      <w:pPr>
        <w:tabs>
          <w:tab w:val="left" w:pos="0"/>
          <w:tab w:val="left" w:pos="840"/>
        </w:tabs>
        <w:adjustRightInd w:val="0"/>
        <w:snapToGrid w:val="0"/>
        <w:spacing w:line="300" w:lineRule="auto"/>
        <w:ind w:firstLine="480" w:firstLineChars="200"/>
        <w:rPr>
          <w:color w:val="000000" w:themeColor="text1"/>
          <w:sz w:val="24"/>
          <w:szCs w:val="24"/>
          <w14:textFill>
            <w14:solidFill>
              <w14:schemeClr w14:val="tx1"/>
            </w14:solidFill>
          </w14:textFill>
        </w:rPr>
      </w:pPr>
      <w:r>
        <w:rPr>
          <w:i/>
          <w:color w:val="000000" w:themeColor="text1"/>
          <w:sz w:val="24"/>
          <w:szCs w:val="24"/>
          <w14:textFill>
            <w14:solidFill>
              <w14:schemeClr w14:val="tx1"/>
            </w14:solidFill>
          </w14:textFill>
        </w:rPr>
        <w:t>c</w:t>
      </w:r>
      <w:r>
        <w:rPr>
          <w:color w:val="000000" w:themeColor="text1"/>
          <w:sz w:val="24"/>
          <w:szCs w:val="24"/>
          <w14:textFill>
            <w14:solidFill>
              <w14:schemeClr w14:val="tx1"/>
            </w14:solidFill>
          </w14:textFill>
        </w:rPr>
        <w:t>——套筒部位混凝土保护层厚度实测值；</w:t>
      </w:r>
    </w:p>
    <w:p>
      <w:pPr>
        <w:spacing w:line="300" w:lineRule="auto"/>
        <w:ind w:firstLine="480" w:firstLineChars="200"/>
        <w:jc w:val="left"/>
        <w:rPr>
          <w:color w:val="000000" w:themeColor="text1"/>
          <w:sz w:val="24"/>
          <w:szCs w:val="24"/>
          <w14:textFill>
            <w14:solidFill>
              <w14:schemeClr w14:val="tx1"/>
            </w14:solidFill>
          </w14:textFill>
        </w:rPr>
      </w:pPr>
      <w:r>
        <w:rPr>
          <w:i/>
          <w:color w:val="000000" w:themeColor="text1"/>
          <w:sz w:val="24"/>
          <w:szCs w:val="24"/>
          <w14:textFill>
            <w14:solidFill>
              <w14:schemeClr w14:val="tx1"/>
            </w14:solidFill>
          </w14:textFill>
        </w:rPr>
        <w:t>D</w:t>
      </w:r>
      <w:r>
        <w:rPr>
          <w:color w:val="000000" w:themeColor="text1"/>
          <w:sz w:val="24"/>
          <w:szCs w:val="24"/>
          <w14:textFill>
            <w14:solidFill>
              <w14:schemeClr w14:val="tx1"/>
            </w14:solidFill>
          </w14:textFill>
        </w:rPr>
        <w:t>——混凝土芯样试件破断面直径；</w:t>
      </w:r>
    </w:p>
    <w:p>
      <w:pPr>
        <w:tabs>
          <w:tab w:val="left" w:pos="0"/>
          <w:tab w:val="left" w:pos="840"/>
        </w:tabs>
        <w:adjustRightInd w:val="0"/>
        <w:snapToGrid w:val="0"/>
        <w:spacing w:line="300" w:lineRule="auto"/>
        <w:ind w:firstLine="480" w:firstLineChars="200"/>
        <w:jc w:val="left"/>
        <w:rPr>
          <w:color w:val="000000" w:themeColor="text1"/>
          <w:sz w:val="24"/>
          <w:szCs w:val="24"/>
          <w14:textFill>
            <w14:solidFill>
              <w14:schemeClr w14:val="tx1"/>
            </w14:solidFill>
          </w14:textFill>
        </w:rPr>
      </w:pPr>
      <w:r>
        <w:rPr>
          <w:i/>
          <w:color w:val="000000" w:themeColor="text1"/>
          <w:sz w:val="24"/>
          <w:szCs w:val="24"/>
          <w14:textFill>
            <w14:solidFill>
              <w14:schemeClr w14:val="tx1"/>
            </w14:solidFill>
          </w14:textFill>
        </w:rPr>
        <w:t>d</w:t>
      </w:r>
      <w:r>
        <w:rPr>
          <w:color w:val="000000" w:themeColor="text1"/>
          <w:sz w:val="24"/>
          <w:szCs w:val="24"/>
          <w:vertAlign w:val="subscript"/>
          <w14:textFill>
            <w14:solidFill>
              <w14:schemeClr w14:val="tx1"/>
            </w14:solidFill>
          </w14:textFill>
        </w:rPr>
        <w:t>1</w:t>
      </w:r>
      <w:r>
        <w:rPr>
          <w:color w:val="000000" w:themeColor="text1"/>
          <w:sz w:val="24"/>
          <w:szCs w:val="24"/>
          <w14:textFill>
            <w14:solidFill>
              <w14:schemeClr w14:val="tx1"/>
            </w14:solidFill>
          </w14:textFill>
        </w:rPr>
        <w:t>——灌浆套筒外径；</w:t>
      </w:r>
    </w:p>
    <w:p>
      <w:pPr>
        <w:tabs>
          <w:tab w:val="left" w:pos="0"/>
          <w:tab w:val="left" w:pos="840"/>
        </w:tabs>
        <w:adjustRightInd w:val="0"/>
        <w:snapToGrid w:val="0"/>
        <w:spacing w:line="300" w:lineRule="auto"/>
        <w:ind w:firstLine="480" w:firstLineChars="200"/>
        <w:jc w:val="left"/>
        <w:rPr>
          <w:color w:val="000000" w:themeColor="text1"/>
          <w:sz w:val="24"/>
          <w:szCs w:val="24"/>
          <w14:textFill>
            <w14:solidFill>
              <w14:schemeClr w14:val="tx1"/>
            </w14:solidFill>
          </w14:textFill>
        </w:rPr>
      </w:pPr>
      <w:r>
        <w:rPr>
          <w:i/>
          <w:color w:val="000000" w:themeColor="text1"/>
          <w:sz w:val="24"/>
          <w:szCs w:val="24"/>
          <w14:textFill>
            <w14:solidFill>
              <w14:schemeClr w14:val="tx1"/>
            </w14:solidFill>
          </w14:textFill>
        </w:rPr>
        <w:t>d</w:t>
      </w:r>
      <w:r>
        <w:rPr>
          <w:color w:val="000000" w:themeColor="text1"/>
          <w:sz w:val="24"/>
          <w:szCs w:val="24"/>
          <w:vertAlign w:val="subscript"/>
          <w14:textFill>
            <w14:solidFill>
              <w14:schemeClr w14:val="tx1"/>
            </w14:solidFill>
          </w14:textFill>
        </w:rPr>
        <w:t>2</w:t>
      </w:r>
      <w:r>
        <w:rPr>
          <w:color w:val="000000" w:themeColor="text1"/>
          <w:sz w:val="24"/>
          <w:szCs w:val="24"/>
          <w14:textFill>
            <w14:solidFill>
              <w14:schemeClr w14:val="tx1"/>
            </w14:solidFill>
          </w14:textFill>
        </w:rPr>
        <w:t>——灌浆套筒最小内径；</w:t>
      </w:r>
    </w:p>
    <w:p>
      <w:pPr>
        <w:spacing w:line="300" w:lineRule="auto"/>
        <w:ind w:firstLine="480" w:firstLineChars="200"/>
        <w:jc w:val="left"/>
        <w:rPr>
          <w:color w:val="000000" w:themeColor="text1"/>
          <w:sz w:val="24"/>
          <w:szCs w:val="24"/>
          <w14:textFill>
            <w14:solidFill>
              <w14:schemeClr w14:val="tx1"/>
            </w14:solidFill>
          </w14:textFill>
        </w:rPr>
      </w:pPr>
      <w:r>
        <w:rPr>
          <w:i/>
          <w:color w:val="000000" w:themeColor="text1"/>
          <w:sz w:val="24"/>
          <w:szCs w:val="24"/>
          <w14:textFill>
            <w14:solidFill>
              <w14:schemeClr w14:val="tx1"/>
            </w14:solidFill>
          </w14:textFill>
        </w:rPr>
        <w:t>L</w:t>
      </w:r>
      <w:r>
        <w:rPr>
          <w:color w:val="000000" w:themeColor="text1"/>
          <w:sz w:val="24"/>
          <w:szCs w:val="24"/>
          <w:vertAlign w:val="subscript"/>
          <w14:textFill>
            <w14:solidFill>
              <w14:schemeClr w14:val="tx1"/>
            </w14:solidFill>
          </w14:textFill>
        </w:rPr>
        <w:t>max</w:t>
      </w:r>
      <w:r>
        <w:rPr>
          <w:color w:val="000000" w:themeColor="text1"/>
          <w:sz w:val="24"/>
          <w:szCs w:val="24"/>
          <w14:textFill>
            <w14:solidFill>
              <w14:schemeClr w14:val="tx1"/>
            </w14:solidFill>
          </w14:textFill>
        </w:rPr>
        <w:t>——钻孔深度最大限值；</w:t>
      </w:r>
    </w:p>
    <w:p>
      <w:pPr>
        <w:spacing w:line="300" w:lineRule="auto"/>
        <w:ind w:firstLine="480" w:firstLineChars="200"/>
        <w:rPr>
          <w:sz w:val="24"/>
          <w:szCs w:val="24"/>
        </w:rPr>
      </w:pPr>
      <w:r>
        <w:rPr>
          <w:i/>
          <w:iCs/>
          <w:sz w:val="24"/>
          <w:szCs w:val="24"/>
        </w:rPr>
        <w:t>x</w:t>
      </w:r>
      <w:r>
        <w:rPr>
          <w:bCs/>
          <w:sz w:val="24"/>
          <w:szCs w:val="24"/>
        </w:rPr>
        <w:t>——粗糙面</w:t>
      </w:r>
      <w:r>
        <w:rPr>
          <w:sz w:val="24"/>
          <w:szCs w:val="24"/>
        </w:rPr>
        <w:t>测点有效凹凸深度；</w:t>
      </w:r>
    </w:p>
    <w:p>
      <w:pPr>
        <w:spacing w:line="300" w:lineRule="auto"/>
        <w:ind w:firstLine="480" w:firstLineChars="200"/>
        <w:rPr>
          <w:sz w:val="24"/>
          <w:szCs w:val="24"/>
        </w:rPr>
      </w:pPr>
      <w:r>
        <w:rPr>
          <w:i/>
          <w:iCs/>
          <w:sz w:val="24"/>
          <w:szCs w:val="24"/>
        </w:rPr>
        <w:t>μ</w:t>
      </w:r>
      <w:r>
        <w:rPr>
          <w:bCs/>
          <w:sz w:val="24"/>
          <w:szCs w:val="24"/>
        </w:rPr>
        <w:t>——粗糙面凹凸深度</w:t>
      </w:r>
      <w:r>
        <w:rPr>
          <w:sz w:val="24"/>
          <w:szCs w:val="24"/>
        </w:rPr>
        <w:t>平均值；</w:t>
      </w:r>
    </w:p>
    <w:p>
      <w:pPr>
        <w:spacing w:line="300" w:lineRule="auto"/>
        <w:ind w:firstLine="480" w:firstLineChars="200"/>
        <w:rPr>
          <w:sz w:val="24"/>
          <w:szCs w:val="24"/>
        </w:rPr>
      </w:pPr>
      <w:r>
        <w:rPr>
          <w:i/>
          <w:iCs/>
          <w:sz w:val="24"/>
          <w:szCs w:val="24"/>
        </w:rPr>
        <w:t>δ</w:t>
      </w:r>
      <w:r>
        <w:rPr>
          <w:bCs/>
          <w:sz w:val="24"/>
          <w:szCs w:val="24"/>
        </w:rPr>
        <w:t>——粗糙面凹凸深度</w:t>
      </w:r>
      <w:r>
        <w:rPr>
          <w:sz w:val="24"/>
          <w:szCs w:val="24"/>
        </w:rPr>
        <w:t>变异系数。</w:t>
      </w:r>
    </w:p>
    <w:p>
      <w:pPr>
        <w:spacing w:line="300" w:lineRule="auto"/>
        <w:rPr>
          <w:sz w:val="24"/>
          <w:szCs w:val="24"/>
        </w:rPr>
      </w:pPr>
      <w:r>
        <w:rPr>
          <w:b/>
          <w:sz w:val="24"/>
          <w:szCs w:val="24"/>
        </w:rPr>
        <w:t xml:space="preserve">2.2.2  </w:t>
      </w:r>
      <w:r>
        <w:rPr>
          <w:sz w:val="24"/>
          <w:szCs w:val="24"/>
        </w:rPr>
        <w:t>力学指标</w:t>
      </w:r>
    </w:p>
    <w:p>
      <w:pPr>
        <w:tabs>
          <w:tab w:val="left" w:pos="0"/>
          <w:tab w:val="left" w:pos="840"/>
        </w:tabs>
        <w:adjustRightInd w:val="0"/>
        <w:snapToGrid w:val="0"/>
        <w:spacing w:line="300" w:lineRule="auto"/>
        <w:ind w:firstLine="480" w:firstLineChars="200"/>
        <w:rPr>
          <w:color w:val="000000" w:themeColor="text1"/>
          <w:sz w:val="24"/>
          <w:szCs w:val="24"/>
          <w14:textFill>
            <w14:solidFill>
              <w14:schemeClr w14:val="tx1"/>
            </w14:solidFill>
          </w14:textFill>
        </w:rPr>
      </w:pPr>
      <w:r>
        <w:rPr>
          <w:color w:val="000000" w:themeColor="text1"/>
          <w:position w:val="-12"/>
          <w:sz w:val="24"/>
          <w14:textFill>
            <w14:solidFill>
              <w14:schemeClr w14:val="tx1"/>
            </w14:solidFill>
          </w14:textFill>
        </w:rPr>
        <w:object>
          <v:shape id="_x0000_i1025" o:spt="75" type="#_x0000_t75" style="height:19pt;width:13.25pt;" o:ole="t" filled="f" o:preferrelative="t" stroked="f" coordsize="21600,21600">
            <v:path/>
            <v:fill on="f" focussize="0,0"/>
            <v:stroke on="f" joinstyle="miter"/>
            <v:imagedata r:id="rId11" o:title=""/>
            <o:lock v:ext="edit" aspectratio="t"/>
            <w10:wrap type="none"/>
            <w10:anchorlock/>
          </v:shape>
          <o:OLEObject Type="Embed" ProgID="Equation.DSMT4" ShapeID="_x0000_i1025" DrawAspect="Content" ObjectID="_1468075725" r:id="rId10">
            <o:LockedField>false</o:LockedField>
          </o:OLEObject>
        </w:object>
      </w:r>
      <w:r>
        <w:rPr>
          <w:color w:val="000000" w:themeColor="text1"/>
          <w:sz w:val="24"/>
          <w:szCs w:val="24"/>
          <w14:textFill>
            <w14:solidFill>
              <w14:schemeClr w14:val="tx1"/>
            </w14:solidFill>
          </w14:textFill>
        </w:rPr>
        <w:t>——混凝土芯样试件抗压</w:t>
      </w:r>
      <w:r>
        <w:rPr>
          <w:rFonts w:hint="eastAsia"/>
          <w:color w:val="000000" w:themeColor="text1"/>
          <w:sz w:val="24"/>
          <w:szCs w:val="24"/>
          <w14:textFill>
            <w14:solidFill>
              <w14:schemeClr w14:val="tx1"/>
            </w14:solidFill>
          </w14:textFill>
        </w:rPr>
        <w:t>强度</w:t>
      </w:r>
      <w:r>
        <w:rPr>
          <w:color w:val="000000" w:themeColor="text1"/>
          <w:sz w:val="24"/>
          <w:szCs w:val="24"/>
          <w14:textFill>
            <w14:solidFill>
              <w14:schemeClr w14:val="tx1"/>
            </w14:solidFill>
          </w14:textFill>
        </w:rPr>
        <w:t>试验的破坏荷载值；</w:t>
      </w:r>
    </w:p>
    <w:p>
      <w:pPr>
        <w:tabs>
          <w:tab w:val="left" w:pos="0"/>
          <w:tab w:val="left" w:pos="840"/>
        </w:tabs>
        <w:adjustRightInd w:val="0"/>
        <w:snapToGrid w:val="0"/>
        <w:spacing w:line="300" w:lineRule="auto"/>
        <w:ind w:firstLine="480" w:firstLineChars="200"/>
        <w:rPr>
          <w:color w:val="000000" w:themeColor="text1"/>
          <w:sz w:val="24"/>
          <w14:textFill>
            <w14:solidFill>
              <w14:schemeClr w14:val="tx1"/>
            </w14:solidFill>
          </w14:textFill>
        </w:rPr>
      </w:pPr>
      <w:r>
        <w:rPr>
          <w:color w:val="000000" w:themeColor="text1"/>
          <w:position w:val="-14"/>
          <w:sz w:val="24"/>
          <w14:textFill>
            <w14:solidFill>
              <w14:schemeClr w14:val="tx1"/>
            </w14:solidFill>
          </w14:textFill>
        </w:rPr>
        <w:object>
          <v:shape id="_x0000_i1026" o:spt="75" type="#_x0000_t75" style="height:19.6pt;width:19.6pt;" o:ole="t" filled="f" o:preferrelative="t" stroked="f" coordsize="21600,21600">
            <v:path/>
            <v:fill on="f" focussize="0,0"/>
            <v:stroke on="f" joinstyle="miter"/>
            <v:imagedata r:id="rId13" o:title=""/>
            <o:lock v:ext="edit" aspectratio="t"/>
            <w10:wrap type="none"/>
            <w10:anchorlock/>
          </v:shape>
          <o:OLEObject Type="Embed" ProgID="Equation.DSMT4" ShapeID="_x0000_i1026" DrawAspect="Content" ObjectID="_1468075726" r:id="rId12">
            <o:LockedField>false</o:LockedField>
          </o:OLEObject>
        </w:objec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灌浆料圆柱体试件抗压强度试验的破坏荷载值；</w:t>
      </w:r>
    </w:p>
    <w:p>
      <w:pPr>
        <w:pStyle w:val="72"/>
        <w:spacing w:line="300" w:lineRule="auto"/>
        <w:ind w:firstLine="480"/>
        <w:rPr>
          <w:color w:val="000000" w:themeColor="text1"/>
          <w:sz w:val="24"/>
          <w:szCs w:val="24"/>
          <w14:textFill>
            <w14:solidFill>
              <w14:schemeClr w14:val="tx1"/>
            </w14:solidFill>
          </w14:textFill>
        </w:rPr>
      </w:pPr>
      <w:r>
        <w:rPr>
          <w:color w:val="000000" w:themeColor="text1"/>
          <w:position w:val="-12"/>
          <w:sz w:val="24"/>
          <w14:textFill>
            <w14:solidFill>
              <w14:schemeClr w14:val="tx1"/>
            </w14:solidFill>
          </w14:textFill>
        </w:rPr>
        <w:object>
          <v:shape id="_x0000_i1027" o:spt="75" type="#_x0000_t75" style="height:19.6pt;width:17.3pt;" o:ole="t" filled="f" o:preferrelative="t" stroked="f" coordsize="21600,21600">
            <v:path/>
            <v:fill on="f" focussize="0,0"/>
            <v:stroke on="f" joinstyle="miter"/>
            <v:imagedata r:id="rId15" o:title=""/>
            <o:lock v:ext="edit" aspectratio="t"/>
            <w10:wrap type="none"/>
            <w10:anchorlock/>
          </v:shape>
          <o:OLEObject Type="Embed" ProgID="Equation.DSMT4" ShapeID="_x0000_i1027" DrawAspect="Content" ObjectID="_1468075727" r:id="rId14">
            <o:LockedField>false</o:LockedField>
          </o:OLEObject>
        </w:object>
      </w:r>
      <w:r>
        <w:rPr>
          <w:color w:val="000000" w:themeColor="text1"/>
          <w:sz w:val="24"/>
          <w:szCs w:val="24"/>
          <w14:textFill>
            <w14:solidFill>
              <w14:schemeClr w14:val="tx1"/>
            </w14:solidFill>
          </w14:textFill>
        </w:rPr>
        <w:t>——灌浆料</w:t>
      </w:r>
      <w:r>
        <w:rPr>
          <w:color w:val="000000" w:themeColor="text1"/>
          <w:sz w:val="24"/>
          <w14:textFill>
            <w14:solidFill>
              <w14:schemeClr w14:val="tx1"/>
            </w14:solidFill>
          </w14:textFill>
        </w:rPr>
        <w:t>棱柱体试块</w:t>
      </w:r>
      <w:r>
        <w:rPr>
          <w:color w:val="000000" w:themeColor="text1"/>
          <w:sz w:val="24"/>
          <w:szCs w:val="24"/>
          <w14:textFill>
            <w14:solidFill>
              <w14:schemeClr w14:val="tx1"/>
            </w14:solidFill>
          </w14:textFill>
        </w:rPr>
        <w:t xml:space="preserve">抗压强度值； </w:t>
      </w:r>
    </w:p>
    <w:p>
      <w:pPr>
        <w:adjustRightInd w:val="0"/>
        <w:snapToGrid w:val="0"/>
        <w:spacing w:line="300" w:lineRule="auto"/>
        <w:ind w:firstLine="480" w:firstLineChars="200"/>
        <w:rPr>
          <w:color w:val="000000" w:themeColor="text1"/>
          <w:sz w:val="24"/>
          <w14:textFill>
            <w14:solidFill>
              <w14:schemeClr w14:val="tx1"/>
            </w14:solidFill>
          </w14:textFill>
        </w:rPr>
      </w:pPr>
      <w:r>
        <w:rPr>
          <w:color w:val="000000" w:themeColor="text1"/>
          <w:position w:val="-14"/>
          <w:sz w:val="24"/>
          <w14:textFill>
            <w14:solidFill>
              <w14:schemeClr w14:val="tx1"/>
            </w14:solidFill>
          </w14:textFill>
        </w:rPr>
        <w:object>
          <v:shape id="_x0000_i1028" o:spt="75" type="#_x0000_t75" style="height:19.6pt;width:24.75pt;" o:ole="t" filled="f" o:preferrelative="t" stroked="f" coordsize="21600,21600">
            <v:path/>
            <v:fill on="f" focussize="0,0"/>
            <v:stroke on="f" joinstyle="miter"/>
            <v:imagedata r:id="rId17" o:title=""/>
            <o:lock v:ext="edit" aspectratio="t"/>
            <w10:wrap type="none"/>
            <w10:anchorlock/>
          </v:shape>
          <o:OLEObject Type="Embed" ProgID="Equation.DSMT4" ShapeID="_x0000_i1028" DrawAspect="Content" ObjectID="_1468075728" r:id="rId16">
            <o:LockedField>false</o:LockedField>
          </o:OLEObject>
        </w:object>
      </w:r>
      <w:r>
        <w:rPr>
          <w:color w:val="000000" w:themeColor="text1"/>
          <w:sz w:val="24"/>
          <w14:textFill>
            <w14:solidFill>
              <w14:schemeClr w14:val="tx1"/>
            </w14:solidFill>
          </w14:textFill>
        </w:rPr>
        <w:t>——芯样试件</w:t>
      </w:r>
      <w:r>
        <w:rPr>
          <w:color w:val="000000" w:themeColor="text1"/>
          <w:sz w:val="24"/>
          <w:szCs w:val="24"/>
          <w14:textFill>
            <w14:solidFill>
              <w14:schemeClr w14:val="tx1"/>
            </w14:solidFill>
          </w14:textFill>
        </w:rPr>
        <w:t>混凝土抗压强度换算</w:t>
      </w:r>
      <w:r>
        <w:rPr>
          <w:color w:val="000000" w:themeColor="text1"/>
          <w:sz w:val="24"/>
          <w14:textFill>
            <w14:solidFill>
              <w14:schemeClr w14:val="tx1"/>
            </w14:solidFill>
          </w14:textFill>
        </w:rPr>
        <w:t>值；</w:t>
      </w:r>
    </w:p>
    <w:p>
      <w:pPr>
        <w:adjustRightInd w:val="0"/>
        <w:snapToGrid w:val="0"/>
        <w:spacing w:line="300" w:lineRule="auto"/>
        <w:ind w:firstLine="480" w:firstLineChars="200"/>
        <w:rPr>
          <w:color w:val="000000" w:themeColor="text1"/>
          <w:sz w:val="24"/>
          <w14:textFill>
            <w14:solidFill>
              <w14:schemeClr w14:val="tx1"/>
            </w14:solidFill>
          </w14:textFill>
        </w:rPr>
      </w:pPr>
      <w:r>
        <w:rPr>
          <w:color w:val="000000" w:themeColor="text1"/>
          <w:position w:val="-14"/>
          <w:sz w:val="24"/>
          <w14:textFill>
            <w14:solidFill>
              <w14:schemeClr w14:val="tx1"/>
            </w14:solidFill>
          </w14:textFill>
        </w:rPr>
        <w:object>
          <v:shape id="_x0000_i1029" o:spt="75" type="#_x0000_t75" style="height:19.6pt;width:34pt;" o:ole="t" filled="f" o:preferrelative="t" stroked="f" coordsize="21600,21600">
            <v:path/>
            <v:fill on="f" focussize="0,0"/>
            <v:stroke on="f" joinstyle="miter"/>
            <v:imagedata r:id="rId19" o:title=""/>
            <o:lock v:ext="edit" aspectratio="t"/>
            <w10:wrap type="none"/>
            <w10:anchorlock/>
          </v:shape>
          <o:OLEObject Type="Embed" ProgID="Equation.DSMT4" ShapeID="_x0000_i1029" DrawAspect="Content" ObjectID="_1468075729" r:id="rId18">
            <o:LockedField>false</o:LockedField>
          </o:OLEObject>
        </w:object>
      </w:r>
      <w:r>
        <w:rPr>
          <w:color w:val="000000" w:themeColor="text1"/>
          <w:sz w:val="24"/>
          <w14:textFill>
            <w14:solidFill>
              <w14:schemeClr w14:val="tx1"/>
            </w14:solidFill>
          </w14:textFill>
        </w:rPr>
        <w:t>——芯样试件</w:t>
      </w:r>
      <w:r>
        <w:rPr>
          <w:color w:val="000000" w:themeColor="text1"/>
          <w:sz w:val="24"/>
          <w:szCs w:val="24"/>
          <w14:textFill>
            <w14:solidFill>
              <w14:schemeClr w14:val="tx1"/>
            </w14:solidFill>
          </w14:textFill>
        </w:rPr>
        <w:t>混凝土抗压强度换算值的</w:t>
      </w:r>
      <w:r>
        <w:rPr>
          <w:color w:val="000000" w:themeColor="text1"/>
          <w:sz w:val="24"/>
          <w14:textFill>
            <w14:solidFill>
              <w14:schemeClr w14:val="tx1"/>
            </w14:solidFill>
          </w14:textFill>
        </w:rPr>
        <w:t>平均值；</w:t>
      </w:r>
    </w:p>
    <w:p>
      <w:pPr>
        <w:adjustRightInd w:val="0"/>
        <w:snapToGrid w:val="0"/>
        <w:spacing w:line="300" w:lineRule="auto"/>
        <w:ind w:firstLine="480" w:firstLineChars="200"/>
        <w:rPr>
          <w:color w:val="000000" w:themeColor="text1"/>
          <w:sz w:val="24"/>
          <w14:textFill>
            <w14:solidFill>
              <w14:schemeClr w14:val="tx1"/>
            </w14:solidFill>
          </w14:textFill>
        </w:rPr>
      </w:pPr>
      <w:r>
        <w:rPr>
          <w:color w:val="000000" w:themeColor="text1"/>
          <w:position w:val="-14"/>
          <w:sz w:val="24"/>
          <w14:textFill>
            <w14:solidFill>
              <w14:schemeClr w14:val="tx1"/>
            </w14:solidFill>
          </w14:textFill>
        </w:rPr>
        <w:object>
          <v:shape id="_x0000_i1030" o:spt="75" type="#_x0000_t75" style="height:19.6pt;width:22.45pt;" o:ole="t" filled="f" o:preferrelative="t" stroked="f" coordsize="21600,21600">
            <v:path/>
            <v:fill on="f" focussize="0,0"/>
            <v:stroke on="f" joinstyle="miter"/>
            <v:imagedata r:id="rId21" o:title=""/>
            <o:lock v:ext="edit" aspectratio="t"/>
            <w10:wrap type="none"/>
            <w10:anchorlock/>
          </v:shape>
          <o:OLEObject Type="Embed" ProgID="Equation.DSMT4" ShapeID="_x0000_i1030" DrawAspect="Content" ObjectID="_1468075730" r:id="rId20">
            <o:LockedField>false</o:LockedField>
          </o:OLEObject>
        </w:object>
      </w:r>
      <w:r>
        <w:rPr>
          <w:color w:val="000000" w:themeColor="text1"/>
          <w:sz w:val="24"/>
          <w14:textFill>
            <w14:solidFill>
              <w14:schemeClr w14:val="tx1"/>
            </w14:solidFill>
          </w14:textFill>
        </w:rPr>
        <w:t>——</w:t>
      </w:r>
      <w:r>
        <w:rPr>
          <w:color w:val="000000" w:themeColor="text1"/>
          <w:sz w:val="24"/>
          <w:szCs w:val="24"/>
          <w14:textFill>
            <w14:solidFill>
              <w14:schemeClr w14:val="tx1"/>
            </w14:solidFill>
          </w14:textFill>
        </w:rPr>
        <w:t>混凝土抗压强度</w:t>
      </w:r>
      <w:r>
        <w:rPr>
          <w:color w:val="000000" w:themeColor="text1"/>
          <w:sz w:val="24"/>
          <w14:textFill>
            <w14:solidFill>
              <w14:schemeClr w14:val="tx1"/>
            </w14:solidFill>
          </w14:textFill>
        </w:rPr>
        <w:t>推定上限值；</w:t>
      </w:r>
    </w:p>
    <w:p>
      <w:pPr>
        <w:adjustRightInd w:val="0"/>
        <w:snapToGrid w:val="0"/>
        <w:spacing w:line="300" w:lineRule="auto"/>
        <w:ind w:firstLine="480" w:firstLineChars="200"/>
        <w:rPr>
          <w:color w:val="000000" w:themeColor="text1"/>
          <w:sz w:val="24"/>
          <w14:textFill>
            <w14:solidFill>
              <w14:schemeClr w14:val="tx1"/>
            </w14:solidFill>
          </w14:textFill>
        </w:rPr>
      </w:pPr>
      <w:r>
        <w:rPr>
          <w:color w:val="000000" w:themeColor="text1"/>
          <w:position w:val="-14"/>
          <w:sz w:val="24"/>
          <w14:textFill>
            <w14:solidFill>
              <w14:schemeClr w14:val="tx1"/>
            </w14:solidFill>
          </w14:textFill>
        </w:rPr>
        <w:object>
          <v:shape id="_x0000_i1031" o:spt="75" type="#_x0000_t75" style="height:19.6pt;width:24.75pt;" o:ole="t" filled="f" o:preferrelative="t" stroked="f" coordsize="21600,21600">
            <v:path/>
            <v:fill on="f" focussize="0,0"/>
            <v:stroke on="f" joinstyle="miter"/>
            <v:imagedata r:id="rId23" o:title=""/>
            <o:lock v:ext="edit" aspectratio="t"/>
            <w10:wrap type="none"/>
            <w10:anchorlock/>
          </v:shape>
          <o:OLEObject Type="Embed" ProgID="Equation.DSMT4" ShapeID="_x0000_i1031" DrawAspect="Content" ObjectID="_1468075731" r:id="rId22">
            <o:LockedField>false</o:LockedField>
          </o:OLEObject>
        </w:object>
      </w:r>
      <w:r>
        <w:rPr>
          <w:color w:val="000000" w:themeColor="text1"/>
          <w:sz w:val="24"/>
          <w14:textFill>
            <w14:solidFill>
              <w14:schemeClr w14:val="tx1"/>
            </w14:solidFill>
          </w14:textFill>
        </w:rPr>
        <w:t>——</w:t>
      </w:r>
      <w:r>
        <w:rPr>
          <w:color w:val="000000" w:themeColor="text1"/>
          <w:sz w:val="24"/>
          <w:szCs w:val="24"/>
          <w14:textFill>
            <w14:solidFill>
              <w14:schemeClr w14:val="tx1"/>
            </w14:solidFill>
          </w14:textFill>
        </w:rPr>
        <w:t>混凝土抗压强度</w:t>
      </w:r>
      <w:r>
        <w:rPr>
          <w:color w:val="000000" w:themeColor="text1"/>
          <w:sz w:val="24"/>
          <w14:textFill>
            <w14:solidFill>
              <w14:schemeClr w14:val="tx1"/>
            </w14:solidFill>
          </w14:textFill>
        </w:rPr>
        <w:t>推定下限值；</w:t>
      </w:r>
    </w:p>
    <w:p>
      <w:pPr>
        <w:adjustRightInd w:val="0"/>
        <w:snapToGrid w:val="0"/>
        <w:spacing w:line="300" w:lineRule="auto"/>
        <w:ind w:firstLine="480" w:firstLineChars="200"/>
        <w:rPr>
          <w:color w:val="000000" w:themeColor="text1"/>
          <w:sz w:val="24"/>
          <w14:textFill>
            <w14:solidFill>
              <w14:schemeClr w14:val="tx1"/>
            </w14:solidFill>
          </w14:textFill>
        </w:rPr>
      </w:pPr>
      <w:r>
        <w:rPr>
          <w:color w:val="000000" w:themeColor="text1"/>
          <w:position w:val="-14"/>
          <w:sz w:val="24"/>
          <w14:textFill>
            <w14:solidFill>
              <w14:schemeClr w14:val="tx1"/>
            </w14:solidFill>
          </w14:textFill>
        </w:rPr>
        <w:object>
          <v:shape id="_x0000_i1032" o:spt="75" type="#_x0000_t75" style="height:19.6pt;width:20.75pt;" o:ole="t" filled="f" o:preferrelative="t" stroked="f" coordsize="21600,21600">
            <v:path/>
            <v:fill on="f" focussize="0,0"/>
            <v:stroke on="f" joinstyle="miter"/>
            <v:imagedata r:id="rId25" o:title=""/>
            <o:lock v:ext="edit" aspectratio="t"/>
            <w10:wrap type="none"/>
            <w10:anchorlock/>
          </v:shape>
          <o:OLEObject Type="Embed" ProgID="Equation.DSMT4" ShapeID="_x0000_i1032" DrawAspect="Content" ObjectID="_1468075732" r:id="rId24">
            <o:LockedField>false</o:LockedField>
          </o:OLEObject>
        </w:object>
      </w:r>
      <w:r>
        <w:rPr>
          <w:color w:val="000000" w:themeColor="text1"/>
          <w:sz w:val="24"/>
          <w14:textFill>
            <w14:solidFill>
              <w14:schemeClr w14:val="tx1"/>
            </w14:solidFill>
          </w14:textFill>
        </w:rPr>
        <w:t>——</w:t>
      </w:r>
      <w:r>
        <w:rPr>
          <w:rFonts w:hint="eastAsia"/>
          <w:color w:val="000000" w:themeColor="text1"/>
          <w:sz w:val="24"/>
          <w:szCs w:val="24"/>
          <w14:textFill>
            <w14:solidFill>
              <w14:schemeClr w14:val="tx1"/>
            </w14:solidFill>
          </w14:textFill>
        </w:rPr>
        <w:t>按</w:t>
      </w:r>
      <w:r>
        <w:rPr>
          <w:color w:val="000000" w:themeColor="text1"/>
          <w:sz w:val="24"/>
          <w:szCs w:val="24"/>
          <w14:textFill>
            <w14:solidFill>
              <w14:schemeClr w14:val="tx1"/>
            </w14:solidFill>
          </w14:textFill>
        </w:rPr>
        <w:t>回归方程</w:t>
      </w:r>
      <w:r>
        <w:rPr>
          <w:rFonts w:hint="eastAsia"/>
          <w:color w:val="000000" w:themeColor="text1"/>
          <w:sz w:val="24"/>
          <w:szCs w:val="24"/>
          <w14:textFill>
            <w14:solidFill>
              <w14:schemeClr w14:val="tx1"/>
            </w14:solidFill>
          </w14:textFill>
        </w:rPr>
        <w:t>式</w:t>
      </w:r>
      <w:r>
        <w:rPr>
          <w:color w:val="000000" w:themeColor="text1"/>
          <w:sz w:val="24"/>
          <w:szCs w:val="24"/>
          <w14:textFill>
            <w14:solidFill>
              <w14:schemeClr w14:val="tx1"/>
            </w14:solidFill>
          </w14:textFill>
        </w:rPr>
        <w:t>计算</w:t>
      </w:r>
      <w:r>
        <w:rPr>
          <w:rFonts w:hint="eastAsia"/>
          <w:color w:val="000000" w:themeColor="text1"/>
          <w:sz w:val="24"/>
          <w:szCs w:val="24"/>
          <w14:textFill>
            <w14:solidFill>
              <w14:schemeClr w14:val="tx1"/>
            </w14:solidFill>
          </w14:textFill>
        </w:rPr>
        <w:t>得到</w:t>
      </w:r>
      <w:r>
        <w:rPr>
          <w:color w:val="000000" w:themeColor="text1"/>
          <w:sz w:val="24"/>
          <w:szCs w:val="24"/>
          <w14:textFill>
            <w14:solidFill>
              <w14:schemeClr w14:val="tx1"/>
            </w14:solidFill>
          </w14:textFill>
        </w:rPr>
        <w:t>的灌浆料抗压强度换算值</w:t>
      </w:r>
      <w:r>
        <w:rPr>
          <w:rFonts w:hint="eastAsia"/>
          <w:color w:val="000000" w:themeColor="text1"/>
          <w:sz w:val="24"/>
          <w14:textFill>
            <w14:solidFill>
              <w14:schemeClr w14:val="tx1"/>
            </w14:solidFill>
          </w14:textFill>
        </w:rPr>
        <w:t>；</w:t>
      </w:r>
    </w:p>
    <w:p>
      <w:pPr>
        <w:adjustRightInd w:val="0"/>
        <w:snapToGrid w:val="0"/>
        <w:spacing w:line="300" w:lineRule="auto"/>
        <w:ind w:firstLine="480" w:firstLineChars="200"/>
        <w:rPr>
          <w:color w:val="000000" w:themeColor="text1"/>
          <w:sz w:val="24"/>
          <w14:textFill>
            <w14:solidFill>
              <w14:schemeClr w14:val="tx1"/>
            </w14:solidFill>
          </w14:textFill>
        </w:rPr>
      </w:pPr>
      <w:r>
        <w:rPr>
          <w:color w:val="000000" w:themeColor="text1"/>
          <w:position w:val="-14"/>
          <w:sz w:val="24"/>
          <w14:textFill>
            <w14:solidFill>
              <w14:schemeClr w14:val="tx1"/>
            </w14:solidFill>
          </w14:textFill>
        </w:rPr>
        <w:object>
          <v:shape id="_x0000_i1033" o:spt="75" type="#_x0000_t75" style="height:19.6pt;width:17.3pt;" o:ole="t" filled="f" o:preferrelative="t" stroked="f" coordsize="21600,21600">
            <v:path/>
            <v:fill on="f" focussize="0,0"/>
            <v:stroke on="f" joinstyle="miter"/>
            <v:imagedata r:id="rId27" o:title=""/>
            <o:lock v:ext="edit" aspectratio="t"/>
            <w10:wrap type="none"/>
            <w10:anchorlock/>
          </v:shape>
          <o:OLEObject Type="Embed" ProgID="Equation.DSMT4" ShapeID="_x0000_i1033" DrawAspect="Content" ObjectID="_1468075733" r:id="rId26">
            <o:LockedField>false</o:LockedField>
          </o:OLEObject>
        </w:object>
      </w:r>
      <w:r>
        <w:rPr>
          <w:color w:val="000000" w:themeColor="text1"/>
          <w:sz w:val="24"/>
          <w14:textFill>
            <w14:solidFill>
              <w14:schemeClr w14:val="tx1"/>
            </w14:solidFill>
          </w14:textFill>
        </w:rPr>
        <w:t>——灌浆料圆柱体试件抗压强度试验值</w:t>
      </w:r>
      <w:r>
        <w:rPr>
          <w:rFonts w:hint="eastAsia"/>
          <w:color w:val="000000" w:themeColor="text1"/>
          <w:sz w:val="24"/>
          <w14:textFill>
            <w14:solidFill>
              <w14:schemeClr w14:val="tx1"/>
            </w14:solidFill>
          </w14:textFill>
        </w:rPr>
        <w:t>；</w:t>
      </w:r>
    </w:p>
    <w:p>
      <w:pPr>
        <w:spacing w:line="300" w:lineRule="auto"/>
        <w:ind w:firstLine="480" w:firstLineChars="200"/>
        <w:rPr>
          <w:color w:val="000000" w:themeColor="text1"/>
          <w:sz w:val="24"/>
          <w:szCs w:val="24"/>
          <w14:textFill>
            <w14:solidFill>
              <w14:schemeClr w14:val="tx1"/>
            </w14:solidFill>
          </w14:textFill>
        </w:rPr>
      </w:pPr>
      <w:r>
        <w:rPr>
          <w:color w:val="000000" w:themeColor="text1"/>
          <w:position w:val="-14"/>
          <w:sz w:val="24"/>
          <w:szCs w:val="24"/>
          <w14:textFill>
            <w14:solidFill>
              <w14:schemeClr w14:val="tx1"/>
            </w14:solidFill>
          </w14:textFill>
        </w:rPr>
        <w:object>
          <v:shape id="_x0000_i1034" o:spt="75" type="#_x0000_t75" style="height:19.6pt;width:16.7pt;" o:ole="t" filled="f" o:preferrelative="t" stroked="f" coordsize="21600,21600">
            <v:path/>
            <v:fill on="f" focussize="0,0"/>
            <v:stroke on="f" joinstyle="miter"/>
            <v:imagedata r:id="rId29" o:title=""/>
            <o:lock v:ext="edit" aspectratio="t"/>
            <w10:wrap type="none"/>
            <w10:anchorlock/>
          </v:shape>
          <o:OLEObject Type="Embed" ProgID="Equation.DSMT4" ShapeID="_x0000_i1034" DrawAspect="Content" ObjectID="_1468075734" r:id="rId28">
            <o:LockedField>false</o:LockedField>
          </o:OLEObject>
        </w:object>
      </w:r>
      <w:r>
        <w:rPr>
          <w:color w:val="000000" w:themeColor="text1"/>
          <w:sz w:val="24"/>
          <w:szCs w:val="24"/>
          <w14:textFill>
            <w14:solidFill>
              <w14:schemeClr w14:val="tx1"/>
            </w14:solidFill>
          </w14:textFill>
        </w:rPr>
        <w:t>——灌浆料抗压强度换算值；</w:t>
      </w:r>
    </w:p>
    <w:p>
      <w:pPr>
        <w:pStyle w:val="72"/>
        <w:spacing w:line="300" w:lineRule="auto"/>
        <w:ind w:firstLine="480"/>
        <w:rPr>
          <w:color w:val="000000" w:themeColor="text1"/>
          <w:sz w:val="24"/>
          <w:szCs w:val="24"/>
          <w14:textFill>
            <w14:solidFill>
              <w14:schemeClr w14:val="tx1"/>
            </w14:solidFill>
          </w14:textFill>
        </w:rPr>
      </w:pPr>
      <w:r>
        <w:rPr>
          <w:color w:val="000000" w:themeColor="text1"/>
          <w:position w:val="-14"/>
          <w:sz w:val="24"/>
          <w:szCs w:val="24"/>
          <w14:textFill>
            <w14:solidFill>
              <w14:schemeClr w14:val="tx1"/>
            </w14:solidFill>
          </w14:textFill>
        </w:rPr>
        <w:object>
          <v:shape id="_x0000_i1035" o:spt="75" type="#_x0000_t75" style="height:19.6pt;width:24.2pt;" o:ole="t" filled="f" o:preferrelative="t" stroked="f" coordsize="21600,21600">
            <v:path/>
            <v:fill on="f" focussize="0,0"/>
            <v:stroke on="f" joinstyle="miter"/>
            <v:imagedata r:id="rId31" o:title=""/>
            <o:lock v:ext="edit" aspectratio="t"/>
            <w10:wrap type="none"/>
            <w10:anchorlock/>
          </v:shape>
          <o:OLEObject Type="Embed" ProgID="Equation.DSMT4" ShapeID="_x0000_i1035" DrawAspect="Content" ObjectID="_1468075735" r:id="rId30">
            <o:LockedField>false</o:LockedField>
          </o:OLEObject>
        </w:object>
      </w:r>
      <w:r>
        <w:rPr>
          <w:iCs/>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灌浆料抗压强度换算值的平均值；</w:t>
      </w:r>
    </w:p>
    <w:p>
      <w:pPr>
        <w:pStyle w:val="72"/>
        <w:spacing w:line="300" w:lineRule="auto"/>
        <w:ind w:firstLine="480"/>
        <w:rPr>
          <w:color w:val="000000" w:themeColor="text1"/>
          <w:sz w:val="24"/>
          <w:szCs w:val="24"/>
          <w14:textFill>
            <w14:solidFill>
              <w14:schemeClr w14:val="tx1"/>
            </w14:solidFill>
          </w14:textFill>
        </w:rPr>
      </w:pPr>
      <w:r>
        <w:rPr>
          <w:color w:val="000000" w:themeColor="text1"/>
          <w:position w:val="-14"/>
          <w:sz w:val="24"/>
          <w:szCs w:val="24"/>
          <w14:textFill>
            <w14:solidFill>
              <w14:schemeClr w14:val="tx1"/>
            </w14:solidFill>
          </w14:textFill>
        </w:rPr>
        <w:object>
          <v:shape id="_x0000_i1036" o:spt="75" type="#_x0000_t75" style="height:19.6pt;width:24.2pt;" o:ole="t" filled="f" o:preferrelative="t" stroked="f" coordsize="21600,21600">
            <v:path/>
            <v:fill on="f" focussize="0,0"/>
            <v:stroke on="f" joinstyle="miter"/>
            <v:imagedata r:id="rId33" o:title=""/>
            <o:lock v:ext="edit" aspectratio="t"/>
            <w10:wrap type="none"/>
            <w10:anchorlock/>
          </v:shape>
          <o:OLEObject Type="Embed" ProgID="Equation.DSMT4" ShapeID="_x0000_i1036" DrawAspect="Content" ObjectID="_1468075736" r:id="rId32">
            <o:LockedField>false</o:LockedField>
          </o:OLEObject>
        </w:object>
      </w:r>
      <w:r>
        <w:rPr>
          <w:color w:val="000000" w:themeColor="text1"/>
          <w:sz w:val="24"/>
          <w:szCs w:val="24"/>
          <w14:textFill>
            <w14:solidFill>
              <w14:schemeClr w14:val="tx1"/>
            </w14:solidFill>
          </w14:textFill>
        </w:rPr>
        <w:t>——灌浆料抗压强度推定上限值；</w:t>
      </w:r>
    </w:p>
    <w:p>
      <w:pPr>
        <w:pStyle w:val="72"/>
        <w:spacing w:line="300" w:lineRule="auto"/>
        <w:ind w:firstLine="480"/>
        <w:rPr>
          <w:color w:val="000000" w:themeColor="text1"/>
          <w:sz w:val="24"/>
          <w:szCs w:val="24"/>
          <w14:textFill>
            <w14:solidFill>
              <w14:schemeClr w14:val="tx1"/>
            </w14:solidFill>
          </w14:textFill>
        </w:rPr>
      </w:pPr>
      <w:r>
        <w:rPr>
          <w:color w:val="000000" w:themeColor="text1"/>
          <w:position w:val="-14"/>
          <w:sz w:val="24"/>
          <w:szCs w:val="24"/>
          <w14:textFill>
            <w14:solidFill>
              <w14:schemeClr w14:val="tx1"/>
            </w14:solidFill>
          </w14:textFill>
        </w:rPr>
        <w:object>
          <v:shape id="_x0000_i1037" o:spt="75" type="#_x0000_t75" style="height:19.6pt;width:27.05pt;" o:ole="t" filled="f" o:preferrelative="t" stroked="f" coordsize="21600,21600">
            <v:path/>
            <v:fill on="f" focussize="0,0"/>
            <v:stroke on="f" joinstyle="miter"/>
            <v:imagedata r:id="rId35" o:title=""/>
            <o:lock v:ext="edit" aspectratio="t"/>
            <w10:wrap type="none"/>
            <w10:anchorlock/>
          </v:shape>
          <o:OLEObject Type="Embed" ProgID="Equation.DSMT4" ShapeID="_x0000_i1037" DrawAspect="Content" ObjectID="_1468075737" r:id="rId34">
            <o:LockedField>false</o:LockedField>
          </o:OLEObject>
        </w:object>
      </w:r>
      <w:r>
        <w:rPr>
          <w:color w:val="000000" w:themeColor="text1"/>
          <w:sz w:val="24"/>
          <w:szCs w:val="24"/>
          <w14:textFill>
            <w14:solidFill>
              <w14:schemeClr w14:val="tx1"/>
            </w14:solidFill>
          </w14:textFill>
        </w:rPr>
        <w:t>——灌浆料抗压强度推定下限值；</w:t>
      </w:r>
    </w:p>
    <w:p>
      <w:pPr>
        <w:pStyle w:val="72"/>
        <w:spacing w:line="300" w:lineRule="auto"/>
        <w:ind w:firstLine="480"/>
        <w:rPr>
          <w:color w:val="000000" w:themeColor="text1"/>
          <w:sz w:val="24"/>
          <w:szCs w:val="24"/>
          <w14:textFill>
            <w14:solidFill>
              <w14:schemeClr w14:val="tx1"/>
            </w14:solidFill>
          </w14:textFill>
        </w:rPr>
      </w:pPr>
      <w:r>
        <w:rPr>
          <w:color w:val="000000" w:themeColor="text1"/>
          <w:position w:val="-12"/>
          <w:sz w:val="24"/>
          <w:szCs w:val="24"/>
          <w14:textFill>
            <w14:solidFill>
              <w14:schemeClr w14:val="tx1"/>
            </w14:solidFill>
          </w14:textFill>
        </w:rPr>
        <w:object>
          <v:shape id="_x0000_i1038" o:spt="75" type="#_x0000_t75" style="height:19pt;width:13.25pt;" o:ole="t" filled="f" o:preferrelative="t" stroked="f" coordsize="21600,21600">
            <v:path/>
            <v:fill on="f" focussize="0,0"/>
            <v:stroke on="f" joinstyle="miter"/>
            <v:imagedata r:id="rId37" o:title=""/>
            <o:lock v:ext="edit" aspectratio="t"/>
            <w10:wrap type="none"/>
            <w10:anchorlock/>
          </v:shape>
          <o:OLEObject Type="Embed" ProgID="Equation.DSMT4" ShapeID="_x0000_i1038" DrawAspect="Content" ObjectID="_1468075738" r:id="rId36">
            <o:LockedField>false</o:LockedField>
          </o:OLEObject>
        </w:object>
      </w:r>
      <w:r>
        <w:rPr>
          <w:color w:val="000000" w:themeColor="text1"/>
          <w:sz w:val="24"/>
          <w14:textFill>
            <w14:solidFill>
              <w14:schemeClr w14:val="tx1"/>
            </w14:solidFill>
          </w14:textFill>
        </w:rPr>
        <w:t>——</w:t>
      </w:r>
      <w:r>
        <w:rPr>
          <w:color w:val="000000" w:themeColor="text1"/>
          <w:sz w:val="24"/>
          <w:szCs w:val="24"/>
          <w14:textFill>
            <w14:solidFill>
              <w14:schemeClr w14:val="tx1"/>
            </w14:solidFill>
          </w14:textFill>
        </w:rPr>
        <w:t>结合面</w:t>
      </w:r>
      <w:r>
        <w:rPr>
          <w:rFonts w:hint="eastAsia"/>
          <w:color w:val="000000" w:themeColor="text1"/>
          <w:sz w:val="24"/>
          <w:szCs w:val="24"/>
          <w14:textFill>
            <w14:solidFill>
              <w14:schemeClr w14:val="tx1"/>
            </w14:solidFill>
          </w14:textFill>
        </w:rPr>
        <w:t>混凝土</w:t>
      </w:r>
      <w:r>
        <w:rPr>
          <w:color w:val="000000" w:themeColor="text1"/>
          <w:sz w:val="24"/>
          <w:szCs w:val="24"/>
          <w14:textFill>
            <w14:solidFill>
              <w14:schemeClr w14:val="tx1"/>
            </w14:solidFill>
          </w14:textFill>
        </w:rPr>
        <w:t>正拉粘结强度；</w:t>
      </w:r>
    </w:p>
    <w:p>
      <w:pPr>
        <w:spacing w:line="300" w:lineRule="auto"/>
        <w:ind w:firstLine="480" w:firstLineChars="200"/>
        <w:rPr>
          <w:bCs/>
          <w:color w:val="000000" w:themeColor="text1"/>
          <w:sz w:val="24"/>
          <w:szCs w:val="24"/>
          <w14:textFill>
            <w14:solidFill>
              <w14:schemeClr w14:val="tx1"/>
            </w14:solidFill>
          </w14:textFill>
        </w:rPr>
      </w:pPr>
      <w:r>
        <w:rPr>
          <w:color w:val="000000" w:themeColor="text1"/>
          <w:position w:val="-12"/>
          <w:sz w:val="24"/>
          <w14:textFill>
            <w14:solidFill>
              <w14:schemeClr w14:val="tx1"/>
            </w14:solidFill>
          </w14:textFill>
        </w:rPr>
        <w:object>
          <v:shape id="_x0000_i1039" o:spt="75" type="#_x0000_t75" style="height:19pt;width:17.3pt;" o:ole="t" filled="f" o:preferrelative="t" stroked="f" coordsize="21600,21600">
            <v:path/>
            <v:fill on="f" focussize="0,0"/>
            <v:stroke on="f" joinstyle="miter"/>
            <v:imagedata r:id="rId39" o:title=""/>
            <o:lock v:ext="edit" aspectratio="t"/>
            <w10:wrap type="none"/>
            <w10:anchorlock/>
          </v:shape>
          <o:OLEObject Type="Embed" ProgID="Equation.DSMT4" ShapeID="_x0000_i1039" DrawAspect="Content" ObjectID="_1468075739" r:id="rId38">
            <o:LockedField>false</o:LockedField>
          </o:OLEObject>
        </w:object>
      </w:r>
      <w:r>
        <w:rPr>
          <w:bCs/>
          <w:color w:val="000000" w:themeColor="text1"/>
          <w:sz w:val="24"/>
          <w:szCs w:val="24"/>
          <w14:textFill>
            <w14:solidFill>
              <w14:schemeClr w14:val="tx1"/>
            </w14:solidFill>
          </w14:textFill>
        </w:rPr>
        <w:t>——预埋吊件极限抗拔承载力实测值；</w:t>
      </w:r>
    </w:p>
    <w:p>
      <w:pPr>
        <w:tabs>
          <w:tab w:val="left" w:pos="0"/>
          <w:tab w:val="left" w:pos="840"/>
        </w:tabs>
        <w:adjustRightInd w:val="0"/>
        <w:snapToGrid w:val="0"/>
        <w:spacing w:line="300" w:lineRule="auto"/>
        <w:ind w:firstLine="480" w:firstLineChars="200"/>
        <w:rPr>
          <w:color w:val="000000" w:themeColor="text1"/>
          <w:sz w:val="24"/>
          <w:szCs w:val="24"/>
          <w14:textFill>
            <w14:solidFill>
              <w14:schemeClr w14:val="tx1"/>
            </w14:solidFill>
          </w14:textFill>
        </w:rPr>
      </w:pPr>
      <w:r>
        <w:rPr>
          <w:color w:val="000000" w:themeColor="text1"/>
          <w:position w:val="-12"/>
          <w:sz w:val="24"/>
          <w14:textFill>
            <w14:solidFill>
              <w14:schemeClr w14:val="tx1"/>
            </w14:solidFill>
          </w14:textFill>
        </w:rPr>
        <w:object>
          <v:shape id="_x0000_i1040" o:spt="75" type="#_x0000_t75" style="height:19pt;width:19.6pt;" o:ole="t" filled="f" o:preferrelative="t" stroked="f" coordsize="21600,21600">
            <v:path/>
            <v:fill on="f" focussize="0,0"/>
            <v:stroke on="f" joinstyle="miter"/>
            <v:imagedata r:id="rId41" o:title=""/>
            <o:lock v:ext="edit" aspectratio="t"/>
            <w10:wrap type="none"/>
            <w10:anchorlock/>
          </v:shape>
          <o:OLEObject Type="Embed" ProgID="Equation.DSMT4" ShapeID="_x0000_i1040" DrawAspect="Content" ObjectID="_1468075740" r:id="rId40">
            <o:LockedField>false</o:LockedField>
          </o:OLEObject>
        </w:object>
      </w:r>
      <w:r>
        <w:rPr>
          <w:color w:val="000000" w:themeColor="text1"/>
          <w:sz w:val="24"/>
          <w:szCs w:val="24"/>
          <w14:textFill>
            <w14:solidFill>
              <w14:schemeClr w14:val="tx1"/>
            </w14:solidFill>
          </w14:textFill>
        </w:rPr>
        <w:t>——</w:t>
      </w:r>
      <w:r>
        <w:rPr>
          <w:bCs/>
          <w:color w:val="000000" w:themeColor="text1"/>
          <w:sz w:val="24"/>
          <w:szCs w:val="24"/>
          <w14:textFill>
            <w14:solidFill>
              <w14:schemeClr w14:val="tx1"/>
            </w14:solidFill>
          </w14:textFill>
        </w:rPr>
        <w:t>预埋吊件</w:t>
      </w:r>
      <w:r>
        <w:rPr>
          <w:color w:val="000000" w:themeColor="text1"/>
          <w:sz w:val="24"/>
          <w:szCs w:val="24"/>
          <w14:textFill>
            <w14:solidFill>
              <w14:schemeClr w14:val="tx1"/>
            </w14:solidFill>
          </w14:textFill>
        </w:rPr>
        <w:t>极限抗拔承载力标准值；</w:t>
      </w:r>
    </w:p>
    <w:p>
      <w:pPr>
        <w:tabs>
          <w:tab w:val="left" w:pos="0"/>
          <w:tab w:val="left" w:pos="840"/>
        </w:tabs>
        <w:adjustRightInd w:val="0"/>
        <w:snapToGrid w:val="0"/>
        <w:spacing w:line="300" w:lineRule="auto"/>
        <w:ind w:firstLine="480" w:firstLineChars="200"/>
        <w:rPr>
          <w:color w:val="000000" w:themeColor="text1"/>
          <w:sz w:val="24"/>
          <w:szCs w:val="24"/>
          <w14:textFill>
            <w14:solidFill>
              <w14:schemeClr w14:val="tx1"/>
            </w14:solidFill>
          </w14:textFill>
        </w:rPr>
      </w:pPr>
      <w:r>
        <w:rPr>
          <w:color w:val="000000" w:themeColor="text1"/>
          <w:position w:val="-12"/>
          <w:sz w:val="24"/>
          <w14:textFill>
            <w14:solidFill>
              <w14:schemeClr w14:val="tx1"/>
            </w14:solidFill>
          </w14:textFill>
        </w:rPr>
        <w:object>
          <v:shape id="_x0000_i1041" o:spt="75" type="#_x0000_t75" style="height:19pt;width:22.45pt;" o:ole="t" filled="f" o:preferrelative="t" stroked="f" coordsize="21600,21600">
            <v:path/>
            <v:fill on="f" focussize="0,0"/>
            <v:stroke on="f" joinstyle="miter"/>
            <v:imagedata r:id="rId43" o:title=""/>
            <o:lock v:ext="edit" aspectratio="t"/>
            <w10:wrap type="none"/>
            <w10:anchorlock/>
          </v:shape>
          <o:OLEObject Type="Embed" ProgID="Equation.DSMT4" ShapeID="_x0000_i1041" DrawAspect="Content" ObjectID="_1468075741" r:id="rId42">
            <o:LockedField>false</o:LockedField>
          </o:OLEObject>
        </w:object>
      </w:r>
      <w:r>
        <w:rPr>
          <w:color w:val="000000" w:themeColor="text1"/>
          <w:sz w:val="24"/>
          <w:szCs w:val="24"/>
          <w14:textFill>
            <w14:solidFill>
              <w14:schemeClr w14:val="tx1"/>
            </w14:solidFill>
          </w14:textFill>
        </w:rPr>
        <w:t>——</w:t>
      </w:r>
      <w:r>
        <w:rPr>
          <w:bCs/>
          <w:color w:val="000000" w:themeColor="text1"/>
          <w:sz w:val="24"/>
          <w:szCs w:val="24"/>
          <w14:textFill>
            <w14:solidFill>
              <w14:schemeClr w14:val="tx1"/>
            </w14:solidFill>
          </w14:textFill>
        </w:rPr>
        <w:t>预埋吊件</w:t>
      </w:r>
      <w:r>
        <w:rPr>
          <w:color w:val="000000" w:themeColor="text1"/>
          <w:sz w:val="24"/>
          <w:szCs w:val="24"/>
          <w14:textFill>
            <w14:solidFill>
              <w14:schemeClr w14:val="tx1"/>
            </w14:solidFill>
          </w14:textFill>
        </w:rPr>
        <w:t>极限抗拔承载力平均值；</w:t>
      </w:r>
    </w:p>
    <w:p>
      <w:pPr>
        <w:spacing w:line="300" w:lineRule="auto"/>
        <w:ind w:firstLine="480" w:firstLineChars="200"/>
        <w:jc w:val="left"/>
        <w:rPr>
          <w:color w:val="000000" w:themeColor="text1"/>
          <w:sz w:val="24"/>
          <w:szCs w:val="24"/>
          <w14:textFill>
            <w14:solidFill>
              <w14:schemeClr w14:val="tx1"/>
            </w14:solidFill>
          </w14:textFill>
        </w:rPr>
      </w:pPr>
      <w:r>
        <w:rPr>
          <w:i/>
          <w:color w:val="000000" w:themeColor="text1"/>
          <w:sz w:val="24"/>
          <w:szCs w:val="24"/>
          <w14:textFill>
            <w14:solidFill>
              <w14:schemeClr w14:val="tx1"/>
            </w14:solidFill>
          </w14:textFill>
        </w:rPr>
        <w:t>P</w:t>
      </w:r>
      <w:r>
        <w:rPr>
          <w:color w:val="000000" w:themeColor="text1"/>
          <w:sz w:val="24"/>
          <w14:textFill>
            <w14:solidFill>
              <w14:schemeClr w14:val="tx1"/>
            </w14:solidFill>
          </w14:textFill>
        </w:rPr>
        <w:t>——</w:t>
      </w:r>
      <w:r>
        <w:rPr>
          <w:color w:val="000000" w:themeColor="text1"/>
          <w:sz w:val="24"/>
          <w:szCs w:val="24"/>
          <w14:textFill>
            <w14:solidFill>
              <w14:schemeClr w14:val="tx1"/>
            </w14:solidFill>
          </w14:textFill>
        </w:rPr>
        <w:t>混凝土芯样试件抗拉试验的破坏荷载值；</w:t>
      </w:r>
    </w:p>
    <w:p>
      <w:pPr>
        <w:spacing w:line="300" w:lineRule="auto"/>
        <w:ind w:firstLine="480" w:firstLineChars="200"/>
        <w:rPr>
          <w:bCs/>
          <w:color w:val="000000" w:themeColor="text1"/>
          <w:sz w:val="24"/>
          <w:szCs w:val="24"/>
          <w14:textFill>
            <w14:solidFill>
              <w14:schemeClr w14:val="tx1"/>
            </w14:solidFill>
          </w14:textFill>
        </w:rPr>
      </w:pPr>
      <w:r>
        <w:rPr>
          <w:color w:val="000000" w:themeColor="text1"/>
          <w:position w:val="-12"/>
          <w:sz w:val="24"/>
          <w14:textFill>
            <w14:solidFill>
              <w14:schemeClr w14:val="tx1"/>
            </w14:solidFill>
          </w14:textFill>
        </w:rPr>
        <w:object>
          <v:shape id="_x0000_i1042" o:spt="75" type="#_x0000_t75" style="height:19pt;width:13.25pt;" o:ole="t" filled="f" o:preferrelative="t" stroked="f" coordsize="21600,21600">
            <v:path/>
            <v:fill on="f" focussize="0,0"/>
            <v:stroke on="f" joinstyle="miter"/>
            <v:imagedata r:id="rId45" o:title=""/>
            <o:lock v:ext="edit" aspectratio="t"/>
            <w10:wrap type="none"/>
            <w10:anchorlock/>
          </v:shape>
          <o:OLEObject Type="Embed" ProgID="Equation.DSMT4" ShapeID="_x0000_i1042" DrawAspect="Content" ObjectID="_1468075742" r:id="rId44">
            <o:LockedField>false</o:LockedField>
          </o:OLEObject>
        </w:object>
      </w:r>
      <w:r>
        <w:rPr>
          <w:bCs/>
          <w:color w:val="000000" w:themeColor="text1"/>
          <w:sz w:val="24"/>
          <w:szCs w:val="24"/>
          <w14:textFill>
            <w14:solidFill>
              <w14:schemeClr w14:val="tx1"/>
            </w14:solidFill>
          </w14:textFill>
        </w:rPr>
        <w:t>——保温拉结件抗拔承载力实测值；</w:t>
      </w:r>
    </w:p>
    <w:p>
      <w:pPr>
        <w:spacing w:line="300" w:lineRule="auto"/>
        <w:ind w:firstLine="480" w:firstLineChars="200"/>
        <w:rPr>
          <w:bCs/>
          <w:color w:val="000000" w:themeColor="text1"/>
          <w:sz w:val="24"/>
          <w:szCs w:val="24"/>
          <w14:textFill>
            <w14:solidFill>
              <w14:schemeClr w14:val="tx1"/>
            </w14:solidFill>
          </w14:textFill>
        </w:rPr>
      </w:pPr>
      <w:r>
        <w:rPr>
          <w:color w:val="000000" w:themeColor="text1"/>
          <w:position w:val="-12"/>
          <w:sz w:val="24"/>
          <w14:textFill>
            <w14:solidFill>
              <w14:schemeClr w14:val="tx1"/>
            </w14:solidFill>
          </w14:textFill>
        </w:rPr>
        <w:object>
          <v:shape id="_x0000_i1043" o:spt="75" type="#_x0000_t75" style="height:19pt;width:19.6pt;" o:ole="t" filled="f" o:preferrelative="t" stroked="f" coordsize="21600,21600">
            <v:path/>
            <v:fill on="f" focussize="0,0"/>
            <v:stroke on="f" joinstyle="miter"/>
            <v:imagedata r:id="rId47" o:title=""/>
            <o:lock v:ext="edit" aspectratio="t"/>
            <w10:wrap type="none"/>
            <w10:anchorlock/>
          </v:shape>
          <o:OLEObject Type="Embed" ProgID="Equation.DSMT4" ShapeID="_x0000_i1043" DrawAspect="Content" ObjectID="_1468075743" r:id="rId46">
            <o:LockedField>false</o:LockedField>
          </o:OLEObject>
        </w:object>
      </w:r>
      <w:r>
        <w:rPr>
          <w:bCs/>
          <w:color w:val="000000" w:themeColor="text1"/>
          <w:sz w:val="24"/>
          <w:szCs w:val="24"/>
          <w14:textFill>
            <w14:solidFill>
              <w14:schemeClr w14:val="tx1"/>
            </w14:solidFill>
          </w14:textFill>
        </w:rPr>
        <w:t>——保温拉结件抗拔承载力平均值；</w:t>
      </w:r>
    </w:p>
    <w:p>
      <w:pPr>
        <w:spacing w:line="300" w:lineRule="auto"/>
        <w:ind w:firstLine="480" w:firstLineChars="200"/>
        <w:rPr>
          <w:bCs/>
          <w:color w:val="000000" w:themeColor="text1"/>
          <w:sz w:val="24"/>
          <w:szCs w:val="24"/>
          <w14:textFill>
            <w14:solidFill>
              <w14:schemeClr w14:val="tx1"/>
            </w14:solidFill>
          </w14:textFill>
        </w:rPr>
      </w:pPr>
      <w:r>
        <w:rPr>
          <w:color w:val="000000" w:themeColor="text1"/>
          <w:position w:val="-12"/>
          <w:sz w:val="24"/>
          <w14:textFill>
            <w14:solidFill>
              <w14:schemeClr w14:val="tx1"/>
            </w14:solidFill>
          </w14:textFill>
        </w:rPr>
        <w:object>
          <v:shape id="_x0000_i1044" o:spt="75" type="#_x0000_t75" style="height:19pt;width:17.3pt;" o:ole="t" filled="f" o:preferrelative="t" stroked="f" coordsize="21600,21600">
            <v:path/>
            <v:fill on="f" focussize="0,0"/>
            <v:stroke on="f" joinstyle="miter"/>
            <v:imagedata r:id="rId49" o:title=""/>
            <o:lock v:ext="edit" aspectratio="t"/>
            <w10:wrap type="none"/>
            <w10:anchorlock/>
          </v:shape>
          <o:OLEObject Type="Embed" ProgID="Equation.DSMT4" ShapeID="_x0000_i1044" DrawAspect="Content" ObjectID="_1468075744" r:id="rId48">
            <o:LockedField>false</o:LockedField>
          </o:OLEObject>
        </w:object>
      </w:r>
      <w:r>
        <w:rPr>
          <w:bCs/>
          <w:color w:val="000000" w:themeColor="text1"/>
          <w:sz w:val="24"/>
          <w:szCs w:val="24"/>
          <w14:textFill>
            <w14:solidFill>
              <w14:schemeClr w14:val="tx1"/>
            </w14:solidFill>
          </w14:textFill>
        </w:rPr>
        <w:t>——保温拉结件抗拔承载力标准值；</w:t>
      </w:r>
    </w:p>
    <w:p>
      <w:pPr>
        <w:spacing w:line="300" w:lineRule="auto"/>
        <w:ind w:firstLine="480" w:firstLineChars="200"/>
        <w:rPr>
          <w:color w:val="000000" w:themeColor="text1"/>
          <w:sz w:val="24"/>
          <w:szCs w:val="24"/>
          <w14:textFill>
            <w14:solidFill>
              <w14:schemeClr w14:val="tx1"/>
            </w14:solidFill>
          </w14:textFill>
        </w:rPr>
      </w:pPr>
      <w:r>
        <w:rPr>
          <w:color w:val="000000" w:themeColor="text1"/>
          <w:position w:val="-6"/>
          <w:sz w:val="24"/>
          <w14:textFill>
            <w14:solidFill>
              <w14:schemeClr w14:val="tx1"/>
            </w14:solidFill>
          </w14:textFill>
        </w:rPr>
        <w:object>
          <v:shape id="_x0000_i1045" o:spt="75" type="#_x0000_t75" style="height:11.5pt;width:9.8pt;" o:ole="t" filled="f" o:preferrelative="t" stroked="f" coordsize="21600,21600">
            <v:path/>
            <v:fill on="f" focussize="0,0"/>
            <v:stroke on="f" joinstyle="miter"/>
            <v:imagedata r:id="rId51" o:title=""/>
            <o:lock v:ext="edit" aspectratio="t"/>
            <w10:wrap type="none"/>
            <w10:anchorlock/>
          </v:shape>
          <o:OLEObject Type="Embed" ProgID="Equation.DSMT4" ShapeID="_x0000_i1045" DrawAspect="Content" ObjectID="_1468075745" r:id="rId50">
            <o:LockedField>false</o:LockedField>
          </o:OLEObject>
        </w:object>
      </w:r>
      <w:r>
        <w:rPr>
          <w:color w:val="000000" w:themeColor="text1"/>
          <w:sz w:val="24"/>
          <w:szCs w:val="24"/>
          <w14:textFill>
            <w14:solidFill>
              <w14:schemeClr w14:val="tx1"/>
            </w14:solidFill>
          </w14:textFill>
        </w:rPr>
        <w:t>——</w:t>
      </w:r>
      <w:r>
        <w:rPr>
          <w:bCs/>
          <w:color w:val="000000" w:themeColor="text1"/>
          <w:sz w:val="24"/>
          <w:szCs w:val="24"/>
          <w14:textFill>
            <w14:solidFill>
              <w14:schemeClr w14:val="tx1"/>
            </w14:solidFill>
          </w14:textFill>
        </w:rPr>
        <w:t>预埋吊件</w:t>
      </w:r>
      <w:r>
        <w:rPr>
          <w:color w:val="000000" w:themeColor="text1"/>
          <w:sz w:val="24"/>
          <w:szCs w:val="24"/>
          <w14:textFill>
            <w14:solidFill>
              <w14:schemeClr w14:val="tx1"/>
            </w14:solidFill>
          </w14:textFill>
        </w:rPr>
        <w:t>极限抗拔承载力标准差；</w:t>
      </w:r>
    </w:p>
    <w:p>
      <w:pPr>
        <w:spacing w:line="300" w:lineRule="auto"/>
        <w:ind w:firstLine="480" w:firstLineChars="200"/>
        <w:rPr>
          <w:bCs/>
          <w:color w:val="000000" w:themeColor="text1"/>
          <w:sz w:val="24"/>
          <w:szCs w:val="24"/>
          <w14:textFill>
            <w14:solidFill>
              <w14:schemeClr w14:val="tx1"/>
            </w14:solidFill>
          </w14:textFill>
        </w:rPr>
      </w:pPr>
      <w:r>
        <w:rPr>
          <w:color w:val="000000" w:themeColor="text1"/>
          <w:position w:val="-12"/>
          <w:sz w:val="24"/>
          <w14:textFill>
            <w14:solidFill>
              <w14:schemeClr w14:val="tx1"/>
            </w14:solidFill>
          </w14:textFill>
        </w:rPr>
        <w:object>
          <v:shape id="_x0000_i1046" o:spt="75" type="#_x0000_t75" style="height:19pt;width:13.25pt;" o:ole="t" filled="f" o:preferrelative="t" stroked="f" coordsize="21600,21600">
            <v:path/>
            <v:fill on="f" focussize="0,0"/>
            <v:stroke on="f" joinstyle="miter"/>
            <v:imagedata r:id="rId53" o:title=""/>
            <o:lock v:ext="edit" aspectratio="t"/>
            <w10:wrap type="none"/>
            <w10:anchorlock/>
          </v:shape>
          <o:OLEObject Type="Embed" ProgID="Equation.DSMT4" ShapeID="_x0000_i1046" DrawAspect="Content" ObjectID="_1468075746" r:id="rId52">
            <o:LockedField>false</o:LockedField>
          </o:OLEObject>
        </w:object>
      </w:r>
      <w:r>
        <w:rPr>
          <w:bCs/>
          <w:color w:val="000000" w:themeColor="text1"/>
          <w:sz w:val="24"/>
          <w:szCs w:val="24"/>
          <w14:textFill>
            <w14:solidFill>
              <w14:schemeClr w14:val="tx1"/>
            </w14:solidFill>
          </w14:textFill>
        </w:rPr>
        <w:t>——保温拉结件抗拔承载力标准差；</w:t>
      </w:r>
    </w:p>
    <w:p>
      <w:pPr>
        <w:adjustRightInd w:val="0"/>
        <w:snapToGrid w:val="0"/>
        <w:spacing w:line="300" w:lineRule="auto"/>
        <w:ind w:firstLine="480" w:firstLineChars="200"/>
        <w:rPr>
          <w:color w:val="000000" w:themeColor="text1"/>
          <w:sz w:val="24"/>
          <w14:textFill>
            <w14:solidFill>
              <w14:schemeClr w14:val="tx1"/>
            </w14:solidFill>
          </w14:textFill>
        </w:rPr>
      </w:pPr>
      <w:r>
        <w:rPr>
          <w:color w:val="000000" w:themeColor="text1"/>
          <w:position w:val="-14"/>
          <w:sz w:val="24"/>
          <w14:textFill>
            <w14:solidFill>
              <w14:schemeClr w14:val="tx1"/>
            </w14:solidFill>
          </w14:textFill>
        </w:rPr>
        <w:object>
          <v:shape id="_x0000_i1047" o:spt="75" type="#_x0000_t75" style="height:22.45pt;width:27.05pt;" o:ole="t" filled="f" o:preferrelative="t" stroked="f" coordsize="21600,21600">
            <v:path/>
            <v:fill on="f" focussize="0,0"/>
            <v:stroke on="f" joinstyle="miter"/>
            <v:imagedata r:id="rId55" o:title=""/>
            <o:lock v:ext="edit" aspectratio="t"/>
            <w10:wrap type="none"/>
            <w10:anchorlock/>
          </v:shape>
          <o:OLEObject Type="Embed" ProgID="Equation.DSMT4" ShapeID="_x0000_i1047" DrawAspect="Content" ObjectID="_1468075747" r:id="rId54">
            <o:LockedField>false</o:LockedField>
          </o:OLEObject>
        </w:object>
      </w:r>
      <w:r>
        <w:rPr>
          <w:color w:val="000000" w:themeColor="text1"/>
          <w:sz w:val="24"/>
          <w14:textFill>
            <w14:solidFill>
              <w14:schemeClr w14:val="tx1"/>
            </w14:solidFill>
          </w14:textFill>
        </w:rPr>
        <w:t>——芯样试件</w:t>
      </w:r>
      <w:r>
        <w:rPr>
          <w:color w:val="000000" w:themeColor="text1"/>
          <w:sz w:val="24"/>
          <w:szCs w:val="24"/>
          <w14:textFill>
            <w14:solidFill>
              <w14:schemeClr w14:val="tx1"/>
            </w14:solidFill>
          </w14:textFill>
        </w:rPr>
        <w:t>混凝土抗压强度换算值的</w:t>
      </w:r>
      <w:r>
        <w:rPr>
          <w:color w:val="000000" w:themeColor="text1"/>
          <w:sz w:val="24"/>
          <w14:textFill>
            <w14:solidFill>
              <w14:schemeClr w14:val="tx1"/>
            </w14:solidFill>
          </w14:textFill>
        </w:rPr>
        <w:t>标准差；</w:t>
      </w:r>
    </w:p>
    <w:p>
      <w:pPr>
        <w:pStyle w:val="72"/>
        <w:spacing w:line="300" w:lineRule="auto"/>
        <w:ind w:firstLine="480"/>
        <w:rPr>
          <w:color w:val="000000" w:themeColor="text1"/>
          <w:sz w:val="24"/>
          <w:szCs w:val="24"/>
          <w14:textFill>
            <w14:solidFill>
              <w14:schemeClr w14:val="tx1"/>
            </w14:solidFill>
          </w14:textFill>
        </w:rPr>
      </w:pPr>
      <w:r>
        <w:rPr>
          <w:color w:val="000000" w:themeColor="text1"/>
          <w:position w:val="-14"/>
          <w:sz w:val="24"/>
          <w:szCs w:val="24"/>
          <w14:textFill>
            <w14:solidFill>
              <w14:schemeClr w14:val="tx1"/>
            </w14:solidFill>
          </w14:textFill>
        </w:rPr>
        <w:object>
          <v:shape id="_x0000_i1048" o:spt="75" type="#_x0000_t75" style="height:19.6pt;width:17.3pt;" o:ole="t" filled="f" o:preferrelative="t" stroked="f" coordsize="21600,21600">
            <v:path/>
            <v:fill on="f" focussize="0,0"/>
            <v:stroke on="f" joinstyle="miter"/>
            <v:imagedata r:id="rId57" o:title=""/>
            <o:lock v:ext="edit" aspectratio="t"/>
            <w10:wrap type="none"/>
            <w10:anchorlock/>
          </v:shape>
          <o:OLEObject Type="Embed" ProgID="Equation.DSMT4" ShapeID="_x0000_i1048" DrawAspect="Content" ObjectID="_1468075748" r:id="rId56">
            <o:LockedField>false</o:LockedField>
          </o:OLEObject>
        </w:object>
      </w:r>
      <w:r>
        <w:rPr>
          <w:iCs/>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灌浆料抗压强度换算值的标准差。</w:t>
      </w:r>
    </w:p>
    <w:p>
      <w:pPr>
        <w:pStyle w:val="72"/>
        <w:spacing w:line="300" w:lineRule="auto"/>
        <w:ind w:firstLine="0" w:firstLineChars="0"/>
        <w:rPr>
          <w:sz w:val="24"/>
          <w:szCs w:val="24"/>
        </w:rPr>
      </w:pPr>
      <w:r>
        <w:rPr>
          <w:b/>
          <w:sz w:val="24"/>
          <w:szCs w:val="24"/>
        </w:rPr>
        <w:t>2.2.3</w:t>
      </w:r>
      <w:r>
        <w:rPr>
          <w:sz w:val="24"/>
          <w:szCs w:val="24"/>
        </w:rPr>
        <w:t xml:space="preserve">  物理指标</w:t>
      </w:r>
    </w:p>
    <w:p>
      <w:pPr>
        <w:spacing w:line="300" w:lineRule="auto"/>
        <w:ind w:firstLine="480" w:firstLineChars="200"/>
        <w:rPr>
          <w:color w:val="000000" w:themeColor="text1"/>
          <w:sz w:val="24"/>
          <w:szCs w:val="24"/>
          <w14:textFill>
            <w14:solidFill>
              <w14:schemeClr w14:val="tx1"/>
            </w14:solidFill>
          </w14:textFill>
        </w:rPr>
      </w:pPr>
      <w:r>
        <w:rPr>
          <w:color w:val="000000" w:themeColor="text1"/>
          <w:position w:val="-14"/>
          <w:sz w:val="24"/>
          <w:szCs w:val="24"/>
          <w14:textFill>
            <w14:solidFill>
              <w14:schemeClr w14:val="tx1"/>
            </w14:solidFill>
          </w14:textFill>
        </w:rPr>
        <w:object>
          <v:shape id="_x0000_i1049" o:spt="75" type="#_x0000_t75" style="height:19.6pt;width:22.45pt;" o:ole="t" filled="f" o:preferrelative="t" stroked="f" coordsize="21600,21600">
            <v:path/>
            <v:fill on="f" focussize="0,0"/>
            <v:stroke on="f" joinstyle="miter"/>
            <v:imagedata r:id="rId59" o:title=""/>
            <o:lock v:ext="edit" aspectratio="t"/>
            <w10:wrap type="none"/>
            <w10:anchorlock/>
          </v:shape>
          <o:OLEObject Type="Embed" ProgID="Equation.DSMT4" ShapeID="_x0000_i1049" DrawAspect="Content" ObjectID="_1468075749" r:id="rId58">
            <o:LockedField>false</o:LockedField>
          </o:OLEObject>
        </w:object>
      </w:r>
      <w:r>
        <w:rPr>
          <w:sz w:val="24"/>
          <w:szCs w:val="24"/>
        </w:rPr>
        <w:t>——</w:t>
      </w:r>
      <w:r>
        <w:rPr>
          <w:color w:val="000000" w:themeColor="text1"/>
          <w:sz w:val="24"/>
          <w:szCs w:val="24"/>
          <w14:textFill>
            <w14:solidFill>
              <w14:schemeClr w14:val="tx1"/>
            </w14:solidFill>
          </w14:textFill>
        </w:rPr>
        <w:t>灌浆料回弹值的平均值。</w:t>
      </w:r>
    </w:p>
    <w:p>
      <w:pPr>
        <w:spacing w:line="300" w:lineRule="auto"/>
        <w:rPr>
          <w:sz w:val="24"/>
          <w:szCs w:val="24"/>
        </w:rPr>
      </w:pPr>
      <w:r>
        <w:rPr>
          <w:b/>
          <w:sz w:val="24"/>
          <w:szCs w:val="24"/>
        </w:rPr>
        <w:t>2.2.4</w:t>
      </w:r>
      <w:r>
        <w:rPr>
          <w:sz w:val="24"/>
          <w:szCs w:val="24"/>
        </w:rPr>
        <w:t xml:space="preserve">  计算系数及其他</w:t>
      </w:r>
    </w:p>
    <w:p>
      <w:pPr>
        <w:spacing w:line="300" w:lineRule="auto"/>
        <w:ind w:firstLine="480" w:firstLineChars="200"/>
        <w:rPr>
          <w:sz w:val="24"/>
          <w:szCs w:val="24"/>
        </w:rPr>
      </w:pPr>
      <w:r>
        <w:rPr>
          <w:i/>
          <w:sz w:val="24"/>
          <w:szCs w:val="24"/>
        </w:rPr>
        <w:t>e</w:t>
      </w:r>
      <w:r>
        <w:rPr>
          <w:sz w:val="24"/>
          <w:szCs w:val="24"/>
          <w:vertAlign w:val="subscript"/>
        </w:rPr>
        <w:t>r</w:t>
      </w:r>
      <w:r>
        <w:rPr>
          <w:sz w:val="24"/>
          <w:szCs w:val="24"/>
        </w:rPr>
        <w:t>——回归方程</w:t>
      </w:r>
      <w:r>
        <w:rPr>
          <w:rFonts w:hint="eastAsia"/>
          <w:sz w:val="24"/>
          <w:szCs w:val="24"/>
        </w:rPr>
        <w:t>式</w:t>
      </w:r>
      <w:r>
        <w:rPr>
          <w:sz w:val="24"/>
          <w:szCs w:val="24"/>
        </w:rPr>
        <w:t>的强度值相对标准差；</w:t>
      </w:r>
    </w:p>
    <w:p>
      <w:pPr>
        <w:pStyle w:val="72"/>
        <w:spacing w:line="300" w:lineRule="auto"/>
        <w:ind w:firstLine="480"/>
        <w:rPr>
          <w:position w:val="-14"/>
          <w:sz w:val="24"/>
          <w:szCs w:val="24"/>
        </w:rPr>
      </w:pPr>
      <w:r>
        <w:rPr>
          <w:position w:val="-14"/>
          <w:sz w:val="24"/>
          <w:szCs w:val="24"/>
        </w:rPr>
        <w:t>k——0.5</w:t>
      </w:r>
      <w:r>
        <w:rPr>
          <w:rFonts w:hint="eastAsia"/>
          <w:position w:val="-14"/>
          <w:sz w:val="24"/>
          <w:szCs w:val="24"/>
        </w:rPr>
        <w:t>分位值</w:t>
      </w:r>
      <w:r>
        <w:rPr>
          <w:position w:val="-14"/>
          <w:sz w:val="24"/>
          <w:szCs w:val="24"/>
        </w:rPr>
        <w:t>推定系数；</w:t>
      </w:r>
    </w:p>
    <w:p>
      <w:pPr>
        <w:pStyle w:val="72"/>
        <w:spacing w:line="300" w:lineRule="auto"/>
        <w:ind w:firstLine="0" w:firstLineChars="0"/>
        <w:rPr>
          <w:position w:val="-14"/>
          <w:sz w:val="24"/>
          <w:szCs w:val="24"/>
        </w:rPr>
      </w:pPr>
      <w:r>
        <w:rPr>
          <w:position w:val="-14"/>
          <w:sz w:val="24"/>
          <w:szCs w:val="24"/>
        </w:rPr>
        <w:t>k</w:t>
      </w:r>
      <w:r>
        <w:rPr>
          <w:position w:val="-14"/>
          <w:sz w:val="24"/>
          <w:szCs w:val="24"/>
          <w:vertAlign w:val="subscript"/>
        </w:rPr>
        <w:t>1</w:t>
      </w:r>
      <w:r>
        <w:rPr>
          <w:position w:val="-14"/>
          <w:sz w:val="24"/>
          <w:szCs w:val="24"/>
        </w:rPr>
        <w:t>、k</w:t>
      </w:r>
      <w:r>
        <w:rPr>
          <w:position w:val="-14"/>
          <w:sz w:val="24"/>
          <w:szCs w:val="24"/>
          <w:vertAlign w:val="subscript"/>
        </w:rPr>
        <w:t xml:space="preserve">2 </w:t>
      </w:r>
      <w:r>
        <w:rPr>
          <w:position w:val="-14"/>
          <w:sz w:val="24"/>
          <w:szCs w:val="24"/>
        </w:rPr>
        <w:t>——0.05</w:t>
      </w:r>
      <w:r>
        <w:rPr>
          <w:rFonts w:hint="eastAsia"/>
          <w:position w:val="-14"/>
          <w:sz w:val="24"/>
          <w:szCs w:val="24"/>
        </w:rPr>
        <w:t>分位值</w:t>
      </w:r>
      <w:r>
        <w:rPr>
          <w:position w:val="-14"/>
          <w:sz w:val="24"/>
          <w:szCs w:val="24"/>
        </w:rPr>
        <w:t>推定区间的上限系数、下限系数；</w:t>
      </w:r>
    </w:p>
    <w:p>
      <w:pPr>
        <w:pStyle w:val="72"/>
        <w:spacing w:line="300" w:lineRule="auto"/>
        <w:ind w:firstLine="0" w:firstLineChars="0"/>
        <w:rPr>
          <w:color w:val="000000" w:themeColor="text1"/>
          <w:position w:val="-14"/>
          <w:sz w:val="24"/>
          <w:szCs w:val="24"/>
          <w14:textFill>
            <w14:solidFill>
              <w14:schemeClr w14:val="tx1"/>
            </w14:solidFill>
          </w14:textFill>
        </w:rPr>
      </w:pPr>
      <w:r>
        <w:rPr>
          <w:i/>
          <w:color w:val="000000" w:themeColor="text1"/>
          <w:position w:val="-14"/>
          <w:sz w:val="24"/>
          <w:szCs w:val="24"/>
          <w14:textFill>
            <w14:solidFill>
              <w14:schemeClr w14:val="tx1"/>
            </w14:solidFill>
          </w14:textFill>
        </w:rPr>
        <w:t>α、</w:t>
      </w:r>
      <w:r>
        <w:rPr>
          <w:rFonts w:hint="eastAsia"/>
          <w:i/>
          <w:color w:val="000000" w:themeColor="text1"/>
          <w:position w:val="-14"/>
          <w:sz w:val="24"/>
          <w:szCs w:val="24"/>
          <w14:textFill>
            <w14:solidFill>
              <w14:schemeClr w14:val="tx1"/>
            </w14:solidFill>
          </w14:textFill>
        </w:rPr>
        <w:t>λ</w:t>
      </w:r>
      <w:r>
        <w:rPr>
          <w:color w:val="000000" w:themeColor="text1"/>
          <w:position w:val="-14"/>
          <w:sz w:val="24"/>
          <w:szCs w:val="24"/>
          <w14:textFill>
            <w14:solidFill>
              <w14:schemeClr w14:val="tx1"/>
            </w14:solidFill>
          </w14:textFill>
        </w:rPr>
        <w:t>——回归系数；</w:t>
      </w:r>
    </w:p>
    <w:p>
      <w:pPr>
        <w:spacing w:line="300" w:lineRule="auto"/>
        <w:ind w:firstLine="480" w:firstLineChars="200"/>
        <w:rPr>
          <w:sz w:val="24"/>
          <w:szCs w:val="24"/>
        </w:rPr>
      </w:pPr>
      <w:r>
        <w:rPr>
          <w:i/>
          <w:sz w:val="24"/>
          <w:szCs w:val="24"/>
        </w:rPr>
        <w:t>δ</w:t>
      </w:r>
      <w:r>
        <w:rPr>
          <w:sz w:val="24"/>
          <w:szCs w:val="24"/>
          <w:vertAlign w:val="subscript"/>
        </w:rPr>
        <w:t>r</w:t>
      </w:r>
      <w:r>
        <w:rPr>
          <w:sz w:val="24"/>
          <w:szCs w:val="24"/>
        </w:rPr>
        <w:t>——回归方程</w:t>
      </w:r>
      <w:r>
        <w:rPr>
          <w:rFonts w:hint="eastAsia"/>
          <w:sz w:val="24"/>
          <w:szCs w:val="24"/>
        </w:rPr>
        <w:t>式</w:t>
      </w:r>
      <w:r>
        <w:rPr>
          <w:sz w:val="24"/>
          <w:szCs w:val="24"/>
        </w:rPr>
        <w:t>的强度值平均相对误差；</w:t>
      </w:r>
    </w:p>
    <w:p>
      <w:pPr>
        <w:pStyle w:val="72"/>
        <w:spacing w:line="300" w:lineRule="auto"/>
        <w:ind w:firstLine="480"/>
        <w:rPr>
          <w:position w:val="-14"/>
          <w:sz w:val="24"/>
          <w:szCs w:val="24"/>
        </w:rPr>
      </w:pPr>
      <w:r>
        <w:rPr>
          <w:i/>
          <w:position w:val="-14"/>
          <w:sz w:val="24"/>
          <w:szCs w:val="24"/>
        </w:rPr>
        <w:t>ζ</w:t>
      </w:r>
      <w:r>
        <w:rPr>
          <w:position w:val="-14"/>
          <w:sz w:val="24"/>
          <w:szCs w:val="24"/>
        </w:rPr>
        <w:t>——粗糙面与结合面的面积比；</w:t>
      </w:r>
    </w:p>
    <w:p>
      <w:pPr>
        <w:pStyle w:val="72"/>
        <w:spacing w:line="300" w:lineRule="auto"/>
        <w:ind w:firstLine="480"/>
        <w:rPr>
          <w:color w:val="000000" w:themeColor="text1"/>
          <w:sz w:val="24"/>
          <w14:textFill>
            <w14:solidFill>
              <w14:schemeClr w14:val="tx1"/>
            </w14:solidFill>
          </w14:textFill>
        </w:rPr>
      </w:pPr>
      <w:r>
        <w:rPr>
          <w:color w:val="000000" w:themeColor="text1"/>
          <w:position w:val="-12"/>
          <w:sz w:val="24"/>
          <w14:textFill>
            <w14:solidFill>
              <w14:schemeClr w14:val="tx1"/>
            </w14:solidFill>
          </w14:textFill>
        </w:rPr>
        <w:object>
          <v:shape id="_x0000_i1050" o:spt="75" type="#_x0000_t75" style="height:19pt;width:13.25pt;" o:ole="t" filled="f" o:preferrelative="t" stroked="f" coordsize="21600,21600">
            <v:path/>
            <v:fill on="f" focussize="0,0"/>
            <v:stroke on="f" joinstyle="miter"/>
            <v:imagedata r:id="rId61" o:title=""/>
            <o:lock v:ext="edit" aspectratio="t"/>
            <w10:wrap type="none"/>
            <w10:anchorlock/>
          </v:shape>
          <o:OLEObject Type="Embed" ProgID="Equation.DSMT4" ShapeID="_x0000_i1050" DrawAspect="Content" ObjectID="_1468075750" r:id="rId60">
            <o:LockedField>false</o:LockedField>
          </o:OLEObject>
        </w:objec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芯样试件混凝土抗压强度换算系数；</w:t>
      </w:r>
    </w:p>
    <w:p>
      <w:pPr>
        <w:pStyle w:val="72"/>
        <w:spacing w:line="300" w:lineRule="auto"/>
        <w:ind w:firstLine="480"/>
        <w:rPr>
          <w:color w:val="000000" w:themeColor="text1"/>
          <w:position w:val="-14"/>
          <w:sz w:val="24"/>
          <w:szCs w:val="24"/>
          <w14:textFill>
            <w14:solidFill>
              <w14:schemeClr w14:val="tx1"/>
            </w14:solidFill>
          </w14:textFill>
        </w:rPr>
      </w:pPr>
      <w:r>
        <w:rPr>
          <w:color w:val="000000" w:themeColor="text1"/>
          <w:position w:val="-14"/>
          <w:sz w:val="24"/>
          <w14:textFill>
            <w14:solidFill>
              <w14:schemeClr w14:val="tx1"/>
            </w14:solidFill>
          </w14:textFill>
        </w:rPr>
        <w:object>
          <v:shape id="_x0000_i1051" o:spt="75" type="#_x0000_t75" style="height:19.6pt;width:19.6pt;" o:ole="t" filled="f" o:preferrelative="t" stroked="f" coordsize="21600,21600">
            <v:path/>
            <v:fill on="f" focussize="0,0"/>
            <v:stroke on="f" joinstyle="miter"/>
            <v:imagedata r:id="rId63" o:title=""/>
            <o:lock v:ext="edit" aspectratio="t"/>
            <w10:wrap type="none"/>
            <w10:anchorlock/>
          </v:shape>
          <o:OLEObject Type="Embed" ProgID="Equation.DSMT4" ShapeID="_x0000_i1051" DrawAspect="Content" ObjectID="_1468075751" r:id="rId62">
            <o:LockedField>false</o:LockedField>
          </o:OLEObject>
        </w:objec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灌浆料圆柱体试件抗压强度换算系数。</w:t>
      </w:r>
    </w:p>
    <w:p>
      <w:pPr>
        <w:pStyle w:val="72"/>
        <w:adjustRightInd/>
        <w:snapToGrid/>
        <w:spacing w:line="360" w:lineRule="auto"/>
        <w:ind w:firstLine="0" w:firstLineChars="0"/>
        <w:rPr>
          <w:sz w:val="24"/>
          <w:szCs w:val="24"/>
        </w:rPr>
      </w:pPr>
      <w:r>
        <w:rPr>
          <w:bCs/>
          <w:sz w:val="22"/>
        </w:rPr>
        <w:br w:type="page"/>
      </w:r>
    </w:p>
    <w:p>
      <w:pPr>
        <w:keepNext/>
        <w:keepLines/>
        <w:spacing w:before="240" w:beforeLines="100" w:after="120" w:afterLines="50" w:line="400" w:lineRule="exact"/>
        <w:jc w:val="center"/>
        <w:outlineLvl w:val="0"/>
        <w:rPr>
          <w:b/>
          <w:kern w:val="44"/>
          <w:sz w:val="28"/>
          <w:szCs w:val="28"/>
        </w:rPr>
      </w:pPr>
      <w:bookmarkStart w:id="41" w:name="_Toc120020275"/>
      <w:r>
        <w:rPr>
          <w:b/>
          <w:kern w:val="44"/>
          <w:sz w:val="28"/>
          <w:szCs w:val="28"/>
        </w:rPr>
        <w:t>3  基本规定</w:t>
      </w:r>
      <w:bookmarkEnd w:id="41"/>
      <w:r>
        <w:rPr>
          <w:b/>
          <w:kern w:val="44"/>
          <w:sz w:val="30"/>
          <w:szCs w:val="30"/>
        </w:rPr>
        <w:fldChar w:fldCharType="begin"/>
      </w:r>
      <w:r>
        <w:rPr>
          <w:b/>
          <w:kern w:val="44"/>
          <w:sz w:val="30"/>
          <w:szCs w:val="30"/>
        </w:rPr>
        <w:instrText xml:space="preserve"> TC  "</w:instrText>
      </w:r>
      <w:bookmarkStart w:id="42" w:name="_Toc135038259"/>
      <w:bookmarkStart w:id="43" w:name="_Toc108470219"/>
      <w:r>
        <w:rPr>
          <w:b/>
          <w:kern w:val="44"/>
          <w:sz w:val="30"/>
          <w:szCs w:val="30"/>
        </w:rPr>
        <w:instrText xml:space="preserve">3  Basic requirements</w:instrText>
      </w:r>
      <w:bookmarkEnd w:id="42"/>
      <w:bookmarkEnd w:id="43"/>
      <w:r>
        <w:rPr>
          <w:b/>
          <w:kern w:val="44"/>
          <w:sz w:val="30"/>
          <w:szCs w:val="30"/>
        </w:rPr>
        <w:instrText xml:space="preserve">" \l 1 </w:instrText>
      </w:r>
      <w:r>
        <w:rPr>
          <w:b/>
          <w:kern w:val="44"/>
          <w:sz w:val="30"/>
          <w:szCs w:val="30"/>
        </w:rPr>
        <w:fldChar w:fldCharType="end"/>
      </w:r>
    </w:p>
    <w:p>
      <w:pPr>
        <w:keepNext/>
        <w:keepLines/>
        <w:spacing w:before="120" w:beforeLines="50" w:after="120" w:afterLines="50" w:line="400" w:lineRule="exact"/>
        <w:jc w:val="center"/>
        <w:outlineLvl w:val="1"/>
        <w:rPr>
          <w:b/>
          <w:kern w:val="0"/>
          <w:sz w:val="24"/>
          <w:szCs w:val="24"/>
        </w:rPr>
      </w:pPr>
      <w:bookmarkStart w:id="44" w:name="_Toc120020276"/>
      <w:r>
        <w:rPr>
          <w:b/>
          <w:kern w:val="0"/>
          <w:sz w:val="24"/>
          <w:szCs w:val="24"/>
        </w:rPr>
        <w:t>3.1  检测分类</w:t>
      </w:r>
      <w:bookmarkEnd w:id="44"/>
      <w:r>
        <w:rPr>
          <w:rFonts w:eastAsia="黑体"/>
          <w:b/>
          <w:kern w:val="0"/>
          <w:sz w:val="28"/>
        </w:rPr>
        <w:fldChar w:fldCharType="begin"/>
      </w:r>
      <w:r>
        <w:rPr>
          <w:rFonts w:eastAsia="黑体"/>
          <w:b/>
          <w:kern w:val="0"/>
          <w:sz w:val="28"/>
        </w:rPr>
        <w:instrText xml:space="preserve"> TC  "</w:instrText>
      </w:r>
      <w:bookmarkStart w:id="45" w:name="_Toc135038260"/>
      <w:bookmarkStart w:id="46" w:name="_Toc108470220"/>
      <w:r>
        <w:rPr>
          <w:rFonts w:eastAsia="黑体"/>
          <w:b/>
          <w:kern w:val="0"/>
          <w:sz w:val="28"/>
        </w:rPr>
        <w:instrText xml:space="preserve">3.1  Classification of inspection</w:instrText>
      </w:r>
      <w:bookmarkEnd w:id="45"/>
      <w:bookmarkEnd w:id="46"/>
      <w:r>
        <w:rPr>
          <w:rFonts w:eastAsia="黑体"/>
          <w:b/>
          <w:kern w:val="0"/>
          <w:sz w:val="28"/>
        </w:rPr>
        <w:instrText xml:space="preserve">" \l 2 </w:instrText>
      </w:r>
      <w:r>
        <w:rPr>
          <w:rFonts w:eastAsia="黑体"/>
          <w:b/>
          <w:kern w:val="0"/>
          <w:sz w:val="28"/>
        </w:rPr>
        <w:fldChar w:fldCharType="end"/>
      </w:r>
    </w:p>
    <w:p>
      <w:pPr>
        <w:spacing w:line="360" w:lineRule="auto"/>
        <w:rPr>
          <w:bCs/>
          <w:sz w:val="24"/>
          <w:szCs w:val="24"/>
        </w:rPr>
      </w:pPr>
      <w:r>
        <w:rPr>
          <w:b/>
          <w:bCs/>
          <w:sz w:val="24"/>
          <w:szCs w:val="24"/>
        </w:rPr>
        <w:t xml:space="preserve">3.1.1  </w:t>
      </w:r>
      <w:r>
        <w:rPr>
          <w:bCs/>
          <w:sz w:val="24"/>
          <w:szCs w:val="24"/>
        </w:rPr>
        <w:t>装配式混凝土结构检测可分为</w:t>
      </w:r>
      <w:r>
        <w:rPr>
          <w:rFonts w:hint="eastAsia"/>
          <w:bCs/>
          <w:sz w:val="24"/>
          <w:szCs w:val="24"/>
        </w:rPr>
        <w:t>工程质量检测和结构性能检测</w:t>
      </w:r>
      <w:r>
        <w:rPr>
          <w:bCs/>
          <w:sz w:val="24"/>
          <w:szCs w:val="24"/>
        </w:rPr>
        <w:t>，工程质量检测应对检测结果进行符合性判定，结构性能检测应为结构性能评定提供检测数据结果。</w:t>
      </w:r>
    </w:p>
    <w:p>
      <w:pPr>
        <w:spacing w:line="360" w:lineRule="auto"/>
        <w:rPr>
          <w:bCs/>
          <w:sz w:val="24"/>
          <w:szCs w:val="24"/>
        </w:rPr>
      </w:pPr>
      <w:r>
        <w:rPr>
          <w:b/>
          <w:bCs/>
          <w:sz w:val="24"/>
          <w:szCs w:val="24"/>
        </w:rPr>
        <w:t xml:space="preserve">3.1.2  </w:t>
      </w:r>
      <w:r>
        <w:rPr>
          <w:bCs/>
          <w:sz w:val="24"/>
          <w:szCs w:val="24"/>
        </w:rPr>
        <w:t>当遇到下列情况之一时，宜对装配式混凝土结构进行工程质量检测：</w:t>
      </w:r>
    </w:p>
    <w:p>
      <w:pPr>
        <w:spacing w:line="360" w:lineRule="auto"/>
        <w:ind w:firstLine="481" w:firstLineChars="20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1  </w:t>
      </w:r>
      <w:r>
        <w:rPr>
          <w:bCs/>
          <w:color w:val="000000" w:themeColor="text1"/>
          <w:sz w:val="24"/>
          <w:szCs w:val="24"/>
          <w14:textFill>
            <w14:solidFill>
              <w14:schemeClr w14:val="tx1"/>
            </w14:solidFill>
          </w14:textFill>
        </w:rPr>
        <w:t>现行有关标准规定的检测；</w:t>
      </w:r>
    </w:p>
    <w:p>
      <w:pPr>
        <w:spacing w:line="360" w:lineRule="auto"/>
        <w:ind w:firstLine="481" w:firstLineChars="200"/>
        <w:rPr>
          <w:b/>
          <w:bCs/>
          <w:sz w:val="24"/>
          <w:szCs w:val="24"/>
        </w:rPr>
      </w:pPr>
      <w:r>
        <w:rPr>
          <w:b/>
          <w:bCs/>
          <w:sz w:val="24"/>
          <w:szCs w:val="24"/>
        </w:rPr>
        <w:t xml:space="preserve">2  </w:t>
      </w:r>
      <w:r>
        <w:rPr>
          <w:bCs/>
          <w:sz w:val="24"/>
          <w:szCs w:val="24"/>
        </w:rPr>
        <w:t>工程送样检验的数量不足或有关检验资料缺失；</w:t>
      </w:r>
    </w:p>
    <w:p>
      <w:pPr>
        <w:spacing w:line="360" w:lineRule="auto"/>
        <w:ind w:firstLine="481" w:firstLineChars="200"/>
        <w:rPr>
          <w:b/>
          <w:bCs/>
          <w:sz w:val="24"/>
          <w:szCs w:val="24"/>
        </w:rPr>
      </w:pPr>
      <w:r>
        <w:rPr>
          <w:b/>
          <w:bCs/>
          <w:sz w:val="24"/>
          <w:szCs w:val="24"/>
        </w:rPr>
        <w:t xml:space="preserve">3  </w:t>
      </w:r>
      <w:r>
        <w:rPr>
          <w:bCs/>
          <w:sz w:val="24"/>
          <w:szCs w:val="24"/>
        </w:rPr>
        <w:t>施工质量送样检验或有关方自检的结果未达到设计要求；</w:t>
      </w:r>
    </w:p>
    <w:p>
      <w:pPr>
        <w:spacing w:line="360" w:lineRule="auto"/>
        <w:ind w:firstLine="481" w:firstLineChars="200"/>
        <w:rPr>
          <w:bCs/>
          <w:sz w:val="24"/>
          <w:szCs w:val="24"/>
        </w:rPr>
      </w:pPr>
      <w:r>
        <w:rPr>
          <w:b/>
          <w:bCs/>
          <w:sz w:val="24"/>
          <w:szCs w:val="24"/>
        </w:rPr>
        <w:t xml:space="preserve">4  </w:t>
      </w:r>
      <w:r>
        <w:rPr>
          <w:bCs/>
          <w:sz w:val="24"/>
          <w:szCs w:val="24"/>
        </w:rPr>
        <w:t>对工程质量有怀疑或争议；</w:t>
      </w:r>
    </w:p>
    <w:p>
      <w:pPr>
        <w:spacing w:line="360" w:lineRule="auto"/>
        <w:ind w:firstLine="481" w:firstLineChars="200"/>
        <w:rPr>
          <w:bCs/>
          <w:sz w:val="24"/>
          <w:szCs w:val="24"/>
        </w:rPr>
      </w:pPr>
      <w:r>
        <w:rPr>
          <w:b/>
          <w:bCs/>
          <w:sz w:val="24"/>
          <w:szCs w:val="24"/>
        </w:rPr>
        <w:t xml:space="preserve">5  </w:t>
      </w:r>
      <w:r>
        <w:rPr>
          <w:bCs/>
          <w:sz w:val="24"/>
          <w:szCs w:val="24"/>
        </w:rPr>
        <w:t>发生质量或安全事故；</w:t>
      </w:r>
    </w:p>
    <w:p>
      <w:pPr>
        <w:spacing w:line="360" w:lineRule="auto"/>
        <w:ind w:firstLine="481" w:firstLineChars="200"/>
        <w:rPr>
          <w:bCs/>
          <w:sz w:val="24"/>
          <w:szCs w:val="24"/>
        </w:rPr>
      </w:pPr>
      <w:r>
        <w:rPr>
          <w:b/>
          <w:bCs/>
          <w:sz w:val="24"/>
          <w:szCs w:val="24"/>
        </w:rPr>
        <w:t xml:space="preserve">6  </w:t>
      </w:r>
      <w:r>
        <w:rPr>
          <w:bCs/>
          <w:sz w:val="24"/>
          <w:szCs w:val="24"/>
        </w:rPr>
        <w:t>工程质量保险要求实施的检测；</w:t>
      </w:r>
    </w:p>
    <w:p>
      <w:pPr>
        <w:spacing w:line="360" w:lineRule="auto"/>
        <w:ind w:firstLine="481" w:firstLineChars="200"/>
        <w:rPr>
          <w:bCs/>
          <w:sz w:val="24"/>
          <w:szCs w:val="24"/>
        </w:rPr>
      </w:pPr>
      <w:r>
        <w:rPr>
          <w:b/>
          <w:bCs/>
          <w:sz w:val="24"/>
          <w:szCs w:val="24"/>
        </w:rPr>
        <w:t xml:space="preserve">7  </w:t>
      </w:r>
      <w:r>
        <w:rPr>
          <w:bCs/>
          <w:sz w:val="24"/>
          <w:szCs w:val="24"/>
        </w:rPr>
        <w:t>未</w:t>
      </w:r>
      <w:r>
        <w:rPr>
          <w:sz w:val="24"/>
          <w:szCs w:val="24"/>
        </w:rPr>
        <w:t>按规定</w:t>
      </w:r>
      <w:r>
        <w:rPr>
          <w:bCs/>
          <w:sz w:val="24"/>
          <w:szCs w:val="24"/>
        </w:rPr>
        <w:t>进行施工质量验收的结构；</w:t>
      </w:r>
    </w:p>
    <w:p>
      <w:pPr>
        <w:spacing w:line="360" w:lineRule="auto"/>
        <w:ind w:firstLine="481" w:firstLineChars="200"/>
        <w:rPr>
          <w:b/>
          <w:bCs/>
          <w:sz w:val="24"/>
          <w:szCs w:val="24"/>
        </w:rPr>
      </w:pPr>
      <w:r>
        <w:rPr>
          <w:b/>
          <w:bCs/>
          <w:sz w:val="24"/>
          <w:szCs w:val="24"/>
        </w:rPr>
        <w:t xml:space="preserve">8  </w:t>
      </w:r>
      <w:r>
        <w:rPr>
          <w:rFonts w:hint="eastAsia"/>
          <w:sz w:val="24"/>
          <w:szCs w:val="24"/>
        </w:rPr>
        <w:t>其他需要的情况。</w:t>
      </w:r>
    </w:p>
    <w:p>
      <w:pPr>
        <w:spacing w:line="360" w:lineRule="auto"/>
        <w:rPr>
          <w:b/>
          <w:bCs/>
          <w:sz w:val="24"/>
          <w:szCs w:val="24"/>
        </w:rPr>
      </w:pPr>
      <w:r>
        <w:rPr>
          <w:b/>
          <w:bCs/>
          <w:sz w:val="24"/>
          <w:szCs w:val="24"/>
        </w:rPr>
        <w:t xml:space="preserve">3.1.3  </w:t>
      </w:r>
      <w:r>
        <w:rPr>
          <w:bCs/>
          <w:sz w:val="24"/>
          <w:szCs w:val="24"/>
        </w:rPr>
        <w:t>当遇到下列情况之一时，宜对装配式混凝土结构进行结构性能检测：</w:t>
      </w:r>
    </w:p>
    <w:p>
      <w:pPr>
        <w:spacing w:line="360" w:lineRule="auto"/>
        <w:ind w:firstLine="481" w:firstLineChars="200"/>
        <w:rPr>
          <w:b/>
          <w:bCs/>
          <w:sz w:val="24"/>
          <w:szCs w:val="24"/>
        </w:rPr>
      </w:pPr>
      <w:r>
        <w:rPr>
          <w:b/>
          <w:bCs/>
          <w:sz w:val="24"/>
          <w:szCs w:val="24"/>
        </w:rPr>
        <w:t xml:space="preserve">1  </w:t>
      </w:r>
      <w:r>
        <w:rPr>
          <w:sz w:val="24"/>
          <w:szCs w:val="24"/>
        </w:rPr>
        <w:t>建筑改变用途、改造、加层或扩建；</w:t>
      </w:r>
    </w:p>
    <w:p>
      <w:pPr>
        <w:spacing w:line="360" w:lineRule="auto"/>
        <w:ind w:firstLine="481" w:firstLineChars="200"/>
        <w:rPr>
          <w:sz w:val="24"/>
          <w:szCs w:val="24"/>
        </w:rPr>
      </w:pPr>
      <w:r>
        <w:rPr>
          <w:b/>
          <w:bCs/>
          <w:sz w:val="24"/>
          <w:szCs w:val="24"/>
        </w:rPr>
        <w:t xml:space="preserve">2  </w:t>
      </w:r>
      <w:r>
        <w:rPr>
          <w:sz w:val="24"/>
          <w:szCs w:val="24"/>
        </w:rPr>
        <w:t>建筑结构达到设计使用年限要继续使用；</w:t>
      </w:r>
    </w:p>
    <w:p>
      <w:pPr>
        <w:spacing w:line="360" w:lineRule="auto"/>
        <w:ind w:firstLine="481" w:firstLineChars="200"/>
        <w:rPr>
          <w:b/>
          <w:bCs/>
          <w:sz w:val="24"/>
          <w:szCs w:val="24"/>
        </w:rPr>
      </w:pPr>
      <w:r>
        <w:rPr>
          <w:b/>
          <w:bCs/>
          <w:sz w:val="24"/>
          <w:szCs w:val="24"/>
        </w:rPr>
        <w:t xml:space="preserve">3  </w:t>
      </w:r>
      <w:r>
        <w:rPr>
          <w:sz w:val="24"/>
          <w:szCs w:val="24"/>
        </w:rPr>
        <w:t>建筑结构使用环境改变或受到环境侵蚀作用；</w:t>
      </w:r>
    </w:p>
    <w:p>
      <w:pPr>
        <w:spacing w:line="360" w:lineRule="auto"/>
        <w:ind w:firstLine="481" w:firstLineChars="200"/>
        <w:rPr>
          <w:b/>
          <w:bCs/>
          <w:sz w:val="24"/>
          <w:szCs w:val="24"/>
        </w:rPr>
      </w:pPr>
      <w:r>
        <w:rPr>
          <w:b/>
          <w:bCs/>
          <w:sz w:val="24"/>
          <w:szCs w:val="24"/>
        </w:rPr>
        <w:t xml:space="preserve">4  </w:t>
      </w:r>
      <w:r>
        <w:rPr>
          <w:sz w:val="24"/>
          <w:szCs w:val="24"/>
        </w:rPr>
        <w:t>建筑结构遭受偶然事件或其他灾害的影响；</w:t>
      </w:r>
    </w:p>
    <w:p>
      <w:pPr>
        <w:spacing w:line="360" w:lineRule="auto"/>
        <w:ind w:firstLine="481" w:firstLineChars="20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5  </w:t>
      </w:r>
      <w:r>
        <w:rPr>
          <w:color w:val="000000" w:themeColor="text1"/>
          <w:sz w:val="24"/>
          <w:szCs w:val="24"/>
          <w14:textFill>
            <w14:solidFill>
              <w14:schemeClr w14:val="tx1"/>
            </w14:solidFill>
          </w14:textFill>
        </w:rPr>
        <w:t>相关法规、标准规定的结构使用期间的鉴定；</w:t>
      </w:r>
    </w:p>
    <w:p>
      <w:pPr>
        <w:spacing w:line="360" w:lineRule="auto"/>
        <w:ind w:firstLine="481" w:firstLineChars="200"/>
        <w:rPr>
          <w:b/>
          <w:bCs/>
          <w:sz w:val="24"/>
          <w:szCs w:val="24"/>
        </w:rPr>
      </w:pPr>
      <w:r>
        <w:rPr>
          <w:b/>
          <w:bCs/>
          <w:sz w:val="24"/>
          <w:szCs w:val="24"/>
        </w:rPr>
        <w:t xml:space="preserve">6  </w:t>
      </w:r>
      <w:r>
        <w:rPr>
          <w:rFonts w:hint="eastAsia"/>
          <w:sz w:val="24"/>
          <w:szCs w:val="24"/>
        </w:rPr>
        <w:t>其他需要的情况。</w:t>
      </w:r>
    </w:p>
    <w:p>
      <w:pPr>
        <w:keepNext/>
        <w:keepLines/>
        <w:spacing w:before="120" w:beforeLines="50" w:after="120" w:afterLines="50" w:line="400" w:lineRule="exact"/>
        <w:jc w:val="center"/>
        <w:outlineLvl w:val="1"/>
        <w:rPr>
          <w:b/>
          <w:kern w:val="0"/>
          <w:sz w:val="24"/>
          <w:szCs w:val="24"/>
        </w:rPr>
      </w:pPr>
      <w:bookmarkStart w:id="47" w:name="_Toc120020277"/>
      <w:r>
        <w:rPr>
          <w:b/>
          <w:kern w:val="0"/>
          <w:sz w:val="24"/>
          <w:szCs w:val="24"/>
        </w:rPr>
        <w:t>3.2  检测程序</w:t>
      </w:r>
      <w:bookmarkEnd w:id="47"/>
      <w:r>
        <w:rPr>
          <w:rFonts w:eastAsia="黑体"/>
          <w:b/>
          <w:kern w:val="0"/>
          <w:sz w:val="28"/>
        </w:rPr>
        <w:fldChar w:fldCharType="begin"/>
      </w:r>
      <w:r>
        <w:rPr>
          <w:rFonts w:eastAsia="黑体"/>
          <w:b/>
          <w:kern w:val="0"/>
          <w:sz w:val="28"/>
        </w:rPr>
        <w:instrText xml:space="preserve"> TC  "</w:instrText>
      </w:r>
      <w:bookmarkStart w:id="48" w:name="_Toc135038261"/>
      <w:bookmarkStart w:id="49" w:name="_Toc108470221"/>
      <w:r>
        <w:rPr>
          <w:rFonts w:eastAsia="黑体"/>
          <w:b/>
          <w:kern w:val="0"/>
          <w:sz w:val="28"/>
        </w:rPr>
        <w:instrText xml:space="preserve">3.2  Process and requirement for inspection</w:instrText>
      </w:r>
      <w:bookmarkEnd w:id="48"/>
      <w:bookmarkEnd w:id="49"/>
      <w:r>
        <w:rPr>
          <w:rFonts w:eastAsia="黑体"/>
          <w:b/>
          <w:kern w:val="0"/>
          <w:sz w:val="28"/>
        </w:rPr>
        <w:instrText xml:space="preserve">" \l 2 </w:instrText>
      </w:r>
      <w:r>
        <w:rPr>
          <w:rFonts w:eastAsia="黑体"/>
          <w:b/>
          <w:kern w:val="0"/>
          <w:sz w:val="28"/>
        </w:rPr>
        <w:fldChar w:fldCharType="end"/>
      </w:r>
    </w:p>
    <w:p>
      <w:pPr>
        <w:spacing w:line="360" w:lineRule="auto"/>
        <w:rPr>
          <w:sz w:val="24"/>
          <w:szCs w:val="24"/>
        </w:rPr>
      </w:pPr>
      <w:r>
        <w:rPr>
          <w:b/>
          <w:bCs/>
          <w:sz w:val="24"/>
          <w:szCs w:val="24"/>
        </w:rPr>
        <w:t xml:space="preserve">3.2.1  </w:t>
      </w:r>
      <w:r>
        <w:rPr>
          <w:sz w:val="24"/>
          <w:szCs w:val="24"/>
        </w:rPr>
        <w:t>装配式混凝土结构检测工作宜按图3.2.1所示</w:t>
      </w:r>
      <w:r>
        <w:rPr>
          <w:color w:val="000000" w:themeColor="text1"/>
          <w:sz w:val="24"/>
          <w:szCs w:val="24"/>
          <w14:textFill>
            <w14:solidFill>
              <w14:schemeClr w14:val="tx1"/>
            </w14:solidFill>
          </w14:textFill>
        </w:rPr>
        <w:t>的流程进</w:t>
      </w:r>
      <w:r>
        <w:rPr>
          <w:sz w:val="24"/>
          <w:szCs w:val="24"/>
        </w:rPr>
        <w:t>行。</w:t>
      </w:r>
    </w:p>
    <w:p>
      <w:pPr>
        <w:spacing w:line="360" w:lineRule="auto"/>
        <w:jc w:val="center"/>
      </w:pPr>
      <w:r>
        <w:object>
          <v:shape id="_x0000_i1052" o:spt="75" type="#_x0000_t75" style="height:251.15pt;width:229.25pt;" o:ole="t" filled="f" o:preferrelative="t" stroked="f" coordsize="21600,21600">
            <v:path/>
            <v:fill on="f" focussize="0,0"/>
            <v:stroke on="f" joinstyle="miter"/>
            <v:imagedata r:id="rId65" o:title=""/>
            <o:lock v:ext="edit" aspectratio="t"/>
            <w10:wrap type="none"/>
            <w10:anchorlock/>
          </v:shape>
          <o:OLEObject Type="Embed" ProgID="Visio.Drawing.15" ShapeID="_x0000_i1052" DrawAspect="Content" ObjectID="_1468075752" r:id="rId64">
            <o:LockedField>false</o:LockedField>
          </o:OLEObject>
        </w:object>
      </w:r>
    </w:p>
    <w:p>
      <w:pPr>
        <w:spacing w:line="360" w:lineRule="auto"/>
        <w:jc w:val="center"/>
        <w:rPr>
          <w:b/>
          <w:bCs/>
        </w:rPr>
      </w:pPr>
      <w:r>
        <w:rPr>
          <w:b/>
          <w:bCs/>
        </w:rPr>
        <w:t>图3.2.1  装配式混凝土结构检测工作流程图</w:t>
      </w:r>
    </w:p>
    <w:p>
      <w:pPr>
        <w:spacing w:line="360" w:lineRule="auto"/>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3.2.2  </w:t>
      </w:r>
      <w:r>
        <w:rPr>
          <w:color w:val="000000" w:themeColor="text1"/>
          <w:sz w:val="24"/>
          <w:szCs w:val="24"/>
          <w14:textFill>
            <w14:solidFill>
              <w14:schemeClr w14:val="tx1"/>
            </w14:solidFill>
          </w14:textFill>
        </w:rPr>
        <w:t>初步调查宜包括下列内容：</w:t>
      </w:r>
    </w:p>
    <w:p>
      <w:pPr>
        <w:spacing w:line="360" w:lineRule="auto"/>
        <w:ind w:firstLine="481" w:firstLineChars="200"/>
        <w:rPr>
          <w:sz w:val="24"/>
          <w:szCs w:val="24"/>
        </w:rPr>
      </w:pPr>
      <w:r>
        <w:rPr>
          <w:b/>
          <w:bCs/>
          <w:sz w:val="24"/>
          <w:szCs w:val="24"/>
        </w:rPr>
        <w:t xml:space="preserve">1  </w:t>
      </w:r>
      <w:r>
        <w:rPr>
          <w:bCs/>
          <w:sz w:val="24"/>
          <w:szCs w:val="24"/>
        </w:rPr>
        <w:t>收集</w:t>
      </w:r>
      <w:r>
        <w:rPr>
          <w:sz w:val="24"/>
          <w:szCs w:val="24"/>
        </w:rPr>
        <w:t>结构设计施工图纸、</w:t>
      </w:r>
      <w:r>
        <w:rPr>
          <w:rFonts w:hint="eastAsia"/>
          <w:sz w:val="24"/>
          <w:szCs w:val="24"/>
        </w:rPr>
        <w:t>预制</w:t>
      </w:r>
      <w:r>
        <w:rPr>
          <w:sz w:val="24"/>
          <w:szCs w:val="24"/>
        </w:rPr>
        <w:t>构件连接安装记录与影像、验收记录</w:t>
      </w:r>
      <w:r>
        <w:rPr>
          <w:rFonts w:hint="eastAsia"/>
          <w:sz w:val="24"/>
          <w:szCs w:val="24"/>
        </w:rPr>
        <w:t>和</w:t>
      </w:r>
      <w:r>
        <w:rPr>
          <w:sz w:val="24"/>
          <w:szCs w:val="24"/>
        </w:rPr>
        <w:t>竣工图等资料；</w:t>
      </w:r>
    </w:p>
    <w:p>
      <w:pPr>
        <w:spacing w:line="360" w:lineRule="auto"/>
        <w:ind w:firstLine="481" w:firstLineChars="200"/>
        <w:rPr>
          <w:sz w:val="24"/>
          <w:szCs w:val="24"/>
        </w:rPr>
      </w:pPr>
      <w:r>
        <w:rPr>
          <w:b/>
          <w:bCs/>
          <w:sz w:val="24"/>
          <w:szCs w:val="24"/>
        </w:rPr>
        <w:t xml:space="preserve">2  </w:t>
      </w:r>
      <w:r>
        <w:rPr>
          <w:bCs/>
          <w:sz w:val="24"/>
          <w:szCs w:val="24"/>
        </w:rPr>
        <w:t>收集</w:t>
      </w:r>
      <w:r>
        <w:rPr>
          <w:sz w:val="24"/>
          <w:szCs w:val="24"/>
        </w:rPr>
        <w:t>预制构件深化设计图纸和构件制作、养护、翻转、出厂、运输、进场、存放</w:t>
      </w:r>
      <w:r>
        <w:rPr>
          <w:rFonts w:hint="eastAsia"/>
          <w:sz w:val="24"/>
          <w:szCs w:val="24"/>
        </w:rPr>
        <w:t>和</w:t>
      </w:r>
      <w:r>
        <w:rPr>
          <w:sz w:val="24"/>
          <w:szCs w:val="24"/>
        </w:rPr>
        <w:t>吊装等相关资料；</w:t>
      </w:r>
    </w:p>
    <w:p>
      <w:pPr>
        <w:spacing w:line="360" w:lineRule="auto"/>
        <w:ind w:firstLine="481" w:firstLineChars="200"/>
        <w:rPr>
          <w:sz w:val="24"/>
          <w:szCs w:val="24"/>
        </w:rPr>
      </w:pPr>
      <w:r>
        <w:rPr>
          <w:b/>
          <w:bCs/>
          <w:sz w:val="24"/>
          <w:szCs w:val="24"/>
        </w:rPr>
        <w:t xml:space="preserve">3  </w:t>
      </w:r>
      <w:r>
        <w:rPr>
          <w:bCs/>
          <w:sz w:val="24"/>
          <w:szCs w:val="24"/>
        </w:rPr>
        <w:t>收集</w:t>
      </w:r>
      <w:r>
        <w:rPr>
          <w:sz w:val="24"/>
          <w:szCs w:val="24"/>
        </w:rPr>
        <w:t>节点连接产品的合格证明</w:t>
      </w:r>
      <w:r>
        <w:rPr>
          <w:rFonts w:hint="eastAsia"/>
          <w:sz w:val="24"/>
          <w:szCs w:val="24"/>
        </w:rPr>
        <w:t>和</w:t>
      </w:r>
      <w:r>
        <w:rPr>
          <w:sz w:val="24"/>
          <w:szCs w:val="24"/>
        </w:rPr>
        <w:t>产品说明等资料；</w:t>
      </w:r>
    </w:p>
    <w:p>
      <w:pPr>
        <w:spacing w:line="360" w:lineRule="auto"/>
        <w:ind w:firstLine="481" w:firstLineChars="200"/>
        <w:rPr>
          <w:sz w:val="24"/>
          <w:szCs w:val="24"/>
        </w:rPr>
      </w:pPr>
      <w:r>
        <w:rPr>
          <w:b/>
          <w:bCs/>
          <w:sz w:val="24"/>
          <w:szCs w:val="24"/>
        </w:rPr>
        <w:t xml:space="preserve">4  </w:t>
      </w:r>
      <w:r>
        <w:rPr>
          <w:bCs/>
          <w:sz w:val="24"/>
          <w:szCs w:val="24"/>
        </w:rPr>
        <w:t>收集</w:t>
      </w:r>
      <w:r>
        <w:rPr>
          <w:sz w:val="24"/>
          <w:szCs w:val="24"/>
        </w:rPr>
        <w:t>建筑结构使用期间的维修、检测、评定、加固和改造等资料；</w:t>
      </w:r>
    </w:p>
    <w:p>
      <w:pPr>
        <w:spacing w:line="360" w:lineRule="auto"/>
        <w:ind w:firstLine="481" w:firstLineChars="200"/>
        <w:rPr>
          <w:sz w:val="24"/>
          <w:szCs w:val="24"/>
        </w:rPr>
      </w:pPr>
      <w:r>
        <w:rPr>
          <w:b/>
          <w:bCs/>
          <w:sz w:val="24"/>
          <w:szCs w:val="24"/>
        </w:rPr>
        <w:t xml:space="preserve">5  </w:t>
      </w:r>
      <w:r>
        <w:rPr>
          <w:bCs/>
          <w:sz w:val="24"/>
          <w:szCs w:val="24"/>
        </w:rPr>
        <w:t>调查</w:t>
      </w:r>
      <w:r>
        <w:rPr>
          <w:sz w:val="24"/>
          <w:szCs w:val="24"/>
        </w:rPr>
        <w:t>建筑结构的现状、缺陷、损伤、</w:t>
      </w:r>
      <w:r>
        <w:rPr>
          <w:rFonts w:hint="eastAsia"/>
          <w:sz w:val="24"/>
          <w:szCs w:val="24"/>
        </w:rPr>
        <w:t>变形</w:t>
      </w:r>
      <w:r>
        <w:rPr>
          <w:sz w:val="24"/>
          <w:szCs w:val="24"/>
        </w:rPr>
        <w:t>、维修和加固等实际状况；</w:t>
      </w:r>
    </w:p>
    <w:p>
      <w:pPr>
        <w:spacing w:line="360" w:lineRule="auto"/>
        <w:ind w:firstLine="481" w:firstLineChars="200"/>
        <w:rPr>
          <w:sz w:val="24"/>
          <w:szCs w:val="24"/>
        </w:rPr>
      </w:pPr>
      <w:r>
        <w:rPr>
          <w:b/>
          <w:bCs/>
          <w:sz w:val="24"/>
          <w:szCs w:val="24"/>
        </w:rPr>
        <w:t xml:space="preserve">6  </w:t>
      </w:r>
      <w:r>
        <w:rPr>
          <w:bCs/>
          <w:sz w:val="24"/>
          <w:szCs w:val="24"/>
        </w:rPr>
        <w:t>调查</w:t>
      </w:r>
      <w:r>
        <w:rPr>
          <w:sz w:val="24"/>
          <w:szCs w:val="24"/>
        </w:rPr>
        <w:t>建筑结构的使用环境、用途或荷载等实际状况；</w:t>
      </w:r>
    </w:p>
    <w:p>
      <w:pPr>
        <w:spacing w:line="360" w:lineRule="auto"/>
        <w:ind w:firstLine="481" w:firstLineChars="200"/>
        <w:rPr>
          <w:sz w:val="24"/>
          <w:szCs w:val="24"/>
        </w:rPr>
      </w:pPr>
      <w:r>
        <w:rPr>
          <w:b/>
          <w:bCs/>
          <w:sz w:val="24"/>
          <w:szCs w:val="24"/>
        </w:rPr>
        <w:t xml:space="preserve">7  </w:t>
      </w:r>
      <w:r>
        <w:rPr>
          <w:sz w:val="24"/>
          <w:szCs w:val="24"/>
        </w:rPr>
        <w:t>向有关人员调查委托检测的原因以及资料调查和现场调查未能显现的问题。</w:t>
      </w:r>
    </w:p>
    <w:p>
      <w:pPr>
        <w:spacing w:line="360" w:lineRule="auto"/>
        <w:rPr>
          <w:b/>
          <w:bCs/>
          <w:sz w:val="24"/>
          <w:szCs w:val="24"/>
        </w:rPr>
      </w:pPr>
      <w:r>
        <w:rPr>
          <w:b/>
          <w:bCs/>
          <w:sz w:val="24"/>
          <w:szCs w:val="24"/>
        </w:rPr>
        <w:t xml:space="preserve">3.2.3  </w:t>
      </w:r>
      <w:r>
        <w:rPr>
          <w:bCs/>
          <w:sz w:val="24"/>
          <w:szCs w:val="24"/>
        </w:rPr>
        <w:t>应</w:t>
      </w:r>
      <w:r>
        <w:rPr>
          <w:sz w:val="24"/>
          <w:szCs w:val="24"/>
        </w:rPr>
        <w:t>在初步调查的基础上编制检测方案，检测方案宜征求委托方的意见，检测方案应包括下列主要内容：</w:t>
      </w:r>
    </w:p>
    <w:p>
      <w:pPr>
        <w:spacing w:line="360" w:lineRule="auto"/>
        <w:ind w:firstLine="481" w:firstLineChars="200"/>
        <w:rPr>
          <w:b/>
          <w:bCs/>
          <w:sz w:val="24"/>
          <w:szCs w:val="24"/>
        </w:rPr>
      </w:pPr>
      <w:r>
        <w:rPr>
          <w:b/>
          <w:bCs/>
          <w:sz w:val="24"/>
          <w:szCs w:val="24"/>
        </w:rPr>
        <w:t xml:space="preserve">1  </w:t>
      </w:r>
      <w:r>
        <w:rPr>
          <w:sz w:val="24"/>
          <w:szCs w:val="24"/>
        </w:rPr>
        <w:t>工程概况或结构概况；</w:t>
      </w:r>
    </w:p>
    <w:p>
      <w:pPr>
        <w:spacing w:line="360" w:lineRule="auto"/>
        <w:ind w:firstLine="481" w:firstLineChars="200"/>
        <w:rPr>
          <w:b/>
          <w:bCs/>
          <w:sz w:val="24"/>
          <w:szCs w:val="24"/>
        </w:rPr>
      </w:pPr>
      <w:r>
        <w:rPr>
          <w:b/>
          <w:bCs/>
          <w:sz w:val="24"/>
          <w:szCs w:val="24"/>
        </w:rPr>
        <w:t xml:space="preserve">2  </w:t>
      </w:r>
      <w:r>
        <w:rPr>
          <w:sz w:val="24"/>
          <w:szCs w:val="24"/>
        </w:rPr>
        <w:t>检测目的或委托方的检测要求；</w:t>
      </w:r>
    </w:p>
    <w:p>
      <w:pPr>
        <w:spacing w:line="360" w:lineRule="auto"/>
        <w:ind w:firstLine="481" w:firstLineChars="200"/>
        <w:rPr>
          <w:b/>
          <w:bCs/>
          <w:sz w:val="24"/>
          <w:szCs w:val="24"/>
        </w:rPr>
      </w:pPr>
      <w:r>
        <w:rPr>
          <w:b/>
          <w:bCs/>
          <w:sz w:val="24"/>
          <w:szCs w:val="24"/>
        </w:rPr>
        <w:t xml:space="preserve">3  </w:t>
      </w:r>
      <w:r>
        <w:rPr>
          <w:sz w:val="24"/>
          <w:szCs w:val="24"/>
        </w:rPr>
        <w:t>检测依据；</w:t>
      </w:r>
    </w:p>
    <w:p>
      <w:pPr>
        <w:spacing w:line="360" w:lineRule="auto"/>
        <w:ind w:firstLine="481" w:firstLineChars="200"/>
        <w:rPr>
          <w:b/>
          <w:bCs/>
          <w:sz w:val="24"/>
          <w:szCs w:val="24"/>
        </w:rPr>
      </w:pPr>
      <w:r>
        <w:rPr>
          <w:b/>
          <w:bCs/>
          <w:sz w:val="24"/>
          <w:szCs w:val="24"/>
        </w:rPr>
        <w:t xml:space="preserve">4  </w:t>
      </w:r>
      <w:r>
        <w:rPr>
          <w:sz w:val="24"/>
          <w:szCs w:val="24"/>
        </w:rPr>
        <w:t>检测项目、检测方法和检测数量；</w:t>
      </w:r>
    </w:p>
    <w:p>
      <w:pPr>
        <w:spacing w:line="360" w:lineRule="auto"/>
        <w:ind w:firstLine="481" w:firstLineChars="200"/>
        <w:rPr>
          <w:b/>
          <w:bCs/>
          <w:sz w:val="24"/>
          <w:szCs w:val="24"/>
        </w:rPr>
      </w:pPr>
      <w:r>
        <w:rPr>
          <w:b/>
          <w:bCs/>
          <w:sz w:val="24"/>
          <w:szCs w:val="24"/>
        </w:rPr>
        <w:t xml:space="preserve">5  </w:t>
      </w:r>
      <w:r>
        <w:rPr>
          <w:sz w:val="24"/>
          <w:szCs w:val="24"/>
        </w:rPr>
        <w:t>检测人员和仪器设备；</w:t>
      </w:r>
    </w:p>
    <w:p>
      <w:pPr>
        <w:spacing w:line="360" w:lineRule="auto"/>
        <w:ind w:firstLine="481" w:firstLineChars="200"/>
        <w:rPr>
          <w:b/>
          <w:bCs/>
          <w:sz w:val="24"/>
          <w:szCs w:val="24"/>
        </w:rPr>
      </w:pPr>
      <w:r>
        <w:rPr>
          <w:b/>
          <w:bCs/>
          <w:sz w:val="24"/>
          <w:szCs w:val="24"/>
        </w:rPr>
        <w:t xml:space="preserve">6  </w:t>
      </w:r>
      <w:r>
        <w:rPr>
          <w:sz w:val="24"/>
          <w:szCs w:val="24"/>
        </w:rPr>
        <w:t>检测工作进度计划；</w:t>
      </w:r>
    </w:p>
    <w:p>
      <w:pPr>
        <w:spacing w:line="360" w:lineRule="auto"/>
        <w:ind w:firstLine="481" w:firstLineChars="200"/>
        <w:rPr>
          <w:b/>
          <w:bCs/>
          <w:sz w:val="24"/>
          <w:szCs w:val="24"/>
        </w:rPr>
      </w:pPr>
      <w:r>
        <w:rPr>
          <w:b/>
          <w:bCs/>
          <w:sz w:val="24"/>
          <w:szCs w:val="24"/>
        </w:rPr>
        <w:t xml:space="preserve">7  </w:t>
      </w:r>
      <w:r>
        <w:rPr>
          <w:sz w:val="24"/>
          <w:szCs w:val="24"/>
        </w:rPr>
        <w:t>需要的配合工作；</w:t>
      </w:r>
    </w:p>
    <w:p>
      <w:pPr>
        <w:spacing w:line="360" w:lineRule="auto"/>
        <w:ind w:firstLine="481" w:firstLineChars="200"/>
        <w:rPr>
          <w:sz w:val="24"/>
          <w:szCs w:val="24"/>
        </w:rPr>
      </w:pPr>
      <w:r>
        <w:rPr>
          <w:b/>
          <w:bCs/>
          <w:sz w:val="24"/>
          <w:szCs w:val="24"/>
        </w:rPr>
        <w:t xml:space="preserve">8  </w:t>
      </w:r>
      <w:r>
        <w:rPr>
          <w:sz w:val="24"/>
          <w:szCs w:val="24"/>
        </w:rPr>
        <w:t>检测中的安全措施和环保措施。</w:t>
      </w:r>
    </w:p>
    <w:p>
      <w:pPr>
        <w:spacing w:line="360" w:lineRule="auto"/>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3.2.4  </w:t>
      </w:r>
      <w:r>
        <w:rPr>
          <w:color w:val="000000" w:themeColor="text1"/>
          <w:sz w:val="24"/>
          <w:szCs w:val="24"/>
          <w14:textFill>
            <w14:solidFill>
              <w14:schemeClr w14:val="tx1"/>
            </w14:solidFill>
          </w14:textFill>
        </w:rPr>
        <w:t>当发现检测数据的数量不足或检测数据出现异常时，应补充检测或重新检测。</w:t>
      </w:r>
    </w:p>
    <w:p>
      <w:pPr>
        <w:spacing w:line="360" w:lineRule="auto"/>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3.2.5  </w:t>
      </w:r>
      <w:r>
        <w:rPr>
          <w:color w:val="000000" w:themeColor="text1"/>
          <w:sz w:val="24"/>
          <w:szCs w:val="24"/>
          <w14:textFill>
            <w14:solidFill>
              <w14:schemeClr w14:val="tx1"/>
            </w14:solidFill>
          </w14:textFill>
        </w:rPr>
        <w:t>局部破损检测方法宜选择结构构件受力较小的部位，现场检测工作结束后，应及时修复因检测造成的结构或构件的局部损伤。</w:t>
      </w:r>
    </w:p>
    <w:p>
      <w:pPr>
        <w:spacing w:line="360" w:lineRule="auto"/>
        <w:rPr>
          <w:bCs/>
          <w:sz w:val="24"/>
          <w:szCs w:val="24"/>
        </w:rPr>
      </w:pPr>
      <w:r>
        <w:rPr>
          <w:b/>
          <w:sz w:val="24"/>
          <w:szCs w:val="24"/>
        </w:rPr>
        <w:t xml:space="preserve">3.2.6  </w:t>
      </w:r>
      <w:r>
        <w:rPr>
          <w:bCs/>
          <w:sz w:val="24"/>
          <w:szCs w:val="24"/>
        </w:rPr>
        <w:t>检测报告应结论明确、用词规范、文字简练，对于容易混淆的术语和概念应以文字解释或图例进行说明。</w:t>
      </w:r>
    </w:p>
    <w:p>
      <w:pPr>
        <w:spacing w:line="360" w:lineRule="auto"/>
        <w:rPr>
          <w:bCs/>
          <w:sz w:val="24"/>
          <w:szCs w:val="24"/>
        </w:rPr>
      </w:pPr>
      <w:r>
        <w:rPr>
          <w:b/>
          <w:sz w:val="24"/>
          <w:szCs w:val="24"/>
        </w:rPr>
        <w:t xml:space="preserve">3.2.7  </w:t>
      </w:r>
      <w:r>
        <w:rPr>
          <w:bCs/>
          <w:sz w:val="24"/>
          <w:szCs w:val="24"/>
        </w:rPr>
        <w:t>检测报告应包括下列内容：</w:t>
      </w:r>
    </w:p>
    <w:p>
      <w:pPr>
        <w:spacing w:line="360" w:lineRule="auto"/>
        <w:ind w:left="-19" w:leftChars="-9" w:right="-40" w:rightChars="-19" w:firstLine="481" w:firstLineChars="200"/>
        <w:rPr>
          <w:rFonts w:eastAsiaTheme="minorEastAsia"/>
          <w:bCs/>
          <w:sz w:val="24"/>
          <w:szCs w:val="24"/>
        </w:rPr>
      </w:pPr>
      <w:r>
        <w:rPr>
          <w:rFonts w:eastAsiaTheme="minorEastAsia"/>
          <w:b/>
          <w:sz w:val="24"/>
          <w:szCs w:val="24"/>
        </w:rPr>
        <w:t xml:space="preserve">1  </w:t>
      </w:r>
      <w:r>
        <w:rPr>
          <w:rFonts w:eastAsiaTheme="minorEastAsia"/>
          <w:bCs/>
          <w:sz w:val="24"/>
          <w:szCs w:val="24"/>
        </w:rPr>
        <w:t>委托方名称；</w:t>
      </w:r>
    </w:p>
    <w:p>
      <w:pPr>
        <w:spacing w:line="360" w:lineRule="auto"/>
        <w:ind w:left="-19" w:leftChars="-9" w:right="-40" w:rightChars="-19" w:firstLine="481" w:firstLineChars="200"/>
        <w:rPr>
          <w:rFonts w:eastAsiaTheme="minorEastAsia"/>
          <w:b/>
          <w:sz w:val="24"/>
          <w:szCs w:val="24"/>
        </w:rPr>
      </w:pPr>
      <w:r>
        <w:rPr>
          <w:rFonts w:eastAsiaTheme="minorEastAsia"/>
          <w:b/>
          <w:sz w:val="24"/>
          <w:szCs w:val="24"/>
        </w:rPr>
        <w:t xml:space="preserve">2  </w:t>
      </w:r>
      <w:r>
        <w:rPr>
          <w:rFonts w:eastAsiaTheme="minorEastAsia"/>
          <w:bCs/>
          <w:sz w:val="24"/>
          <w:szCs w:val="24"/>
        </w:rPr>
        <w:t>工程概况，包括工程名称、地址、结构类型、规模、设计单位、施工单位、</w:t>
      </w:r>
      <w:r>
        <w:rPr>
          <w:rFonts w:hint="eastAsia" w:eastAsiaTheme="minorEastAsia"/>
          <w:bCs/>
          <w:sz w:val="24"/>
          <w:szCs w:val="24"/>
        </w:rPr>
        <w:t>预制</w:t>
      </w:r>
      <w:r>
        <w:rPr>
          <w:rFonts w:eastAsiaTheme="minorEastAsia"/>
          <w:bCs/>
          <w:sz w:val="24"/>
          <w:szCs w:val="24"/>
        </w:rPr>
        <w:t>构件生产单位及监理单位的名称、施工日期及现状等；</w:t>
      </w:r>
    </w:p>
    <w:p>
      <w:pPr>
        <w:spacing w:line="360" w:lineRule="auto"/>
        <w:ind w:left="-19" w:leftChars="-9" w:right="-40" w:rightChars="-19" w:firstLine="481" w:firstLineChars="200"/>
        <w:rPr>
          <w:rFonts w:eastAsiaTheme="minorEastAsia"/>
          <w:b/>
          <w:sz w:val="24"/>
          <w:szCs w:val="24"/>
        </w:rPr>
      </w:pPr>
      <w:r>
        <w:rPr>
          <w:rFonts w:eastAsiaTheme="minorEastAsia"/>
          <w:b/>
          <w:sz w:val="24"/>
          <w:szCs w:val="24"/>
        </w:rPr>
        <w:t xml:space="preserve">3  </w:t>
      </w:r>
      <w:r>
        <w:rPr>
          <w:rFonts w:eastAsiaTheme="minorEastAsia"/>
          <w:bCs/>
          <w:sz w:val="24"/>
          <w:szCs w:val="24"/>
        </w:rPr>
        <w:t>检测原因、检测目的及以往相关检测情况概述；</w:t>
      </w:r>
    </w:p>
    <w:p>
      <w:pPr>
        <w:spacing w:line="360" w:lineRule="auto"/>
        <w:ind w:left="-19" w:leftChars="-9" w:right="-40" w:rightChars="-19" w:firstLine="481" w:firstLineChars="200"/>
        <w:rPr>
          <w:rFonts w:eastAsiaTheme="minorEastAsia"/>
          <w:bCs/>
          <w:sz w:val="24"/>
          <w:szCs w:val="24"/>
        </w:rPr>
      </w:pPr>
      <w:r>
        <w:rPr>
          <w:rFonts w:eastAsiaTheme="minorEastAsia"/>
          <w:b/>
          <w:sz w:val="24"/>
          <w:szCs w:val="24"/>
        </w:rPr>
        <w:t xml:space="preserve">4  </w:t>
      </w:r>
      <w:r>
        <w:rPr>
          <w:rFonts w:eastAsiaTheme="minorEastAsia"/>
          <w:bCs/>
          <w:sz w:val="24"/>
          <w:szCs w:val="24"/>
        </w:rPr>
        <w:t>检测项目、检测方法及检测依据；</w:t>
      </w:r>
    </w:p>
    <w:p>
      <w:pPr>
        <w:spacing w:line="360" w:lineRule="auto"/>
        <w:ind w:left="-19" w:leftChars="-9" w:right="-40" w:rightChars="-19" w:firstLine="481" w:firstLineChars="200"/>
        <w:rPr>
          <w:rFonts w:eastAsiaTheme="minorEastAsia"/>
          <w:b/>
          <w:sz w:val="24"/>
          <w:szCs w:val="24"/>
        </w:rPr>
      </w:pPr>
      <w:r>
        <w:rPr>
          <w:rFonts w:eastAsiaTheme="minorEastAsia"/>
          <w:b/>
          <w:sz w:val="24"/>
          <w:szCs w:val="24"/>
        </w:rPr>
        <w:t xml:space="preserve">5  </w:t>
      </w:r>
      <w:r>
        <w:rPr>
          <w:rFonts w:eastAsiaTheme="minorEastAsia"/>
          <w:bCs/>
          <w:sz w:val="24"/>
          <w:szCs w:val="24"/>
        </w:rPr>
        <w:t>检测方式、抽样方法、检测数量与检测位置；</w:t>
      </w:r>
    </w:p>
    <w:p>
      <w:pPr>
        <w:spacing w:line="360" w:lineRule="auto"/>
        <w:ind w:left="-19" w:leftChars="-9" w:right="-40" w:rightChars="-19" w:firstLine="481" w:firstLineChars="200"/>
        <w:rPr>
          <w:rFonts w:eastAsiaTheme="minorEastAsia"/>
          <w:b/>
          <w:sz w:val="24"/>
          <w:szCs w:val="24"/>
        </w:rPr>
      </w:pPr>
      <w:r>
        <w:rPr>
          <w:rFonts w:eastAsiaTheme="minorEastAsia"/>
          <w:b/>
          <w:sz w:val="24"/>
          <w:szCs w:val="24"/>
        </w:rPr>
        <w:t xml:space="preserve">6  </w:t>
      </w:r>
      <w:r>
        <w:rPr>
          <w:rFonts w:eastAsiaTheme="minorEastAsia"/>
          <w:bCs/>
          <w:sz w:val="24"/>
          <w:szCs w:val="24"/>
        </w:rPr>
        <w:t>检测数据、检测结果、评定方法、检测结论；</w:t>
      </w:r>
    </w:p>
    <w:p>
      <w:pPr>
        <w:spacing w:line="360" w:lineRule="auto"/>
        <w:ind w:left="-19" w:leftChars="-9" w:right="-40" w:rightChars="-19" w:firstLine="481" w:firstLineChars="200"/>
        <w:rPr>
          <w:rFonts w:eastAsiaTheme="minorEastAsia"/>
          <w:b/>
          <w:sz w:val="24"/>
          <w:szCs w:val="24"/>
        </w:rPr>
      </w:pPr>
      <w:r>
        <w:rPr>
          <w:rFonts w:eastAsiaTheme="minorEastAsia"/>
          <w:b/>
          <w:sz w:val="24"/>
          <w:szCs w:val="24"/>
        </w:rPr>
        <w:t xml:space="preserve">7  </w:t>
      </w:r>
      <w:r>
        <w:rPr>
          <w:rFonts w:eastAsiaTheme="minorEastAsia"/>
          <w:bCs/>
          <w:sz w:val="24"/>
          <w:szCs w:val="24"/>
        </w:rPr>
        <w:t>检测日期、报告完成日期；</w:t>
      </w:r>
    </w:p>
    <w:p>
      <w:pPr>
        <w:spacing w:line="360" w:lineRule="auto"/>
        <w:ind w:left="-19" w:leftChars="-9" w:right="-40" w:rightChars="-19" w:firstLine="481" w:firstLineChars="200"/>
        <w:rPr>
          <w:rFonts w:eastAsiaTheme="minorEastAsia"/>
          <w:b/>
          <w:sz w:val="24"/>
          <w:szCs w:val="24"/>
        </w:rPr>
      </w:pPr>
      <w:r>
        <w:rPr>
          <w:rFonts w:eastAsiaTheme="minorEastAsia"/>
          <w:b/>
          <w:sz w:val="24"/>
          <w:szCs w:val="24"/>
        </w:rPr>
        <w:t xml:space="preserve">8  </w:t>
      </w:r>
      <w:r>
        <w:rPr>
          <w:rFonts w:hint="eastAsia" w:eastAsiaTheme="minorEastAsia"/>
          <w:bCs/>
          <w:sz w:val="24"/>
          <w:szCs w:val="24"/>
        </w:rPr>
        <w:t>主检、审核和批准人员的签名；</w:t>
      </w:r>
    </w:p>
    <w:p>
      <w:pPr>
        <w:spacing w:line="360" w:lineRule="auto"/>
        <w:ind w:left="-19" w:leftChars="-9" w:right="-40" w:rightChars="-19" w:firstLine="481" w:firstLineChars="200"/>
        <w:rPr>
          <w:rFonts w:eastAsiaTheme="minorEastAsia"/>
          <w:bCs/>
          <w:sz w:val="24"/>
          <w:szCs w:val="24"/>
        </w:rPr>
      </w:pPr>
      <w:r>
        <w:rPr>
          <w:rFonts w:eastAsiaTheme="minorEastAsia"/>
          <w:b/>
          <w:sz w:val="24"/>
          <w:szCs w:val="24"/>
        </w:rPr>
        <w:t xml:space="preserve">9  </w:t>
      </w:r>
      <w:r>
        <w:rPr>
          <w:rFonts w:hint="eastAsia" w:eastAsiaTheme="minorEastAsia"/>
          <w:bCs/>
          <w:sz w:val="24"/>
          <w:szCs w:val="24"/>
        </w:rPr>
        <w:t>检测机构的有效印章。</w:t>
      </w:r>
    </w:p>
    <w:p>
      <w:pPr>
        <w:keepNext/>
        <w:keepLines/>
        <w:spacing w:before="120" w:beforeLines="50" w:after="120" w:afterLines="50" w:line="400" w:lineRule="exact"/>
        <w:jc w:val="center"/>
        <w:outlineLvl w:val="1"/>
        <w:rPr>
          <w:b/>
          <w:kern w:val="0"/>
          <w:sz w:val="24"/>
          <w:szCs w:val="24"/>
        </w:rPr>
      </w:pPr>
      <w:bookmarkStart w:id="50" w:name="_Toc120020278"/>
      <w:r>
        <w:rPr>
          <w:b/>
          <w:kern w:val="0"/>
          <w:sz w:val="24"/>
          <w:szCs w:val="24"/>
        </w:rPr>
        <w:t>3.3  抽样方法与判定规则</w:t>
      </w:r>
      <w:bookmarkEnd w:id="50"/>
      <w:r>
        <w:rPr>
          <w:rFonts w:eastAsia="黑体"/>
          <w:b/>
          <w:kern w:val="0"/>
          <w:sz w:val="28"/>
        </w:rPr>
        <w:fldChar w:fldCharType="begin"/>
      </w:r>
      <w:r>
        <w:rPr>
          <w:rFonts w:eastAsia="黑体"/>
          <w:b/>
          <w:kern w:val="0"/>
          <w:sz w:val="28"/>
        </w:rPr>
        <w:instrText xml:space="preserve"> TC  "</w:instrText>
      </w:r>
      <w:bookmarkStart w:id="51" w:name="_Toc135038262"/>
      <w:bookmarkStart w:id="52" w:name="_Toc108470222"/>
      <w:r>
        <w:rPr>
          <w:rFonts w:eastAsia="黑体"/>
          <w:b/>
          <w:kern w:val="0"/>
          <w:sz w:val="28"/>
        </w:rPr>
        <w:instrText xml:space="preserve">3.3  Sampling methods and evaluation rules</w:instrText>
      </w:r>
      <w:bookmarkEnd w:id="51"/>
      <w:bookmarkEnd w:id="52"/>
      <w:r>
        <w:rPr>
          <w:rFonts w:eastAsia="黑体"/>
          <w:b/>
          <w:kern w:val="0"/>
          <w:sz w:val="28"/>
        </w:rPr>
        <w:instrText xml:space="preserve">" \l 2 </w:instrText>
      </w:r>
      <w:r>
        <w:rPr>
          <w:rFonts w:eastAsia="黑体"/>
          <w:b/>
          <w:kern w:val="0"/>
          <w:sz w:val="28"/>
        </w:rPr>
        <w:fldChar w:fldCharType="end"/>
      </w:r>
    </w:p>
    <w:p>
      <w:pPr>
        <w:spacing w:line="360" w:lineRule="auto"/>
        <w:rPr>
          <w:b/>
          <w:bCs/>
          <w:sz w:val="24"/>
          <w:szCs w:val="24"/>
        </w:rPr>
      </w:pPr>
      <w:r>
        <w:rPr>
          <w:b/>
          <w:bCs/>
          <w:sz w:val="24"/>
          <w:szCs w:val="24"/>
        </w:rPr>
        <w:t xml:space="preserve">3.3.1  </w:t>
      </w:r>
      <w:r>
        <w:rPr>
          <w:sz w:val="24"/>
          <w:szCs w:val="24"/>
        </w:rPr>
        <w:t>装配式混凝土结构的检测应根据检测目的、检测项目、结构状况和现场条件选择适用的抽样方式，可采用全数检测或抽样检测，抽样检测宜采用随机抽样，当不具备随机抽样条件时可按合同双方约定的方法抽样。</w:t>
      </w:r>
    </w:p>
    <w:p>
      <w:pPr>
        <w:spacing w:line="360" w:lineRule="auto"/>
        <w:rPr>
          <w:sz w:val="24"/>
          <w:szCs w:val="24"/>
        </w:rPr>
      </w:pPr>
      <w:r>
        <w:rPr>
          <w:b/>
          <w:bCs/>
          <w:sz w:val="24"/>
          <w:szCs w:val="24"/>
        </w:rPr>
        <w:t xml:space="preserve">3.3.2  </w:t>
      </w:r>
      <w:r>
        <w:rPr>
          <w:sz w:val="24"/>
          <w:szCs w:val="24"/>
        </w:rPr>
        <w:t>遇到下列情况时宜采用全数检测：</w:t>
      </w:r>
    </w:p>
    <w:p>
      <w:pPr>
        <w:spacing w:line="360" w:lineRule="auto"/>
        <w:ind w:firstLine="481" w:firstLineChars="200"/>
        <w:rPr>
          <w:b/>
          <w:bCs/>
          <w:sz w:val="24"/>
          <w:szCs w:val="24"/>
        </w:rPr>
      </w:pPr>
      <w:r>
        <w:rPr>
          <w:b/>
          <w:bCs/>
          <w:sz w:val="24"/>
          <w:szCs w:val="24"/>
        </w:rPr>
        <w:t xml:space="preserve">1  </w:t>
      </w:r>
      <w:r>
        <w:rPr>
          <w:sz w:val="24"/>
          <w:szCs w:val="24"/>
        </w:rPr>
        <w:t>外观缺陷或结构损伤的检测；</w:t>
      </w:r>
    </w:p>
    <w:p>
      <w:pPr>
        <w:spacing w:line="360" w:lineRule="auto"/>
        <w:ind w:firstLine="481" w:firstLineChars="200"/>
        <w:rPr>
          <w:b/>
          <w:bCs/>
          <w:sz w:val="24"/>
          <w:szCs w:val="24"/>
        </w:rPr>
      </w:pPr>
      <w:r>
        <w:rPr>
          <w:b/>
          <w:bCs/>
          <w:sz w:val="24"/>
          <w:szCs w:val="24"/>
        </w:rPr>
        <w:t xml:space="preserve">2  </w:t>
      </w:r>
      <w:r>
        <w:rPr>
          <w:sz w:val="24"/>
          <w:szCs w:val="24"/>
        </w:rPr>
        <w:t>受检范围较小、构件数量较少或节点数量较少；</w:t>
      </w:r>
    </w:p>
    <w:p>
      <w:pPr>
        <w:spacing w:line="360" w:lineRule="auto"/>
        <w:ind w:firstLine="481" w:firstLineChars="200"/>
        <w:rPr>
          <w:b/>
          <w:bCs/>
          <w:sz w:val="24"/>
          <w:szCs w:val="24"/>
        </w:rPr>
      </w:pPr>
      <w:r>
        <w:rPr>
          <w:b/>
          <w:bCs/>
          <w:sz w:val="24"/>
          <w:szCs w:val="24"/>
        </w:rPr>
        <w:t xml:space="preserve">3  </w:t>
      </w:r>
      <w:r>
        <w:rPr>
          <w:sz w:val="24"/>
          <w:szCs w:val="24"/>
        </w:rPr>
        <w:t>构件或节点的质量状况差异性较大。</w:t>
      </w:r>
    </w:p>
    <w:p>
      <w:pPr>
        <w:spacing w:line="360" w:lineRule="auto"/>
        <w:rPr>
          <w:sz w:val="24"/>
          <w:szCs w:val="24"/>
        </w:rPr>
      </w:pPr>
      <w:r>
        <w:rPr>
          <w:b/>
          <w:bCs/>
          <w:sz w:val="24"/>
          <w:szCs w:val="24"/>
        </w:rPr>
        <w:t xml:space="preserve">3.3.3  </w:t>
      </w:r>
      <w:r>
        <w:rPr>
          <w:sz w:val="24"/>
          <w:szCs w:val="24"/>
        </w:rPr>
        <w:t>批量检测应根据检测项目的实际情况采取计数抽样方法或计量抽样方法，检测项目适用的抽样方法可按表3.3.3划分确定。</w:t>
      </w:r>
    </w:p>
    <w:p>
      <w:pPr>
        <w:snapToGrid w:val="0"/>
        <w:jc w:val="center"/>
        <w:rPr>
          <w:rFonts w:eastAsiaTheme="minorEastAsia"/>
          <w:b/>
          <w:szCs w:val="21"/>
        </w:rPr>
      </w:pPr>
      <w:r>
        <w:rPr>
          <w:rFonts w:eastAsiaTheme="minorEastAsia"/>
          <w:b/>
          <w:szCs w:val="21"/>
        </w:rPr>
        <w:t>表3.3.3  检测项目适用的抽样方法</w:t>
      </w:r>
    </w:p>
    <w:tbl>
      <w:tblPr>
        <w:tblStyle w:val="25"/>
        <w:tblW w:w="83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4043"/>
        <w:gridCol w:w="2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2" w:type="dxa"/>
            <w:vAlign w:val="center"/>
          </w:tcPr>
          <w:p>
            <w:pPr>
              <w:adjustRightInd w:val="0"/>
              <w:snapToGrid w:val="0"/>
              <w:jc w:val="center"/>
              <w:rPr>
                <w:rFonts w:eastAsiaTheme="minorEastAsia"/>
                <w:kern w:val="0"/>
                <w:szCs w:val="21"/>
              </w:rPr>
            </w:pPr>
            <w:r>
              <w:rPr>
                <w:rFonts w:eastAsiaTheme="minorEastAsia"/>
                <w:kern w:val="0"/>
                <w:szCs w:val="21"/>
              </w:rPr>
              <w:t>序号</w:t>
            </w:r>
          </w:p>
        </w:tc>
        <w:tc>
          <w:tcPr>
            <w:tcW w:w="4043" w:type="dxa"/>
            <w:vAlign w:val="center"/>
          </w:tcPr>
          <w:p>
            <w:pPr>
              <w:adjustRightInd w:val="0"/>
              <w:snapToGrid w:val="0"/>
              <w:jc w:val="center"/>
              <w:rPr>
                <w:rFonts w:eastAsiaTheme="minorEastAsia"/>
                <w:kern w:val="0"/>
                <w:szCs w:val="21"/>
              </w:rPr>
            </w:pPr>
            <w:r>
              <w:rPr>
                <w:rFonts w:eastAsiaTheme="minorEastAsia"/>
                <w:kern w:val="0"/>
                <w:szCs w:val="21"/>
              </w:rPr>
              <w:t>检测项目</w:t>
            </w:r>
          </w:p>
        </w:tc>
        <w:tc>
          <w:tcPr>
            <w:tcW w:w="2768" w:type="dxa"/>
            <w:vAlign w:val="center"/>
          </w:tcPr>
          <w:p>
            <w:pPr>
              <w:adjustRightInd w:val="0"/>
              <w:snapToGrid w:val="0"/>
              <w:jc w:val="center"/>
              <w:rPr>
                <w:rFonts w:eastAsiaTheme="minorEastAsia"/>
                <w:kern w:val="0"/>
                <w:szCs w:val="21"/>
              </w:rPr>
            </w:pPr>
            <w:r>
              <w:rPr>
                <w:rFonts w:eastAsiaTheme="minorEastAsia"/>
                <w:kern w:val="0"/>
                <w:szCs w:val="21"/>
              </w:rPr>
              <w:t>抽样方法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492" w:type="dxa"/>
            <w:vAlign w:val="center"/>
          </w:tcPr>
          <w:p>
            <w:pPr>
              <w:adjustRightInd w:val="0"/>
              <w:snapToGrid w:val="0"/>
              <w:jc w:val="center"/>
              <w:rPr>
                <w:rFonts w:eastAsiaTheme="minorEastAsia"/>
                <w:kern w:val="0"/>
                <w:szCs w:val="21"/>
              </w:rPr>
            </w:pPr>
            <w:r>
              <w:rPr>
                <w:rFonts w:eastAsiaTheme="minorEastAsia"/>
                <w:kern w:val="0"/>
                <w:szCs w:val="21"/>
              </w:rPr>
              <w:t>1</w:t>
            </w:r>
          </w:p>
        </w:tc>
        <w:tc>
          <w:tcPr>
            <w:tcW w:w="4043" w:type="dxa"/>
            <w:vAlign w:val="center"/>
          </w:tcPr>
          <w:p>
            <w:pPr>
              <w:adjustRightInd w:val="0"/>
              <w:snapToGrid w:val="0"/>
              <w:jc w:val="center"/>
              <w:rPr>
                <w:rFonts w:eastAsiaTheme="minorEastAsia"/>
                <w:kern w:val="0"/>
                <w:szCs w:val="21"/>
              </w:rPr>
            </w:pPr>
            <w:r>
              <w:rPr>
                <w:rFonts w:eastAsiaTheme="minorEastAsia"/>
                <w:kern w:val="0"/>
                <w:szCs w:val="21"/>
              </w:rPr>
              <w:t>预制构件混凝土抗压强度</w:t>
            </w:r>
          </w:p>
        </w:tc>
        <w:tc>
          <w:tcPr>
            <w:tcW w:w="2768" w:type="dxa"/>
            <w:vMerge w:val="restart"/>
            <w:vAlign w:val="center"/>
          </w:tcPr>
          <w:p>
            <w:pPr>
              <w:adjustRightInd w:val="0"/>
              <w:snapToGrid w:val="0"/>
              <w:jc w:val="center"/>
              <w:rPr>
                <w:rFonts w:eastAsiaTheme="minorEastAsia"/>
                <w:kern w:val="0"/>
                <w:szCs w:val="21"/>
              </w:rPr>
            </w:pPr>
            <w:r>
              <w:rPr>
                <w:rFonts w:eastAsiaTheme="minorEastAsia"/>
                <w:kern w:val="0"/>
                <w:szCs w:val="21"/>
              </w:rPr>
              <w:t>计量抽样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492" w:type="dxa"/>
            <w:vAlign w:val="center"/>
          </w:tcPr>
          <w:p>
            <w:pPr>
              <w:adjustRightInd w:val="0"/>
              <w:snapToGrid w:val="0"/>
              <w:jc w:val="center"/>
              <w:rPr>
                <w:rFonts w:eastAsiaTheme="minorEastAsia"/>
                <w:kern w:val="0"/>
                <w:szCs w:val="21"/>
              </w:rPr>
            </w:pPr>
            <w:r>
              <w:rPr>
                <w:rFonts w:eastAsiaTheme="minorEastAsia"/>
                <w:kern w:val="0"/>
                <w:szCs w:val="21"/>
              </w:rPr>
              <w:t>2</w:t>
            </w:r>
          </w:p>
        </w:tc>
        <w:tc>
          <w:tcPr>
            <w:tcW w:w="4043" w:type="dxa"/>
            <w:vAlign w:val="center"/>
          </w:tcPr>
          <w:p>
            <w:pPr>
              <w:adjustRightInd w:val="0"/>
              <w:snapToGrid w:val="0"/>
              <w:jc w:val="center"/>
              <w:rPr>
                <w:rFonts w:eastAsiaTheme="minorEastAsia"/>
                <w:kern w:val="0"/>
                <w:szCs w:val="21"/>
              </w:rPr>
            </w:pPr>
            <w:r>
              <w:rPr>
                <w:rFonts w:eastAsiaTheme="minorEastAsia"/>
                <w:kern w:val="0"/>
                <w:szCs w:val="21"/>
              </w:rPr>
              <w:t>预埋吊件抗拔承载力破损性检验</w:t>
            </w:r>
          </w:p>
        </w:tc>
        <w:tc>
          <w:tcPr>
            <w:tcW w:w="2768" w:type="dxa"/>
            <w:vMerge w:val="continue"/>
            <w:vAlign w:val="center"/>
          </w:tcPr>
          <w:p>
            <w:pPr>
              <w:adjustRightInd w:val="0"/>
              <w:snapToGrid w:val="0"/>
              <w:jc w:val="center"/>
              <w:rPr>
                <w:rFonts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492" w:type="dxa"/>
            <w:vAlign w:val="center"/>
          </w:tcPr>
          <w:p>
            <w:pPr>
              <w:adjustRightInd w:val="0"/>
              <w:snapToGrid w:val="0"/>
              <w:jc w:val="center"/>
              <w:rPr>
                <w:rFonts w:eastAsiaTheme="minorEastAsia"/>
                <w:kern w:val="0"/>
                <w:szCs w:val="21"/>
              </w:rPr>
            </w:pPr>
            <w:r>
              <w:rPr>
                <w:rFonts w:eastAsiaTheme="minorEastAsia"/>
                <w:kern w:val="0"/>
                <w:szCs w:val="21"/>
              </w:rPr>
              <w:t>3</w:t>
            </w:r>
          </w:p>
        </w:tc>
        <w:tc>
          <w:tcPr>
            <w:tcW w:w="4043" w:type="dxa"/>
            <w:vAlign w:val="center"/>
          </w:tcPr>
          <w:p>
            <w:pPr>
              <w:adjustRightInd w:val="0"/>
              <w:snapToGrid w:val="0"/>
              <w:jc w:val="center"/>
              <w:rPr>
                <w:rFonts w:eastAsiaTheme="minorEastAsia"/>
                <w:kern w:val="0"/>
                <w:szCs w:val="21"/>
              </w:rPr>
            </w:pPr>
            <w:r>
              <w:rPr>
                <w:rFonts w:eastAsiaTheme="minorEastAsia"/>
                <w:kern w:val="0"/>
                <w:szCs w:val="21"/>
              </w:rPr>
              <w:t>预埋保温拉结件锚固承载力</w:t>
            </w:r>
          </w:p>
        </w:tc>
        <w:tc>
          <w:tcPr>
            <w:tcW w:w="2768" w:type="dxa"/>
            <w:vMerge w:val="continue"/>
            <w:vAlign w:val="center"/>
          </w:tcPr>
          <w:p>
            <w:pPr>
              <w:adjustRightInd w:val="0"/>
              <w:snapToGrid w:val="0"/>
              <w:jc w:val="center"/>
              <w:rPr>
                <w:rFonts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492" w:type="dxa"/>
            <w:vAlign w:val="center"/>
          </w:tcPr>
          <w:p>
            <w:pPr>
              <w:adjustRightInd w:val="0"/>
              <w:snapToGrid w:val="0"/>
              <w:jc w:val="center"/>
              <w:rPr>
                <w:rFonts w:eastAsiaTheme="minorEastAsia"/>
                <w:kern w:val="0"/>
                <w:szCs w:val="21"/>
              </w:rPr>
            </w:pPr>
            <w:r>
              <w:rPr>
                <w:rFonts w:eastAsiaTheme="minorEastAsia"/>
                <w:kern w:val="0"/>
                <w:szCs w:val="21"/>
              </w:rPr>
              <w:t>4</w:t>
            </w:r>
          </w:p>
        </w:tc>
        <w:tc>
          <w:tcPr>
            <w:tcW w:w="4043" w:type="dxa"/>
            <w:vAlign w:val="center"/>
          </w:tcPr>
          <w:p>
            <w:pPr>
              <w:adjustRightInd w:val="0"/>
              <w:snapToGrid w:val="0"/>
              <w:jc w:val="center"/>
              <w:rPr>
                <w:rFonts w:eastAsiaTheme="minorEastAsia"/>
                <w:kern w:val="0"/>
                <w:szCs w:val="21"/>
              </w:rPr>
            </w:pPr>
            <w:r>
              <w:rPr>
                <w:rFonts w:eastAsiaTheme="minorEastAsia"/>
                <w:kern w:val="0"/>
                <w:szCs w:val="21"/>
              </w:rPr>
              <w:t>结合面混凝土正拉粘结强度</w:t>
            </w:r>
          </w:p>
        </w:tc>
        <w:tc>
          <w:tcPr>
            <w:tcW w:w="2768" w:type="dxa"/>
            <w:vMerge w:val="continue"/>
            <w:vAlign w:val="center"/>
          </w:tcPr>
          <w:p>
            <w:pPr>
              <w:adjustRightInd w:val="0"/>
              <w:snapToGrid w:val="0"/>
              <w:jc w:val="center"/>
              <w:rPr>
                <w:rFonts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492" w:type="dxa"/>
            <w:vAlign w:val="center"/>
          </w:tcPr>
          <w:p>
            <w:pPr>
              <w:adjustRightInd w:val="0"/>
              <w:snapToGrid w:val="0"/>
              <w:jc w:val="center"/>
              <w:rPr>
                <w:rFonts w:eastAsiaTheme="minorEastAsia"/>
                <w:kern w:val="0"/>
                <w:szCs w:val="21"/>
              </w:rPr>
            </w:pPr>
            <w:r>
              <w:rPr>
                <w:rFonts w:eastAsiaTheme="minorEastAsia"/>
                <w:kern w:val="0"/>
                <w:szCs w:val="21"/>
              </w:rPr>
              <w:t>5</w:t>
            </w:r>
          </w:p>
        </w:tc>
        <w:tc>
          <w:tcPr>
            <w:tcW w:w="4043" w:type="dxa"/>
            <w:vAlign w:val="center"/>
          </w:tcPr>
          <w:p>
            <w:pPr>
              <w:adjustRightInd w:val="0"/>
              <w:snapToGrid w:val="0"/>
              <w:jc w:val="center"/>
              <w:rPr>
                <w:rFonts w:eastAsiaTheme="minorEastAsia"/>
                <w:kern w:val="0"/>
                <w:szCs w:val="21"/>
              </w:rPr>
            </w:pPr>
            <w:r>
              <w:rPr>
                <w:rFonts w:eastAsiaTheme="minorEastAsia"/>
                <w:kern w:val="0"/>
                <w:szCs w:val="21"/>
              </w:rPr>
              <w:t>灌浆料抗压强度</w:t>
            </w:r>
          </w:p>
        </w:tc>
        <w:tc>
          <w:tcPr>
            <w:tcW w:w="2768" w:type="dxa"/>
            <w:vMerge w:val="continue"/>
            <w:vAlign w:val="center"/>
          </w:tcPr>
          <w:p>
            <w:pPr>
              <w:adjustRightInd w:val="0"/>
              <w:snapToGrid w:val="0"/>
              <w:jc w:val="center"/>
              <w:rPr>
                <w:rFonts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492" w:type="dxa"/>
            <w:vAlign w:val="center"/>
          </w:tcPr>
          <w:p>
            <w:pPr>
              <w:adjustRightInd w:val="0"/>
              <w:snapToGrid w:val="0"/>
              <w:jc w:val="center"/>
              <w:rPr>
                <w:rFonts w:eastAsiaTheme="minorEastAsia"/>
                <w:kern w:val="0"/>
                <w:szCs w:val="21"/>
              </w:rPr>
            </w:pPr>
            <w:r>
              <w:rPr>
                <w:rFonts w:eastAsiaTheme="minorEastAsia"/>
                <w:kern w:val="0"/>
                <w:szCs w:val="21"/>
              </w:rPr>
              <w:t>6</w:t>
            </w:r>
          </w:p>
        </w:tc>
        <w:tc>
          <w:tcPr>
            <w:tcW w:w="4043" w:type="dxa"/>
            <w:vAlign w:val="center"/>
          </w:tcPr>
          <w:p>
            <w:pPr>
              <w:adjustRightInd w:val="0"/>
              <w:snapToGrid w:val="0"/>
              <w:jc w:val="center"/>
              <w:rPr>
                <w:rFonts w:eastAsiaTheme="minorEastAsia"/>
                <w:kern w:val="0"/>
                <w:szCs w:val="21"/>
              </w:rPr>
            </w:pPr>
            <w:r>
              <w:rPr>
                <w:rFonts w:eastAsiaTheme="minorEastAsia"/>
                <w:kern w:val="0"/>
                <w:szCs w:val="21"/>
              </w:rPr>
              <w:t>预制构件混凝土粗糙面面积</w:t>
            </w:r>
          </w:p>
        </w:tc>
        <w:tc>
          <w:tcPr>
            <w:tcW w:w="2768" w:type="dxa"/>
            <w:vMerge w:val="restart"/>
            <w:vAlign w:val="center"/>
          </w:tcPr>
          <w:p>
            <w:pPr>
              <w:adjustRightInd w:val="0"/>
              <w:snapToGrid w:val="0"/>
              <w:jc w:val="center"/>
              <w:rPr>
                <w:rFonts w:eastAsiaTheme="minorEastAsia"/>
                <w:kern w:val="0"/>
                <w:szCs w:val="21"/>
              </w:rPr>
            </w:pPr>
            <w:r>
              <w:rPr>
                <w:rFonts w:eastAsiaTheme="minorEastAsia"/>
                <w:kern w:val="0"/>
                <w:szCs w:val="21"/>
              </w:rPr>
              <w:t>计数抽样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492" w:type="dxa"/>
            <w:vAlign w:val="center"/>
          </w:tcPr>
          <w:p>
            <w:pPr>
              <w:adjustRightInd w:val="0"/>
              <w:snapToGrid w:val="0"/>
              <w:jc w:val="center"/>
              <w:rPr>
                <w:rFonts w:eastAsiaTheme="minorEastAsia"/>
                <w:kern w:val="0"/>
                <w:szCs w:val="21"/>
              </w:rPr>
            </w:pPr>
            <w:r>
              <w:rPr>
                <w:rFonts w:eastAsiaTheme="minorEastAsia"/>
                <w:kern w:val="0"/>
                <w:szCs w:val="21"/>
              </w:rPr>
              <w:t>7</w:t>
            </w:r>
          </w:p>
        </w:tc>
        <w:tc>
          <w:tcPr>
            <w:tcW w:w="4043" w:type="dxa"/>
            <w:vAlign w:val="center"/>
          </w:tcPr>
          <w:p>
            <w:pPr>
              <w:adjustRightInd w:val="0"/>
              <w:snapToGrid w:val="0"/>
              <w:jc w:val="center"/>
              <w:rPr>
                <w:rFonts w:eastAsiaTheme="minorEastAsia"/>
                <w:kern w:val="0"/>
                <w:szCs w:val="21"/>
              </w:rPr>
            </w:pPr>
            <w:r>
              <w:rPr>
                <w:rFonts w:eastAsiaTheme="minorEastAsia"/>
                <w:kern w:val="0"/>
                <w:szCs w:val="21"/>
              </w:rPr>
              <w:t>预制构件混凝土粗糙面凹凸深度</w:t>
            </w:r>
          </w:p>
        </w:tc>
        <w:tc>
          <w:tcPr>
            <w:tcW w:w="2768" w:type="dxa"/>
            <w:vMerge w:val="continue"/>
            <w:vAlign w:val="center"/>
          </w:tcPr>
          <w:p>
            <w:pPr>
              <w:adjustRightInd w:val="0"/>
              <w:snapToGrid w:val="0"/>
              <w:jc w:val="center"/>
              <w:rPr>
                <w:rFonts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492" w:type="dxa"/>
            <w:vAlign w:val="center"/>
          </w:tcPr>
          <w:p>
            <w:pPr>
              <w:adjustRightInd w:val="0"/>
              <w:snapToGrid w:val="0"/>
              <w:jc w:val="center"/>
              <w:rPr>
                <w:rFonts w:eastAsiaTheme="minorEastAsia"/>
                <w:kern w:val="0"/>
                <w:szCs w:val="21"/>
              </w:rPr>
            </w:pPr>
            <w:r>
              <w:rPr>
                <w:rFonts w:eastAsiaTheme="minorEastAsia"/>
                <w:kern w:val="0"/>
                <w:szCs w:val="21"/>
              </w:rPr>
              <w:t>8</w:t>
            </w:r>
          </w:p>
        </w:tc>
        <w:tc>
          <w:tcPr>
            <w:tcW w:w="4043" w:type="dxa"/>
            <w:vAlign w:val="center"/>
          </w:tcPr>
          <w:p>
            <w:pPr>
              <w:adjustRightInd w:val="0"/>
              <w:snapToGrid w:val="0"/>
              <w:jc w:val="center"/>
              <w:rPr>
                <w:rFonts w:eastAsiaTheme="minorEastAsia"/>
                <w:kern w:val="0"/>
                <w:szCs w:val="21"/>
              </w:rPr>
            </w:pPr>
            <w:r>
              <w:rPr>
                <w:rFonts w:eastAsiaTheme="minorEastAsia"/>
                <w:kern w:val="0"/>
                <w:szCs w:val="21"/>
              </w:rPr>
              <w:t>预埋吊件抗拔承载力非破损性检验</w:t>
            </w:r>
          </w:p>
        </w:tc>
        <w:tc>
          <w:tcPr>
            <w:tcW w:w="2768" w:type="dxa"/>
            <w:vMerge w:val="continue"/>
            <w:vAlign w:val="center"/>
          </w:tcPr>
          <w:p>
            <w:pPr>
              <w:adjustRightInd w:val="0"/>
              <w:snapToGrid w:val="0"/>
              <w:jc w:val="center"/>
              <w:rPr>
                <w:rFonts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492" w:type="dxa"/>
            <w:vAlign w:val="center"/>
          </w:tcPr>
          <w:p>
            <w:pPr>
              <w:adjustRightInd w:val="0"/>
              <w:snapToGrid w:val="0"/>
              <w:jc w:val="center"/>
              <w:rPr>
                <w:rFonts w:eastAsiaTheme="minorEastAsia"/>
                <w:kern w:val="0"/>
                <w:szCs w:val="21"/>
              </w:rPr>
            </w:pPr>
            <w:r>
              <w:rPr>
                <w:rFonts w:eastAsiaTheme="minorEastAsia"/>
                <w:kern w:val="0"/>
                <w:szCs w:val="21"/>
              </w:rPr>
              <w:t>9</w:t>
            </w:r>
          </w:p>
        </w:tc>
        <w:tc>
          <w:tcPr>
            <w:tcW w:w="4043" w:type="dxa"/>
            <w:vAlign w:val="center"/>
          </w:tcPr>
          <w:p>
            <w:pPr>
              <w:adjustRightInd w:val="0"/>
              <w:snapToGrid w:val="0"/>
              <w:jc w:val="center"/>
              <w:rPr>
                <w:rFonts w:eastAsiaTheme="minorEastAsia"/>
                <w:kern w:val="0"/>
                <w:szCs w:val="21"/>
              </w:rPr>
            </w:pPr>
            <w:r>
              <w:rPr>
                <w:rFonts w:eastAsiaTheme="minorEastAsia"/>
                <w:kern w:val="0"/>
                <w:szCs w:val="21"/>
              </w:rPr>
              <w:t>混凝土内部结合面连接缺陷</w:t>
            </w:r>
          </w:p>
        </w:tc>
        <w:tc>
          <w:tcPr>
            <w:tcW w:w="2768" w:type="dxa"/>
            <w:vMerge w:val="continue"/>
            <w:vAlign w:val="center"/>
          </w:tcPr>
          <w:p>
            <w:pPr>
              <w:adjustRightInd w:val="0"/>
              <w:snapToGrid w:val="0"/>
              <w:jc w:val="center"/>
              <w:rPr>
                <w:rFonts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492" w:type="dxa"/>
            <w:vAlign w:val="center"/>
          </w:tcPr>
          <w:p>
            <w:pPr>
              <w:adjustRightInd w:val="0"/>
              <w:snapToGrid w:val="0"/>
              <w:jc w:val="center"/>
              <w:rPr>
                <w:rFonts w:eastAsiaTheme="minorEastAsia"/>
                <w:kern w:val="0"/>
                <w:szCs w:val="21"/>
              </w:rPr>
            </w:pPr>
            <w:r>
              <w:rPr>
                <w:rFonts w:eastAsiaTheme="minorEastAsia"/>
                <w:kern w:val="0"/>
                <w:szCs w:val="21"/>
              </w:rPr>
              <w:t>10</w:t>
            </w:r>
          </w:p>
        </w:tc>
        <w:tc>
          <w:tcPr>
            <w:tcW w:w="4043" w:type="dxa"/>
            <w:vAlign w:val="center"/>
          </w:tcPr>
          <w:p>
            <w:pPr>
              <w:adjustRightInd w:val="0"/>
              <w:snapToGrid w:val="0"/>
              <w:jc w:val="center"/>
              <w:rPr>
                <w:rFonts w:eastAsiaTheme="minorEastAsia"/>
                <w:kern w:val="0"/>
                <w:szCs w:val="21"/>
              </w:rPr>
            </w:pPr>
            <w:r>
              <w:rPr>
                <w:rFonts w:eastAsiaTheme="minorEastAsia"/>
                <w:kern w:val="0"/>
                <w:szCs w:val="21"/>
              </w:rPr>
              <w:t>竖向构件底部接缝内部缺陷</w:t>
            </w:r>
          </w:p>
        </w:tc>
        <w:tc>
          <w:tcPr>
            <w:tcW w:w="2768" w:type="dxa"/>
            <w:vMerge w:val="continue"/>
            <w:vAlign w:val="center"/>
          </w:tcPr>
          <w:p>
            <w:pPr>
              <w:adjustRightInd w:val="0"/>
              <w:snapToGrid w:val="0"/>
              <w:jc w:val="center"/>
              <w:rPr>
                <w:rFonts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492" w:type="dxa"/>
            <w:vAlign w:val="center"/>
          </w:tcPr>
          <w:p>
            <w:pPr>
              <w:adjustRightInd w:val="0"/>
              <w:snapToGrid w:val="0"/>
              <w:jc w:val="center"/>
              <w:rPr>
                <w:rFonts w:eastAsiaTheme="minorEastAsia"/>
                <w:kern w:val="0"/>
                <w:szCs w:val="21"/>
              </w:rPr>
            </w:pPr>
            <w:r>
              <w:rPr>
                <w:rFonts w:eastAsiaTheme="minorEastAsia"/>
                <w:kern w:val="0"/>
                <w:szCs w:val="21"/>
              </w:rPr>
              <w:t>11</w:t>
            </w:r>
          </w:p>
        </w:tc>
        <w:tc>
          <w:tcPr>
            <w:tcW w:w="4043" w:type="dxa"/>
            <w:vAlign w:val="center"/>
          </w:tcPr>
          <w:p>
            <w:pPr>
              <w:adjustRightInd w:val="0"/>
              <w:snapToGrid w:val="0"/>
              <w:jc w:val="center"/>
              <w:rPr>
                <w:rFonts w:eastAsiaTheme="minorEastAsia"/>
                <w:kern w:val="0"/>
                <w:szCs w:val="21"/>
              </w:rPr>
            </w:pPr>
            <w:r>
              <w:rPr>
                <w:rFonts w:eastAsiaTheme="minorEastAsia"/>
                <w:kern w:val="0"/>
                <w:szCs w:val="21"/>
              </w:rPr>
              <w:t>灌浆饱满度</w:t>
            </w:r>
          </w:p>
        </w:tc>
        <w:tc>
          <w:tcPr>
            <w:tcW w:w="2768" w:type="dxa"/>
            <w:vMerge w:val="continue"/>
            <w:vAlign w:val="center"/>
          </w:tcPr>
          <w:p>
            <w:pPr>
              <w:adjustRightInd w:val="0"/>
              <w:snapToGrid w:val="0"/>
              <w:jc w:val="center"/>
              <w:rPr>
                <w:rFonts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492" w:type="dxa"/>
            <w:vAlign w:val="center"/>
          </w:tcPr>
          <w:p>
            <w:pPr>
              <w:adjustRightInd w:val="0"/>
              <w:snapToGrid w:val="0"/>
              <w:jc w:val="center"/>
              <w:rPr>
                <w:rFonts w:eastAsiaTheme="minorEastAsia"/>
                <w:kern w:val="0"/>
                <w:szCs w:val="21"/>
              </w:rPr>
            </w:pPr>
            <w:r>
              <w:rPr>
                <w:rFonts w:eastAsiaTheme="minorEastAsia"/>
                <w:kern w:val="0"/>
                <w:szCs w:val="21"/>
              </w:rPr>
              <w:t>12</w:t>
            </w:r>
          </w:p>
        </w:tc>
        <w:tc>
          <w:tcPr>
            <w:tcW w:w="4043" w:type="dxa"/>
            <w:vAlign w:val="center"/>
          </w:tcPr>
          <w:p>
            <w:pPr>
              <w:adjustRightInd w:val="0"/>
              <w:snapToGrid w:val="0"/>
              <w:jc w:val="center"/>
              <w:rPr>
                <w:rFonts w:eastAsiaTheme="minorEastAsia"/>
                <w:kern w:val="0"/>
                <w:szCs w:val="21"/>
              </w:rPr>
            </w:pPr>
            <w:r>
              <w:rPr>
                <w:rFonts w:eastAsiaTheme="minorEastAsia"/>
                <w:kern w:val="0"/>
                <w:szCs w:val="21"/>
              </w:rPr>
              <w:t>钢筋插入长度</w:t>
            </w:r>
          </w:p>
        </w:tc>
        <w:tc>
          <w:tcPr>
            <w:tcW w:w="2768" w:type="dxa"/>
            <w:vMerge w:val="continue"/>
            <w:vAlign w:val="center"/>
          </w:tcPr>
          <w:p>
            <w:pPr>
              <w:adjustRightInd w:val="0"/>
              <w:snapToGrid w:val="0"/>
              <w:jc w:val="center"/>
              <w:rPr>
                <w:rFonts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492" w:type="dxa"/>
            <w:vAlign w:val="center"/>
          </w:tcPr>
          <w:p>
            <w:pPr>
              <w:adjustRightInd w:val="0"/>
              <w:snapToGrid w:val="0"/>
              <w:jc w:val="center"/>
              <w:rPr>
                <w:rFonts w:eastAsiaTheme="minorEastAsia"/>
                <w:kern w:val="0"/>
                <w:szCs w:val="21"/>
              </w:rPr>
            </w:pPr>
            <w:r>
              <w:rPr>
                <w:rFonts w:eastAsiaTheme="minorEastAsia"/>
                <w:kern w:val="0"/>
                <w:szCs w:val="21"/>
              </w:rPr>
              <w:t>13</w:t>
            </w:r>
          </w:p>
        </w:tc>
        <w:tc>
          <w:tcPr>
            <w:tcW w:w="4043" w:type="dxa"/>
            <w:vAlign w:val="center"/>
          </w:tcPr>
          <w:p>
            <w:pPr>
              <w:adjustRightInd w:val="0"/>
              <w:snapToGrid w:val="0"/>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外墙拼缝连接质量</w:t>
            </w:r>
          </w:p>
        </w:tc>
        <w:tc>
          <w:tcPr>
            <w:tcW w:w="2768" w:type="dxa"/>
            <w:vMerge w:val="continue"/>
            <w:vAlign w:val="center"/>
          </w:tcPr>
          <w:p>
            <w:pPr>
              <w:adjustRightInd w:val="0"/>
              <w:snapToGrid w:val="0"/>
              <w:jc w:val="center"/>
              <w:rPr>
                <w:rFonts w:eastAsiaTheme="minorEastAsia"/>
                <w:kern w:val="0"/>
                <w:szCs w:val="21"/>
              </w:rPr>
            </w:pPr>
          </w:p>
        </w:tc>
      </w:tr>
    </w:tbl>
    <w:p>
      <w:pPr>
        <w:spacing w:line="360" w:lineRule="auto"/>
        <w:rPr>
          <w:sz w:val="24"/>
          <w:szCs w:val="24"/>
        </w:rPr>
      </w:pPr>
    </w:p>
    <w:p>
      <w:pPr>
        <w:spacing w:line="360" w:lineRule="auto"/>
        <w:rPr>
          <w:sz w:val="24"/>
          <w:szCs w:val="24"/>
        </w:rPr>
      </w:pPr>
      <w:r>
        <w:rPr>
          <w:b/>
          <w:bCs/>
          <w:sz w:val="24"/>
          <w:szCs w:val="24"/>
        </w:rPr>
        <w:t xml:space="preserve">3.3.4  </w:t>
      </w:r>
      <w:r>
        <w:rPr>
          <w:sz w:val="24"/>
          <w:szCs w:val="24"/>
        </w:rPr>
        <w:t>对于计量抽样检测的项目，检测批的抽样数量应满足其检测方法要求的最小样本容量。</w:t>
      </w:r>
    </w:p>
    <w:p>
      <w:pPr>
        <w:spacing w:line="360" w:lineRule="auto"/>
        <w:rPr>
          <w:sz w:val="24"/>
          <w:szCs w:val="24"/>
        </w:rPr>
      </w:pPr>
      <w:r>
        <w:rPr>
          <w:b/>
          <w:bCs/>
          <w:sz w:val="24"/>
          <w:szCs w:val="24"/>
        </w:rPr>
        <w:t xml:space="preserve">3.3.5  </w:t>
      </w:r>
      <w:r>
        <w:rPr>
          <w:sz w:val="24"/>
          <w:szCs w:val="24"/>
        </w:rPr>
        <w:t>对于计数抽样检测的项目，当专项检测技术未规定具体抽样方法时，检测批的最小样本容量宜按表3.3.5规定的数量随机抽样。</w:t>
      </w:r>
    </w:p>
    <w:p>
      <w:pPr>
        <w:snapToGrid w:val="0"/>
        <w:jc w:val="center"/>
        <w:rPr>
          <w:rFonts w:eastAsiaTheme="minorEastAsia"/>
          <w:b/>
          <w:szCs w:val="21"/>
        </w:rPr>
      </w:pPr>
      <w:r>
        <w:rPr>
          <w:rFonts w:eastAsiaTheme="minorEastAsia"/>
          <w:b/>
          <w:szCs w:val="21"/>
        </w:rPr>
        <w:t>表3.3.5  检测批的最小样本容量</w:t>
      </w:r>
    </w:p>
    <w:tbl>
      <w:tblPr>
        <w:tblStyle w:val="24"/>
        <w:tblW w:w="81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641"/>
        <w:gridCol w:w="735"/>
        <w:gridCol w:w="840"/>
        <w:gridCol w:w="2205"/>
        <w:gridCol w:w="735"/>
        <w:gridCol w:w="840"/>
        <w:gridCol w:w="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11" w:hRule="atLeast"/>
          <w:jc w:val="center"/>
        </w:trPr>
        <w:tc>
          <w:tcPr>
            <w:tcW w:w="1275"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Cs w:val="21"/>
              </w:rPr>
            </w:pPr>
            <w:r>
              <w:rPr>
                <w:rFonts w:eastAsiaTheme="minorEastAsia"/>
                <w:szCs w:val="21"/>
              </w:rPr>
              <w:t>检测批</w:t>
            </w:r>
          </w:p>
          <w:p>
            <w:pPr>
              <w:snapToGrid w:val="0"/>
              <w:jc w:val="center"/>
              <w:rPr>
                <w:rFonts w:eastAsiaTheme="minorEastAsia"/>
                <w:szCs w:val="21"/>
              </w:rPr>
            </w:pPr>
            <w:r>
              <w:rPr>
                <w:rFonts w:eastAsiaTheme="minorEastAsia"/>
                <w:szCs w:val="21"/>
              </w:rPr>
              <w:t>的容量</w:t>
            </w:r>
          </w:p>
        </w:tc>
        <w:tc>
          <w:tcPr>
            <w:tcW w:w="2216" w:type="dxa"/>
            <w:gridSpan w:val="3"/>
            <w:tcBorders>
              <w:top w:val="single" w:color="auto" w:sz="4" w:space="0"/>
              <w:left w:val="single" w:color="auto" w:sz="4" w:space="0"/>
              <w:bottom w:val="single" w:color="auto" w:sz="4" w:space="0"/>
              <w:right w:val="single" w:color="auto" w:sz="4" w:space="0"/>
            </w:tcBorders>
          </w:tcPr>
          <w:p>
            <w:pPr>
              <w:snapToGrid w:val="0"/>
              <w:jc w:val="center"/>
              <w:rPr>
                <w:rFonts w:eastAsiaTheme="minorEastAsia"/>
                <w:szCs w:val="21"/>
              </w:rPr>
            </w:pPr>
            <w:r>
              <w:rPr>
                <w:rFonts w:eastAsiaTheme="minorEastAsia"/>
                <w:szCs w:val="21"/>
              </w:rPr>
              <w:t>检测类别和样本最小容量</w:t>
            </w:r>
          </w:p>
        </w:tc>
        <w:tc>
          <w:tcPr>
            <w:tcW w:w="2205" w:type="dxa"/>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eastAsiaTheme="minorEastAsia"/>
                <w:szCs w:val="21"/>
              </w:rPr>
            </w:pPr>
            <w:r>
              <w:rPr>
                <w:rFonts w:eastAsiaTheme="minorEastAsia"/>
                <w:szCs w:val="21"/>
              </w:rPr>
              <w:t>检测批</w:t>
            </w:r>
          </w:p>
          <w:p>
            <w:pPr>
              <w:widowControl/>
              <w:snapToGrid w:val="0"/>
              <w:jc w:val="center"/>
              <w:rPr>
                <w:rFonts w:eastAsiaTheme="minorEastAsia"/>
                <w:szCs w:val="21"/>
              </w:rPr>
            </w:pPr>
            <w:r>
              <w:rPr>
                <w:rFonts w:eastAsiaTheme="minorEastAsia"/>
                <w:szCs w:val="21"/>
              </w:rPr>
              <w:t>的容量</w:t>
            </w:r>
          </w:p>
        </w:tc>
        <w:tc>
          <w:tcPr>
            <w:tcW w:w="2451" w:type="dxa"/>
            <w:gridSpan w:val="3"/>
            <w:tcBorders>
              <w:top w:val="single" w:color="auto" w:sz="4" w:space="0"/>
              <w:left w:val="single" w:color="auto" w:sz="4" w:space="0"/>
              <w:bottom w:val="single" w:color="auto" w:sz="4" w:space="0"/>
              <w:right w:val="single" w:color="auto" w:sz="4" w:space="0"/>
            </w:tcBorders>
          </w:tcPr>
          <w:p>
            <w:pPr>
              <w:snapToGrid w:val="0"/>
              <w:jc w:val="center"/>
              <w:rPr>
                <w:rFonts w:eastAsiaTheme="minorEastAsia"/>
                <w:szCs w:val="21"/>
              </w:rPr>
            </w:pPr>
            <w:r>
              <w:rPr>
                <w:rFonts w:eastAsiaTheme="minorEastAsia"/>
                <w:szCs w:val="21"/>
              </w:rPr>
              <w:t>检测类别和样本最小容量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20" w:hRule="atLeast"/>
          <w:jc w:val="center"/>
        </w:trPr>
        <w:tc>
          <w:tcPr>
            <w:tcW w:w="12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Theme="minorEastAsia"/>
                <w:szCs w:val="21"/>
              </w:rPr>
            </w:pPr>
          </w:p>
        </w:tc>
        <w:tc>
          <w:tcPr>
            <w:tcW w:w="641" w:type="dxa"/>
            <w:tcBorders>
              <w:top w:val="single" w:color="auto" w:sz="4" w:space="0"/>
              <w:left w:val="single" w:color="auto" w:sz="4" w:space="0"/>
              <w:bottom w:val="single" w:color="auto" w:sz="4" w:space="0"/>
              <w:right w:val="single" w:color="auto" w:sz="4" w:space="0"/>
            </w:tcBorders>
          </w:tcPr>
          <w:p>
            <w:pPr>
              <w:snapToGrid w:val="0"/>
              <w:jc w:val="center"/>
              <w:rPr>
                <w:rFonts w:eastAsiaTheme="minorEastAsia"/>
                <w:bCs/>
                <w:szCs w:val="21"/>
              </w:rPr>
            </w:pPr>
            <w:r>
              <w:rPr>
                <w:rFonts w:eastAsiaTheme="minorEastAsia"/>
                <w:bCs/>
                <w:szCs w:val="21"/>
              </w:rPr>
              <w:t>A</w:t>
            </w:r>
          </w:p>
        </w:tc>
        <w:tc>
          <w:tcPr>
            <w:tcW w:w="735" w:type="dxa"/>
            <w:tcBorders>
              <w:top w:val="single" w:color="auto" w:sz="4" w:space="0"/>
              <w:left w:val="single" w:color="auto" w:sz="4" w:space="0"/>
              <w:bottom w:val="single" w:color="auto" w:sz="4" w:space="0"/>
              <w:right w:val="single" w:color="auto" w:sz="4" w:space="0"/>
            </w:tcBorders>
          </w:tcPr>
          <w:p>
            <w:pPr>
              <w:snapToGrid w:val="0"/>
              <w:jc w:val="center"/>
              <w:rPr>
                <w:rFonts w:eastAsiaTheme="minorEastAsia"/>
                <w:bCs/>
                <w:szCs w:val="21"/>
              </w:rPr>
            </w:pPr>
            <w:r>
              <w:rPr>
                <w:rFonts w:eastAsiaTheme="minorEastAsia"/>
                <w:bCs/>
                <w:szCs w:val="21"/>
              </w:rPr>
              <w:t>B</w:t>
            </w:r>
          </w:p>
        </w:tc>
        <w:tc>
          <w:tcPr>
            <w:tcW w:w="840" w:type="dxa"/>
            <w:tcBorders>
              <w:top w:val="single" w:color="auto" w:sz="4" w:space="0"/>
              <w:left w:val="single" w:color="auto" w:sz="4" w:space="0"/>
              <w:bottom w:val="single" w:color="auto" w:sz="4" w:space="0"/>
              <w:right w:val="single" w:color="auto" w:sz="4" w:space="0"/>
            </w:tcBorders>
          </w:tcPr>
          <w:p>
            <w:pPr>
              <w:snapToGrid w:val="0"/>
              <w:jc w:val="center"/>
              <w:rPr>
                <w:rFonts w:eastAsiaTheme="minorEastAsia"/>
                <w:bCs/>
                <w:szCs w:val="21"/>
              </w:rPr>
            </w:pPr>
            <w:r>
              <w:rPr>
                <w:rFonts w:eastAsiaTheme="minorEastAsia"/>
                <w:bCs/>
                <w:szCs w:val="21"/>
              </w:rPr>
              <w:t>C</w:t>
            </w:r>
          </w:p>
        </w:tc>
        <w:tc>
          <w:tcPr>
            <w:tcW w:w="22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Theme="minorEastAsia"/>
                <w:szCs w:val="21"/>
              </w:rPr>
            </w:pPr>
          </w:p>
        </w:tc>
        <w:tc>
          <w:tcPr>
            <w:tcW w:w="735" w:type="dxa"/>
            <w:tcBorders>
              <w:top w:val="single" w:color="auto" w:sz="4" w:space="0"/>
              <w:left w:val="single" w:color="auto" w:sz="4" w:space="0"/>
              <w:bottom w:val="single" w:color="auto" w:sz="4" w:space="0"/>
              <w:right w:val="single" w:color="auto" w:sz="4" w:space="0"/>
            </w:tcBorders>
          </w:tcPr>
          <w:p>
            <w:pPr>
              <w:widowControl/>
              <w:snapToGrid w:val="0"/>
              <w:jc w:val="center"/>
              <w:rPr>
                <w:rFonts w:eastAsiaTheme="minorEastAsia"/>
                <w:bCs/>
                <w:szCs w:val="21"/>
              </w:rPr>
            </w:pPr>
            <w:r>
              <w:rPr>
                <w:rFonts w:eastAsiaTheme="minorEastAsia"/>
                <w:bCs/>
                <w:szCs w:val="21"/>
              </w:rPr>
              <w:t>A</w:t>
            </w:r>
          </w:p>
        </w:tc>
        <w:tc>
          <w:tcPr>
            <w:tcW w:w="840" w:type="dxa"/>
            <w:tcBorders>
              <w:top w:val="single" w:color="auto" w:sz="4" w:space="0"/>
              <w:left w:val="single" w:color="auto" w:sz="4" w:space="0"/>
              <w:bottom w:val="single" w:color="auto" w:sz="4" w:space="0"/>
              <w:right w:val="single" w:color="auto" w:sz="4" w:space="0"/>
            </w:tcBorders>
          </w:tcPr>
          <w:p>
            <w:pPr>
              <w:widowControl/>
              <w:snapToGrid w:val="0"/>
              <w:jc w:val="center"/>
              <w:rPr>
                <w:rFonts w:eastAsiaTheme="minorEastAsia"/>
                <w:bCs/>
                <w:szCs w:val="21"/>
              </w:rPr>
            </w:pPr>
            <w:r>
              <w:rPr>
                <w:rFonts w:eastAsiaTheme="minorEastAsia"/>
                <w:bCs/>
                <w:szCs w:val="21"/>
              </w:rPr>
              <w:t>B</w:t>
            </w:r>
          </w:p>
        </w:tc>
        <w:tc>
          <w:tcPr>
            <w:tcW w:w="876" w:type="dxa"/>
            <w:tcBorders>
              <w:top w:val="single" w:color="auto" w:sz="4" w:space="0"/>
              <w:left w:val="single" w:color="auto" w:sz="4" w:space="0"/>
              <w:bottom w:val="single" w:color="auto" w:sz="4" w:space="0"/>
              <w:right w:val="single" w:color="auto" w:sz="4" w:space="0"/>
            </w:tcBorders>
          </w:tcPr>
          <w:p>
            <w:pPr>
              <w:widowControl/>
              <w:snapToGrid w:val="0"/>
              <w:jc w:val="center"/>
              <w:rPr>
                <w:rFonts w:eastAsiaTheme="minorEastAsia"/>
                <w:bCs/>
                <w:szCs w:val="21"/>
              </w:rPr>
            </w:pPr>
            <w:r>
              <w:rPr>
                <w:rFonts w:eastAsiaTheme="minorEastAsia"/>
                <w:bCs/>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776" w:hRule="atLeast"/>
          <w:jc w:val="center"/>
        </w:trPr>
        <w:tc>
          <w:tcPr>
            <w:tcW w:w="1275" w:type="dxa"/>
            <w:tcBorders>
              <w:top w:val="single" w:color="auto" w:sz="4" w:space="0"/>
              <w:left w:val="single" w:color="auto" w:sz="4" w:space="0"/>
              <w:bottom w:val="single" w:color="auto" w:sz="4" w:space="0"/>
              <w:right w:val="single" w:color="auto" w:sz="4" w:space="0"/>
            </w:tcBorders>
          </w:tcPr>
          <w:p>
            <w:pPr>
              <w:widowControl/>
              <w:snapToGrid w:val="0"/>
              <w:spacing w:line="360" w:lineRule="auto"/>
              <w:jc w:val="center"/>
              <w:rPr>
                <w:rFonts w:eastAsiaTheme="minorEastAsia"/>
                <w:bCs/>
                <w:szCs w:val="21"/>
              </w:rPr>
            </w:pPr>
            <w:r>
              <w:rPr>
                <w:rFonts w:eastAsiaTheme="minorEastAsia"/>
                <w:bCs/>
                <w:szCs w:val="21"/>
              </w:rPr>
              <w:t>3~8</w:t>
            </w:r>
          </w:p>
          <w:p>
            <w:pPr>
              <w:widowControl/>
              <w:snapToGrid w:val="0"/>
              <w:spacing w:line="360" w:lineRule="auto"/>
              <w:jc w:val="center"/>
              <w:rPr>
                <w:rFonts w:eastAsiaTheme="minorEastAsia"/>
                <w:bCs/>
                <w:szCs w:val="21"/>
              </w:rPr>
            </w:pPr>
            <w:r>
              <w:rPr>
                <w:rFonts w:eastAsiaTheme="minorEastAsia"/>
                <w:bCs/>
                <w:szCs w:val="21"/>
              </w:rPr>
              <w:t>9~15</w:t>
            </w:r>
          </w:p>
          <w:p>
            <w:pPr>
              <w:snapToGrid w:val="0"/>
              <w:spacing w:line="360" w:lineRule="auto"/>
              <w:jc w:val="center"/>
              <w:rPr>
                <w:rFonts w:eastAsiaTheme="minorEastAsia"/>
                <w:bCs/>
                <w:szCs w:val="21"/>
              </w:rPr>
            </w:pPr>
            <w:r>
              <w:rPr>
                <w:rFonts w:eastAsiaTheme="minorEastAsia"/>
                <w:bCs/>
                <w:szCs w:val="21"/>
              </w:rPr>
              <w:t>16~25</w:t>
            </w:r>
          </w:p>
          <w:p>
            <w:pPr>
              <w:snapToGrid w:val="0"/>
              <w:spacing w:line="360" w:lineRule="auto"/>
              <w:jc w:val="center"/>
              <w:rPr>
                <w:rFonts w:eastAsiaTheme="minorEastAsia"/>
                <w:bCs/>
                <w:szCs w:val="21"/>
              </w:rPr>
            </w:pPr>
            <w:r>
              <w:rPr>
                <w:rFonts w:eastAsiaTheme="minorEastAsia"/>
                <w:bCs/>
                <w:szCs w:val="21"/>
              </w:rPr>
              <w:t>26~50</w:t>
            </w:r>
          </w:p>
          <w:p>
            <w:pPr>
              <w:snapToGrid w:val="0"/>
              <w:spacing w:line="360" w:lineRule="auto"/>
              <w:jc w:val="center"/>
              <w:rPr>
                <w:rFonts w:eastAsiaTheme="minorEastAsia"/>
                <w:szCs w:val="21"/>
              </w:rPr>
            </w:pPr>
            <w:r>
              <w:rPr>
                <w:rFonts w:eastAsiaTheme="minorEastAsia"/>
                <w:bCs/>
                <w:szCs w:val="21"/>
              </w:rPr>
              <w:t>51~90</w:t>
            </w:r>
          </w:p>
        </w:tc>
        <w:tc>
          <w:tcPr>
            <w:tcW w:w="641"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eastAsiaTheme="minorEastAsia"/>
                <w:bCs/>
                <w:szCs w:val="21"/>
              </w:rPr>
            </w:pPr>
            <w:r>
              <w:rPr>
                <w:rFonts w:eastAsiaTheme="minorEastAsia"/>
                <w:bCs/>
                <w:szCs w:val="21"/>
              </w:rPr>
              <w:t>2</w:t>
            </w:r>
          </w:p>
          <w:p>
            <w:pPr>
              <w:snapToGrid w:val="0"/>
              <w:spacing w:line="360" w:lineRule="auto"/>
              <w:jc w:val="center"/>
              <w:rPr>
                <w:rFonts w:eastAsiaTheme="minorEastAsia"/>
                <w:bCs/>
                <w:szCs w:val="21"/>
              </w:rPr>
            </w:pPr>
            <w:r>
              <w:rPr>
                <w:rFonts w:eastAsiaTheme="minorEastAsia"/>
                <w:bCs/>
                <w:szCs w:val="21"/>
              </w:rPr>
              <w:t>2</w:t>
            </w:r>
          </w:p>
          <w:p>
            <w:pPr>
              <w:snapToGrid w:val="0"/>
              <w:spacing w:line="360" w:lineRule="auto"/>
              <w:jc w:val="center"/>
              <w:rPr>
                <w:rFonts w:eastAsiaTheme="minorEastAsia"/>
                <w:bCs/>
                <w:szCs w:val="21"/>
              </w:rPr>
            </w:pPr>
            <w:r>
              <w:rPr>
                <w:rFonts w:eastAsiaTheme="minorEastAsia"/>
                <w:bCs/>
                <w:szCs w:val="21"/>
              </w:rPr>
              <w:t>3</w:t>
            </w:r>
          </w:p>
          <w:p>
            <w:pPr>
              <w:snapToGrid w:val="0"/>
              <w:spacing w:line="360" w:lineRule="auto"/>
              <w:jc w:val="center"/>
              <w:rPr>
                <w:rFonts w:eastAsiaTheme="minorEastAsia"/>
                <w:bCs/>
                <w:szCs w:val="21"/>
              </w:rPr>
            </w:pPr>
            <w:r>
              <w:rPr>
                <w:rFonts w:eastAsiaTheme="minorEastAsia"/>
                <w:bCs/>
                <w:szCs w:val="21"/>
              </w:rPr>
              <w:t>5</w:t>
            </w:r>
          </w:p>
          <w:p>
            <w:pPr>
              <w:snapToGrid w:val="0"/>
              <w:spacing w:line="360" w:lineRule="auto"/>
              <w:jc w:val="center"/>
              <w:rPr>
                <w:rFonts w:eastAsiaTheme="minorEastAsia"/>
                <w:bCs/>
                <w:szCs w:val="21"/>
              </w:rPr>
            </w:pPr>
            <w:r>
              <w:rPr>
                <w:rFonts w:eastAsiaTheme="minorEastAsia"/>
                <w:bCs/>
                <w:szCs w:val="21"/>
              </w:rPr>
              <w:t>5</w:t>
            </w:r>
          </w:p>
        </w:tc>
        <w:tc>
          <w:tcPr>
            <w:tcW w:w="735"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eastAsiaTheme="minorEastAsia"/>
                <w:bCs/>
                <w:szCs w:val="21"/>
              </w:rPr>
            </w:pPr>
            <w:r>
              <w:rPr>
                <w:rFonts w:eastAsiaTheme="minorEastAsia"/>
                <w:bCs/>
                <w:szCs w:val="21"/>
              </w:rPr>
              <w:t>2</w:t>
            </w:r>
          </w:p>
          <w:p>
            <w:pPr>
              <w:snapToGrid w:val="0"/>
              <w:spacing w:line="360" w:lineRule="auto"/>
              <w:jc w:val="center"/>
              <w:rPr>
                <w:rFonts w:eastAsiaTheme="minorEastAsia"/>
                <w:bCs/>
                <w:szCs w:val="21"/>
              </w:rPr>
            </w:pPr>
            <w:r>
              <w:rPr>
                <w:rFonts w:eastAsiaTheme="minorEastAsia"/>
                <w:bCs/>
                <w:szCs w:val="21"/>
              </w:rPr>
              <w:t>3</w:t>
            </w:r>
          </w:p>
          <w:p>
            <w:pPr>
              <w:snapToGrid w:val="0"/>
              <w:spacing w:line="360" w:lineRule="auto"/>
              <w:jc w:val="center"/>
              <w:rPr>
                <w:rFonts w:eastAsiaTheme="minorEastAsia"/>
                <w:bCs/>
                <w:szCs w:val="21"/>
              </w:rPr>
            </w:pPr>
            <w:r>
              <w:rPr>
                <w:rFonts w:eastAsiaTheme="minorEastAsia"/>
                <w:bCs/>
                <w:szCs w:val="21"/>
              </w:rPr>
              <w:t>5</w:t>
            </w:r>
          </w:p>
          <w:p>
            <w:pPr>
              <w:snapToGrid w:val="0"/>
              <w:spacing w:line="360" w:lineRule="auto"/>
              <w:jc w:val="center"/>
              <w:rPr>
                <w:rFonts w:eastAsiaTheme="minorEastAsia"/>
                <w:bCs/>
                <w:szCs w:val="21"/>
              </w:rPr>
            </w:pPr>
            <w:r>
              <w:rPr>
                <w:rFonts w:eastAsiaTheme="minorEastAsia"/>
                <w:bCs/>
                <w:szCs w:val="21"/>
              </w:rPr>
              <w:t>8</w:t>
            </w:r>
          </w:p>
          <w:p>
            <w:pPr>
              <w:snapToGrid w:val="0"/>
              <w:spacing w:line="360" w:lineRule="auto"/>
              <w:jc w:val="center"/>
              <w:rPr>
                <w:rFonts w:eastAsiaTheme="minorEastAsia"/>
                <w:bCs/>
                <w:szCs w:val="21"/>
              </w:rPr>
            </w:pPr>
            <w:r>
              <w:rPr>
                <w:rFonts w:eastAsiaTheme="minorEastAsia"/>
                <w:bCs/>
                <w:szCs w:val="21"/>
              </w:rPr>
              <w:t>13</w:t>
            </w:r>
          </w:p>
        </w:tc>
        <w:tc>
          <w:tcPr>
            <w:tcW w:w="840"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eastAsiaTheme="minorEastAsia"/>
                <w:bCs/>
                <w:szCs w:val="21"/>
              </w:rPr>
            </w:pPr>
            <w:r>
              <w:rPr>
                <w:rFonts w:eastAsiaTheme="minorEastAsia"/>
                <w:bCs/>
                <w:szCs w:val="21"/>
              </w:rPr>
              <w:t>3</w:t>
            </w:r>
          </w:p>
          <w:p>
            <w:pPr>
              <w:snapToGrid w:val="0"/>
              <w:spacing w:line="360" w:lineRule="auto"/>
              <w:jc w:val="center"/>
              <w:rPr>
                <w:rFonts w:eastAsiaTheme="minorEastAsia"/>
                <w:bCs/>
                <w:szCs w:val="21"/>
              </w:rPr>
            </w:pPr>
            <w:r>
              <w:rPr>
                <w:rFonts w:eastAsiaTheme="minorEastAsia"/>
                <w:bCs/>
                <w:szCs w:val="21"/>
              </w:rPr>
              <w:t>5</w:t>
            </w:r>
          </w:p>
          <w:p>
            <w:pPr>
              <w:snapToGrid w:val="0"/>
              <w:spacing w:line="360" w:lineRule="auto"/>
              <w:jc w:val="center"/>
              <w:rPr>
                <w:rFonts w:eastAsiaTheme="minorEastAsia"/>
                <w:bCs/>
                <w:szCs w:val="21"/>
              </w:rPr>
            </w:pPr>
            <w:r>
              <w:rPr>
                <w:rFonts w:eastAsiaTheme="minorEastAsia"/>
                <w:bCs/>
                <w:szCs w:val="21"/>
              </w:rPr>
              <w:t>8</w:t>
            </w:r>
          </w:p>
          <w:p>
            <w:pPr>
              <w:snapToGrid w:val="0"/>
              <w:spacing w:line="360" w:lineRule="auto"/>
              <w:jc w:val="center"/>
              <w:rPr>
                <w:rFonts w:eastAsiaTheme="minorEastAsia"/>
                <w:bCs/>
                <w:szCs w:val="21"/>
              </w:rPr>
            </w:pPr>
            <w:r>
              <w:rPr>
                <w:rFonts w:eastAsiaTheme="minorEastAsia"/>
                <w:bCs/>
                <w:szCs w:val="21"/>
              </w:rPr>
              <w:t>13</w:t>
            </w:r>
          </w:p>
          <w:p>
            <w:pPr>
              <w:snapToGrid w:val="0"/>
              <w:spacing w:line="360" w:lineRule="auto"/>
              <w:jc w:val="center"/>
              <w:rPr>
                <w:rFonts w:eastAsiaTheme="minorEastAsia"/>
                <w:bCs/>
                <w:szCs w:val="21"/>
              </w:rPr>
            </w:pPr>
            <w:r>
              <w:rPr>
                <w:rFonts w:eastAsiaTheme="minorEastAsia"/>
                <w:bCs/>
                <w:szCs w:val="21"/>
              </w:rPr>
              <w:t>20</w:t>
            </w:r>
          </w:p>
        </w:tc>
        <w:tc>
          <w:tcPr>
            <w:tcW w:w="2205"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eastAsiaTheme="minorEastAsia"/>
                <w:bCs/>
                <w:szCs w:val="21"/>
              </w:rPr>
            </w:pPr>
            <w:r>
              <w:rPr>
                <w:rFonts w:eastAsiaTheme="minorEastAsia"/>
                <w:bCs/>
                <w:szCs w:val="21"/>
              </w:rPr>
              <w:t>91~150</w:t>
            </w:r>
          </w:p>
          <w:p>
            <w:pPr>
              <w:widowControl/>
              <w:snapToGrid w:val="0"/>
              <w:spacing w:line="360" w:lineRule="auto"/>
              <w:jc w:val="center"/>
              <w:rPr>
                <w:rFonts w:eastAsiaTheme="minorEastAsia"/>
                <w:bCs/>
                <w:szCs w:val="21"/>
              </w:rPr>
            </w:pPr>
            <w:r>
              <w:rPr>
                <w:rFonts w:eastAsiaTheme="minorEastAsia"/>
                <w:bCs/>
                <w:szCs w:val="21"/>
              </w:rPr>
              <w:t>151~280</w:t>
            </w:r>
          </w:p>
          <w:p>
            <w:pPr>
              <w:widowControl/>
              <w:snapToGrid w:val="0"/>
              <w:spacing w:line="360" w:lineRule="auto"/>
              <w:jc w:val="center"/>
              <w:rPr>
                <w:rFonts w:eastAsiaTheme="minorEastAsia"/>
                <w:bCs/>
                <w:szCs w:val="21"/>
              </w:rPr>
            </w:pPr>
            <w:r>
              <w:rPr>
                <w:rFonts w:eastAsiaTheme="minorEastAsia"/>
                <w:bCs/>
                <w:szCs w:val="21"/>
              </w:rPr>
              <w:t>281~500</w:t>
            </w:r>
          </w:p>
          <w:p>
            <w:pPr>
              <w:widowControl/>
              <w:snapToGrid w:val="0"/>
              <w:spacing w:line="360" w:lineRule="auto"/>
              <w:jc w:val="center"/>
              <w:rPr>
                <w:rFonts w:eastAsiaTheme="minorEastAsia"/>
                <w:bCs/>
                <w:szCs w:val="21"/>
              </w:rPr>
            </w:pPr>
            <w:r>
              <w:rPr>
                <w:rFonts w:eastAsiaTheme="minorEastAsia"/>
                <w:bCs/>
                <w:szCs w:val="21"/>
              </w:rPr>
              <w:t>501~1200</w:t>
            </w:r>
          </w:p>
          <w:p>
            <w:pPr>
              <w:widowControl/>
              <w:snapToGrid w:val="0"/>
              <w:spacing w:line="360" w:lineRule="auto"/>
              <w:jc w:val="center"/>
              <w:rPr>
                <w:rFonts w:eastAsiaTheme="minorEastAsia"/>
                <w:bCs/>
                <w:szCs w:val="21"/>
              </w:rPr>
            </w:pPr>
            <w:r>
              <w:rPr>
                <w:rFonts w:eastAsiaTheme="minorEastAsia"/>
                <w:bCs/>
                <w:szCs w:val="21"/>
              </w:rPr>
              <w:t>1201~3200</w:t>
            </w:r>
          </w:p>
        </w:tc>
        <w:tc>
          <w:tcPr>
            <w:tcW w:w="735"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eastAsiaTheme="minorEastAsia"/>
                <w:bCs/>
                <w:szCs w:val="21"/>
              </w:rPr>
            </w:pPr>
            <w:r>
              <w:rPr>
                <w:rFonts w:eastAsiaTheme="minorEastAsia"/>
                <w:bCs/>
                <w:szCs w:val="21"/>
              </w:rPr>
              <w:t>8</w:t>
            </w:r>
          </w:p>
          <w:p>
            <w:pPr>
              <w:widowControl/>
              <w:snapToGrid w:val="0"/>
              <w:spacing w:line="360" w:lineRule="auto"/>
              <w:jc w:val="center"/>
              <w:rPr>
                <w:rFonts w:eastAsiaTheme="minorEastAsia"/>
                <w:bCs/>
                <w:szCs w:val="21"/>
              </w:rPr>
            </w:pPr>
            <w:r>
              <w:rPr>
                <w:rFonts w:eastAsiaTheme="minorEastAsia"/>
                <w:bCs/>
                <w:szCs w:val="21"/>
              </w:rPr>
              <w:t>13</w:t>
            </w:r>
          </w:p>
          <w:p>
            <w:pPr>
              <w:widowControl/>
              <w:snapToGrid w:val="0"/>
              <w:spacing w:line="360" w:lineRule="auto"/>
              <w:jc w:val="center"/>
              <w:rPr>
                <w:rFonts w:eastAsiaTheme="minorEastAsia"/>
                <w:bCs/>
                <w:szCs w:val="21"/>
              </w:rPr>
            </w:pPr>
            <w:r>
              <w:rPr>
                <w:rFonts w:eastAsiaTheme="minorEastAsia"/>
                <w:bCs/>
                <w:szCs w:val="21"/>
              </w:rPr>
              <w:t>20</w:t>
            </w:r>
          </w:p>
          <w:p>
            <w:pPr>
              <w:widowControl/>
              <w:snapToGrid w:val="0"/>
              <w:spacing w:line="360" w:lineRule="auto"/>
              <w:jc w:val="center"/>
              <w:rPr>
                <w:rFonts w:eastAsiaTheme="minorEastAsia"/>
                <w:bCs/>
                <w:szCs w:val="21"/>
              </w:rPr>
            </w:pPr>
            <w:r>
              <w:rPr>
                <w:rFonts w:eastAsiaTheme="minorEastAsia"/>
                <w:bCs/>
                <w:szCs w:val="21"/>
              </w:rPr>
              <w:t>32</w:t>
            </w:r>
          </w:p>
          <w:p>
            <w:pPr>
              <w:widowControl/>
              <w:snapToGrid w:val="0"/>
              <w:spacing w:line="360" w:lineRule="auto"/>
              <w:jc w:val="center"/>
              <w:rPr>
                <w:rFonts w:eastAsiaTheme="minorEastAsia"/>
                <w:bCs/>
                <w:szCs w:val="21"/>
              </w:rPr>
            </w:pPr>
            <w:r>
              <w:rPr>
                <w:rFonts w:eastAsiaTheme="minorEastAsia"/>
                <w:bCs/>
                <w:szCs w:val="21"/>
              </w:rPr>
              <w:t>50</w:t>
            </w:r>
          </w:p>
        </w:tc>
        <w:tc>
          <w:tcPr>
            <w:tcW w:w="840"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eastAsiaTheme="minorEastAsia"/>
                <w:bCs/>
                <w:szCs w:val="21"/>
              </w:rPr>
            </w:pPr>
            <w:r>
              <w:rPr>
                <w:rFonts w:eastAsiaTheme="minorEastAsia"/>
                <w:bCs/>
                <w:szCs w:val="21"/>
              </w:rPr>
              <w:t>20</w:t>
            </w:r>
          </w:p>
          <w:p>
            <w:pPr>
              <w:widowControl/>
              <w:snapToGrid w:val="0"/>
              <w:spacing w:line="360" w:lineRule="auto"/>
              <w:jc w:val="center"/>
              <w:rPr>
                <w:rFonts w:eastAsiaTheme="minorEastAsia"/>
                <w:bCs/>
                <w:szCs w:val="21"/>
              </w:rPr>
            </w:pPr>
            <w:r>
              <w:rPr>
                <w:rFonts w:eastAsiaTheme="minorEastAsia"/>
                <w:bCs/>
                <w:szCs w:val="21"/>
              </w:rPr>
              <w:t>32</w:t>
            </w:r>
          </w:p>
          <w:p>
            <w:pPr>
              <w:widowControl/>
              <w:snapToGrid w:val="0"/>
              <w:spacing w:line="360" w:lineRule="auto"/>
              <w:jc w:val="center"/>
              <w:rPr>
                <w:rFonts w:eastAsiaTheme="minorEastAsia"/>
                <w:bCs/>
                <w:szCs w:val="21"/>
              </w:rPr>
            </w:pPr>
            <w:r>
              <w:rPr>
                <w:rFonts w:eastAsiaTheme="minorEastAsia"/>
                <w:bCs/>
                <w:szCs w:val="21"/>
              </w:rPr>
              <w:t>50</w:t>
            </w:r>
          </w:p>
          <w:p>
            <w:pPr>
              <w:widowControl/>
              <w:snapToGrid w:val="0"/>
              <w:spacing w:line="360" w:lineRule="auto"/>
              <w:jc w:val="center"/>
              <w:rPr>
                <w:rFonts w:eastAsiaTheme="minorEastAsia"/>
                <w:bCs/>
                <w:szCs w:val="21"/>
              </w:rPr>
            </w:pPr>
            <w:r>
              <w:rPr>
                <w:rFonts w:eastAsiaTheme="minorEastAsia"/>
                <w:bCs/>
                <w:szCs w:val="21"/>
              </w:rPr>
              <w:t>80</w:t>
            </w:r>
          </w:p>
          <w:p>
            <w:pPr>
              <w:widowControl/>
              <w:snapToGrid w:val="0"/>
              <w:spacing w:line="360" w:lineRule="auto"/>
              <w:jc w:val="center"/>
              <w:rPr>
                <w:rFonts w:eastAsiaTheme="minorEastAsia"/>
                <w:bCs/>
                <w:szCs w:val="21"/>
              </w:rPr>
            </w:pPr>
            <w:r>
              <w:rPr>
                <w:rFonts w:eastAsiaTheme="minorEastAsia"/>
                <w:bCs/>
                <w:szCs w:val="21"/>
              </w:rPr>
              <w:t>125</w:t>
            </w:r>
          </w:p>
        </w:tc>
        <w:tc>
          <w:tcPr>
            <w:tcW w:w="876"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eastAsiaTheme="minorEastAsia"/>
                <w:bCs/>
                <w:szCs w:val="21"/>
              </w:rPr>
            </w:pPr>
            <w:r>
              <w:rPr>
                <w:rFonts w:eastAsiaTheme="minorEastAsia"/>
                <w:bCs/>
                <w:szCs w:val="21"/>
              </w:rPr>
              <w:t>32</w:t>
            </w:r>
          </w:p>
          <w:p>
            <w:pPr>
              <w:widowControl/>
              <w:snapToGrid w:val="0"/>
              <w:spacing w:line="360" w:lineRule="auto"/>
              <w:jc w:val="center"/>
              <w:rPr>
                <w:rFonts w:eastAsiaTheme="minorEastAsia"/>
                <w:bCs/>
                <w:szCs w:val="21"/>
              </w:rPr>
            </w:pPr>
            <w:r>
              <w:rPr>
                <w:rFonts w:eastAsiaTheme="minorEastAsia"/>
                <w:bCs/>
                <w:szCs w:val="21"/>
              </w:rPr>
              <w:t>50</w:t>
            </w:r>
          </w:p>
          <w:p>
            <w:pPr>
              <w:widowControl/>
              <w:snapToGrid w:val="0"/>
              <w:spacing w:line="360" w:lineRule="auto"/>
              <w:jc w:val="center"/>
              <w:rPr>
                <w:rFonts w:eastAsiaTheme="minorEastAsia"/>
                <w:bCs/>
                <w:szCs w:val="21"/>
              </w:rPr>
            </w:pPr>
            <w:r>
              <w:rPr>
                <w:rFonts w:eastAsiaTheme="minorEastAsia"/>
                <w:bCs/>
                <w:szCs w:val="21"/>
              </w:rPr>
              <w:t>80</w:t>
            </w:r>
          </w:p>
          <w:p>
            <w:pPr>
              <w:widowControl/>
              <w:snapToGrid w:val="0"/>
              <w:spacing w:line="360" w:lineRule="auto"/>
              <w:jc w:val="center"/>
              <w:rPr>
                <w:rFonts w:eastAsiaTheme="minorEastAsia"/>
                <w:bCs/>
                <w:szCs w:val="21"/>
              </w:rPr>
            </w:pPr>
            <w:r>
              <w:rPr>
                <w:rFonts w:eastAsiaTheme="minorEastAsia"/>
                <w:bCs/>
                <w:szCs w:val="21"/>
              </w:rPr>
              <w:t>125</w:t>
            </w:r>
          </w:p>
          <w:p>
            <w:pPr>
              <w:widowControl/>
              <w:snapToGrid w:val="0"/>
              <w:spacing w:line="360" w:lineRule="auto"/>
              <w:jc w:val="center"/>
              <w:rPr>
                <w:rFonts w:eastAsiaTheme="minorEastAsia"/>
                <w:bCs/>
                <w:szCs w:val="21"/>
              </w:rPr>
            </w:pPr>
            <w:r>
              <w:rPr>
                <w:rFonts w:eastAsiaTheme="minorEastAsia"/>
                <w:bCs/>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55" w:hRule="atLeast"/>
          <w:jc w:val="center"/>
        </w:trPr>
        <w:tc>
          <w:tcPr>
            <w:tcW w:w="8147" w:type="dxa"/>
            <w:gridSpan w:val="8"/>
            <w:tcBorders>
              <w:top w:val="single" w:color="auto" w:sz="4" w:space="0"/>
              <w:left w:val="nil"/>
              <w:bottom w:val="nil"/>
              <w:right w:val="nil"/>
            </w:tcBorders>
          </w:tcPr>
          <w:p>
            <w:pPr>
              <w:snapToGrid w:val="0"/>
              <w:rPr>
                <w:rFonts w:eastAsiaTheme="minorEastAsia"/>
                <w:color w:val="000000" w:themeColor="text1"/>
                <w:sz w:val="18"/>
                <w:szCs w:val="18"/>
                <w14:textFill>
                  <w14:solidFill>
                    <w14:schemeClr w14:val="tx1"/>
                  </w14:solidFill>
                </w14:textFill>
              </w:rPr>
            </w:pPr>
            <w:r>
              <w:rPr>
                <w:rFonts w:eastAsiaTheme="minorEastAsia"/>
                <w:sz w:val="18"/>
                <w:szCs w:val="18"/>
              </w:rPr>
              <w:t>注：1 检测类别A可用于一般项目施工质量的检</w:t>
            </w:r>
            <w:r>
              <w:rPr>
                <w:rFonts w:eastAsiaTheme="minorEastAsia"/>
                <w:color w:val="000000" w:themeColor="text1"/>
                <w:sz w:val="18"/>
                <w:szCs w:val="18"/>
                <w14:textFill>
                  <w14:solidFill>
                    <w14:schemeClr w14:val="tx1"/>
                  </w14:solidFill>
                </w14:textFill>
              </w:rPr>
              <w:t>测或既有结构的一般项目检测；</w:t>
            </w:r>
          </w:p>
          <w:p>
            <w:pPr>
              <w:snapToGrid w:val="0"/>
              <w:ind w:firstLine="360" w:firstLineChars="200"/>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2 检测类别B可用于主控项目施工质量的检测或既有结构的重要项目检测；</w:t>
            </w:r>
          </w:p>
          <w:p>
            <w:pPr>
              <w:snapToGrid w:val="0"/>
              <w:spacing w:after="240" w:afterLines="100"/>
              <w:ind w:firstLine="360" w:firstLineChars="200"/>
              <w:rPr>
                <w:rFonts w:eastAsiaTheme="minorEastAsia"/>
                <w:b/>
                <w:bCs/>
                <w:szCs w:val="21"/>
              </w:rPr>
            </w:pPr>
            <w:r>
              <w:rPr>
                <w:rFonts w:eastAsiaTheme="minorEastAsia"/>
                <w:color w:val="000000" w:themeColor="text1"/>
                <w:sz w:val="18"/>
                <w:szCs w:val="18"/>
                <w14:textFill>
                  <w14:solidFill>
                    <w14:schemeClr w14:val="tx1"/>
                  </w14:solidFill>
                </w14:textFill>
              </w:rPr>
              <w:t>3 检测类别C可用于结构工程施工质量的复检或存在问题较多的既有结构检测。</w:t>
            </w:r>
          </w:p>
        </w:tc>
      </w:tr>
    </w:tbl>
    <w:p>
      <w:pPr>
        <w:spacing w:line="360" w:lineRule="auto"/>
        <w:rPr>
          <w:b/>
          <w:bCs/>
          <w:sz w:val="24"/>
          <w:szCs w:val="24"/>
        </w:rPr>
      </w:pPr>
      <w:r>
        <w:rPr>
          <w:b/>
          <w:bCs/>
          <w:sz w:val="24"/>
          <w:szCs w:val="24"/>
        </w:rPr>
        <w:t xml:space="preserve">3.3.6  </w:t>
      </w:r>
      <w:r>
        <w:rPr>
          <w:sz w:val="24"/>
          <w:szCs w:val="24"/>
        </w:rPr>
        <w:t>计数抽样检测批的符合性判定应符合下列规定：</w:t>
      </w:r>
    </w:p>
    <w:p>
      <w:pPr>
        <w:spacing w:line="360" w:lineRule="auto"/>
        <w:ind w:right="282" w:firstLine="481" w:firstLineChars="200"/>
        <w:rPr>
          <w:rFonts w:eastAsiaTheme="minorEastAsia"/>
          <w:b/>
          <w:bCs/>
          <w:sz w:val="24"/>
          <w:szCs w:val="24"/>
        </w:rPr>
      </w:pPr>
      <w:r>
        <w:rPr>
          <w:rFonts w:eastAsiaTheme="minorEastAsia"/>
          <w:b/>
          <w:bCs/>
          <w:sz w:val="24"/>
          <w:szCs w:val="24"/>
        </w:rPr>
        <w:t xml:space="preserve">1  </w:t>
      </w:r>
      <w:r>
        <w:rPr>
          <w:sz w:val="24"/>
          <w:szCs w:val="24"/>
        </w:rPr>
        <w:t>主控项目计数抽样检测批的符合性判定应符合下列规定：</w:t>
      </w:r>
    </w:p>
    <w:p>
      <w:pPr>
        <w:spacing w:line="360" w:lineRule="auto"/>
        <w:ind w:right="282" w:firstLine="480" w:firstLineChars="200"/>
        <w:rPr>
          <w:rFonts w:eastAsiaTheme="minorEastAsia"/>
          <w:bCs/>
          <w:sz w:val="24"/>
          <w:szCs w:val="24"/>
        </w:rPr>
      </w:pPr>
      <w:r>
        <w:rPr>
          <w:rFonts w:eastAsiaTheme="minorEastAsia"/>
          <w:bCs/>
          <w:sz w:val="24"/>
          <w:szCs w:val="24"/>
        </w:rPr>
        <w:t>1）正常一次抽样的判定应按表</w:t>
      </w:r>
      <w:r>
        <w:rPr>
          <w:rFonts w:eastAsiaTheme="minorEastAsia"/>
          <w:sz w:val="24"/>
          <w:szCs w:val="24"/>
        </w:rPr>
        <w:t>3.3.6-1的规定进行</w:t>
      </w:r>
      <w:r>
        <w:rPr>
          <w:rFonts w:eastAsiaTheme="minorEastAsia"/>
          <w:bCs/>
          <w:sz w:val="24"/>
          <w:szCs w:val="24"/>
        </w:rPr>
        <w:t>；</w:t>
      </w:r>
    </w:p>
    <w:p>
      <w:pPr>
        <w:snapToGrid w:val="0"/>
        <w:spacing w:line="300" w:lineRule="auto"/>
        <w:jc w:val="center"/>
        <w:rPr>
          <w:rFonts w:eastAsiaTheme="minorEastAsia"/>
          <w:b/>
          <w:szCs w:val="21"/>
        </w:rPr>
      </w:pPr>
      <w:r>
        <w:rPr>
          <w:rFonts w:eastAsiaTheme="minorEastAsia"/>
          <w:b/>
          <w:szCs w:val="21"/>
        </w:rPr>
        <w:t>表3.3.6-1   主控项目正常一次抽样的判定</w:t>
      </w:r>
    </w:p>
    <w:tbl>
      <w:tblPr>
        <w:tblStyle w:val="24"/>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6"/>
        <w:gridCol w:w="1338"/>
        <w:gridCol w:w="1535"/>
        <w:gridCol w:w="1404"/>
        <w:gridCol w:w="1729"/>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46"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样本</w:t>
            </w:r>
          </w:p>
          <w:p>
            <w:pPr>
              <w:snapToGrid w:val="0"/>
              <w:jc w:val="center"/>
              <w:rPr>
                <w:rFonts w:eastAsiaTheme="minorEastAsia"/>
                <w:bCs/>
                <w:szCs w:val="21"/>
              </w:rPr>
            </w:pPr>
            <w:r>
              <w:rPr>
                <w:rFonts w:eastAsiaTheme="minorEastAsia"/>
                <w:bCs/>
                <w:szCs w:val="21"/>
              </w:rPr>
              <w:t>容量</w:t>
            </w:r>
          </w:p>
        </w:tc>
        <w:tc>
          <w:tcPr>
            <w:tcW w:w="13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符合性</w:t>
            </w:r>
          </w:p>
          <w:p>
            <w:pPr>
              <w:snapToGrid w:val="0"/>
              <w:jc w:val="center"/>
              <w:rPr>
                <w:rFonts w:eastAsiaTheme="minorEastAsia"/>
                <w:bCs/>
                <w:szCs w:val="21"/>
              </w:rPr>
            </w:pPr>
            <w:r>
              <w:rPr>
                <w:rFonts w:eastAsiaTheme="minorEastAsia"/>
                <w:bCs/>
                <w:szCs w:val="21"/>
              </w:rPr>
              <w:t>判定数</w:t>
            </w:r>
          </w:p>
        </w:tc>
        <w:tc>
          <w:tcPr>
            <w:tcW w:w="1535"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不符合</w:t>
            </w:r>
          </w:p>
          <w:p>
            <w:pPr>
              <w:snapToGrid w:val="0"/>
              <w:jc w:val="center"/>
              <w:rPr>
                <w:rFonts w:eastAsiaTheme="minorEastAsia"/>
                <w:bCs/>
                <w:szCs w:val="21"/>
              </w:rPr>
            </w:pPr>
            <w:r>
              <w:rPr>
                <w:rFonts w:eastAsiaTheme="minorEastAsia"/>
                <w:bCs/>
                <w:szCs w:val="21"/>
              </w:rPr>
              <w:t>判定数</w:t>
            </w:r>
          </w:p>
        </w:tc>
        <w:tc>
          <w:tcPr>
            <w:tcW w:w="1404"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样本</w:t>
            </w:r>
          </w:p>
          <w:p>
            <w:pPr>
              <w:snapToGrid w:val="0"/>
              <w:jc w:val="center"/>
              <w:rPr>
                <w:rFonts w:eastAsiaTheme="minorEastAsia"/>
                <w:bCs/>
                <w:szCs w:val="21"/>
              </w:rPr>
            </w:pPr>
            <w:r>
              <w:rPr>
                <w:rFonts w:eastAsiaTheme="minorEastAsia"/>
                <w:bCs/>
                <w:szCs w:val="21"/>
              </w:rPr>
              <w:t>容量</w:t>
            </w:r>
          </w:p>
        </w:tc>
        <w:tc>
          <w:tcPr>
            <w:tcW w:w="1729"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符合性</w:t>
            </w:r>
          </w:p>
          <w:p>
            <w:pPr>
              <w:snapToGrid w:val="0"/>
              <w:jc w:val="center"/>
              <w:rPr>
                <w:rFonts w:eastAsiaTheme="minorEastAsia"/>
                <w:bCs/>
                <w:szCs w:val="21"/>
              </w:rPr>
            </w:pPr>
            <w:r>
              <w:rPr>
                <w:rFonts w:eastAsiaTheme="minorEastAsia"/>
                <w:bCs/>
                <w:szCs w:val="21"/>
              </w:rPr>
              <w:t>判定数</w:t>
            </w:r>
          </w:p>
        </w:tc>
        <w:tc>
          <w:tcPr>
            <w:tcW w:w="1453"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不符合</w:t>
            </w:r>
          </w:p>
          <w:p>
            <w:pPr>
              <w:snapToGrid w:val="0"/>
              <w:jc w:val="center"/>
              <w:rPr>
                <w:rFonts w:eastAsiaTheme="minorEastAsia"/>
                <w:bCs/>
                <w:szCs w:val="21"/>
              </w:rPr>
            </w:pPr>
            <w:r>
              <w:rPr>
                <w:rFonts w:eastAsiaTheme="minorEastAsia"/>
                <w:bCs/>
                <w:szCs w:val="21"/>
              </w:rPr>
              <w:t>判定数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46"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eastAsiaTheme="minorEastAsia"/>
                <w:bCs/>
                <w:szCs w:val="21"/>
              </w:rPr>
            </w:pPr>
            <w:r>
              <w:rPr>
                <w:rFonts w:eastAsiaTheme="minorEastAsia"/>
                <w:bCs/>
                <w:szCs w:val="21"/>
              </w:rPr>
              <w:t>2~5</w:t>
            </w:r>
          </w:p>
          <w:p>
            <w:pPr>
              <w:snapToGrid w:val="0"/>
              <w:spacing w:line="360" w:lineRule="auto"/>
              <w:jc w:val="center"/>
              <w:rPr>
                <w:rFonts w:eastAsiaTheme="minorEastAsia"/>
                <w:bCs/>
                <w:szCs w:val="21"/>
              </w:rPr>
            </w:pPr>
            <w:r>
              <w:rPr>
                <w:rFonts w:eastAsiaTheme="minorEastAsia"/>
                <w:bCs/>
                <w:szCs w:val="21"/>
              </w:rPr>
              <w:t>8~13</w:t>
            </w:r>
          </w:p>
          <w:p>
            <w:pPr>
              <w:snapToGrid w:val="0"/>
              <w:spacing w:line="360" w:lineRule="auto"/>
              <w:jc w:val="center"/>
              <w:rPr>
                <w:rFonts w:eastAsiaTheme="minorEastAsia"/>
                <w:bCs/>
                <w:szCs w:val="21"/>
              </w:rPr>
            </w:pPr>
            <w:r>
              <w:rPr>
                <w:rFonts w:eastAsiaTheme="minorEastAsia"/>
                <w:bCs/>
                <w:szCs w:val="21"/>
              </w:rPr>
              <w:t>20</w:t>
            </w:r>
          </w:p>
          <w:p>
            <w:pPr>
              <w:snapToGrid w:val="0"/>
              <w:spacing w:line="360" w:lineRule="auto"/>
              <w:jc w:val="center"/>
              <w:rPr>
                <w:rFonts w:eastAsiaTheme="minorEastAsia"/>
                <w:bCs/>
                <w:szCs w:val="21"/>
              </w:rPr>
            </w:pPr>
            <w:r>
              <w:rPr>
                <w:rFonts w:eastAsiaTheme="minorEastAsia"/>
                <w:bCs/>
                <w:szCs w:val="21"/>
              </w:rPr>
              <w:t>32</w:t>
            </w:r>
          </w:p>
          <w:p>
            <w:pPr>
              <w:snapToGrid w:val="0"/>
              <w:spacing w:line="360" w:lineRule="auto"/>
              <w:jc w:val="center"/>
              <w:rPr>
                <w:rFonts w:eastAsiaTheme="minorEastAsia"/>
                <w:bCs/>
                <w:szCs w:val="21"/>
              </w:rPr>
            </w:pPr>
            <w:r>
              <w:rPr>
                <w:rFonts w:eastAsiaTheme="minorEastAsia"/>
                <w:bCs/>
                <w:szCs w:val="21"/>
              </w:rPr>
              <w:t>50</w:t>
            </w:r>
          </w:p>
        </w:tc>
        <w:tc>
          <w:tcPr>
            <w:tcW w:w="1338"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eastAsiaTheme="minorEastAsia"/>
                <w:bCs/>
                <w:szCs w:val="21"/>
              </w:rPr>
            </w:pPr>
            <w:r>
              <w:rPr>
                <w:rFonts w:eastAsiaTheme="minorEastAsia"/>
                <w:bCs/>
                <w:szCs w:val="21"/>
              </w:rPr>
              <w:t>0</w:t>
            </w:r>
          </w:p>
          <w:p>
            <w:pPr>
              <w:snapToGrid w:val="0"/>
              <w:spacing w:line="360" w:lineRule="auto"/>
              <w:jc w:val="center"/>
              <w:rPr>
                <w:rFonts w:eastAsiaTheme="minorEastAsia"/>
                <w:bCs/>
                <w:szCs w:val="21"/>
              </w:rPr>
            </w:pPr>
            <w:r>
              <w:rPr>
                <w:rFonts w:eastAsiaTheme="minorEastAsia"/>
                <w:bCs/>
                <w:szCs w:val="21"/>
              </w:rPr>
              <w:t>1</w:t>
            </w:r>
          </w:p>
          <w:p>
            <w:pPr>
              <w:snapToGrid w:val="0"/>
              <w:spacing w:line="360" w:lineRule="auto"/>
              <w:jc w:val="center"/>
              <w:rPr>
                <w:rFonts w:eastAsiaTheme="minorEastAsia"/>
                <w:bCs/>
                <w:szCs w:val="21"/>
              </w:rPr>
            </w:pPr>
            <w:r>
              <w:rPr>
                <w:rFonts w:eastAsiaTheme="minorEastAsia"/>
                <w:bCs/>
                <w:szCs w:val="21"/>
              </w:rPr>
              <w:t>2</w:t>
            </w:r>
          </w:p>
          <w:p>
            <w:pPr>
              <w:snapToGrid w:val="0"/>
              <w:spacing w:line="360" w:lineRule="auto"/>
              <w:jc w:val="center"/>
              <w:rPr>
                <w:rFonts w:eastAsiaTheme="minorEastAsia"/>
                <w:bCs/>
                <w:szCs w:val="21"/>
              </w:rPr>
            </w:pPr>
            <w:r>
              <w:rPr>
                <w:rFonts w:eastAsiaTheme="minorEastAsia"/>
                <w:bCs/>
                <w:szCs w:val="21"/>
              </w:rPr>
              <w:t>3</w:t>
            </w:r>
          </w:p>
          <w:p>
            <w:pPr>
              <w:snapToGrid w:val="0"/>
              <w:spacing w:line="360" w:lineRule="auto"/>
              <w:jc w:val="center"/>
              <w:rPr>
                <w:rFonts w:eastAsiaTheme="minorEastAsia"/>
                <w:bCs/>
                <w:szCs w:val="21"/>
              </w:rPr>
            </w:pPr>
            <w:r>
              <w:rPr>
                <w:rFonts w:eastAsiaTheme="minorEastAsia"/>
                <w:bCs/>
                <w:szCs w:val="21"/>
              </w:rPr>
              <w:t>4</w:t>
            </w:r>
          </w:p>
        </w:tc>
        <w:tc>
          <w:tcPr>
            <w:tcW w:w="1535"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eastAsiaTheme="minorEastAsia"/>
                <w:bCs/>
                <w:szCs w:val="21"/>
              </w:rPr>
            </w:pPr>
            <w:r>
              <w:rPr>
                <w:rFonts w:eastAsiaTheme="minorEastAsia"/>
                <w:bCs/>
                <w:szCs w:val="21"/>
              </w:rPr>
              <w:t>1</w:t>
            </w:r>
          </w:p>
          <w:p>
            <w:pPr>
              <w:snapToGrid w:val="0"/>
              <w:spacing w:line="360" w:lineRule="auto"/>
              <w:jc w:val="center"/>
              <w:rPr>
                <w:rFonts w:eastAsiaTheme="minorEastAsia"/>
                <w:bCs/>
                <w:szCs w:val="21"/>
              </w:rPr>
            </w:pPr>
            <w:r>
              <w:rPr>
                <w:rFonts w:eastAsiaTheme="minorEastAsia"/>
                <w:bCs/>
                <w:szCs w:val="21"/>
              </w:rPr>
              <w:t>2</w:t>
            </w:r>
          </w:p>
          <w:p>
            <w:pPr>
              <w:snapToGrid w:val="0"/>
              <w:spacing w:line="360" w:lineRule="auto"/>
              <w:jc w:val="center"/>
              <w:rPr>
                <w:rFonts w:eastAsiaTheme="minorEastAsia"/>
                <w:bCs/>
                <w:szCs w:val="21"/>
              </w:rPr>
            </w:pPr>
            <w:r>
              <w:rPr>
                <w:rFonts w:eastAsiaTheme="minorEastAsia"/>
                <w:bCs/>
                <w:szCs w:val="21"/>
              </w:rPr>
              <w:t>3</w:t>
            </w:r>
          </w:p>
          <w:p>
            <w:pPr>
              <w:snapToGrid w:val="0"/>
              <w:spacing w:line="360" w:lineRule="auto"/>
              <w:jc w:val="center"/>
              <w:rPr>
                <w:rFonts w:eastAsiaTheme="minorEastAsia"/>
                <w:bCs/>
                <w:szCs w:val="21"/>
              </w:rPr>
            </w:pPr>
            <w:r>
              <w:rPr>
                <w:rFonts w:eastAsiaTheme="minorEastAsia"/>
                <w:bCs/>
                <w:szCs w:val="21"/>
              </w:rPr>
              <w:t>4</w:t>
            </w:r>
          </w:p>
          <w:p>
            <w:pPr>
              <w:snapToGrid w:val="0"/>
              <w:spacing w:line="360" w:lineRule="auto"/>
              <w:jc w:val="center"/>
              <w:rPr>
                <w:rFonts w:eastAsiaTheme="minorEastAsia"/>
                <w:bCs/>
                <w:szCs w:val="21"/>
              </w:rPr>
            </w:pPr>
            <w:r>
              <w:rPr>
                <w:rFonts w:eastAsiaTheme="minorEastAsia"/>
                <w:bCs/>
                <w:szCs w:val="21"/>
              </w:rPr>
              <w:t>5</w:t>
            </w:r>
          </w:p>
        </w:tc>
        <w:tc>
          <w:tcPr>
            <w:tcW w:w="1404"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eastAsiaTheme="minorEastAsia"/>
                <w:bCs/>
                <w:szCs w:val="21"/>
              </w:rPr>
            </w:pPr>
            <w:r>
              <w:rPr>
                <w:rFonts w:eastAsiaTheme="minorEastAsia"/>
                <w:bCs/>
                <w:szCs w:val="21"/>
              </w:rPr>
              <w:t>80</w:t>
            </w:r>
          </w:p>
          <w:p>
            <w:pPr>
              <w:snapToGrid w:val="0"/>
              <w:spacing w:line="360" w:lineRule="auto"/>
              <w:jc w:val="center"/>
              <w:rPr>
                <w:rFonts w:eastAsiaTheme="minorEastAsia"/>
                <w:bCs/>
                <w:szCs w:val="21"/>
              </w:rPr>
            </w:pPr>
            <w:r>
              <w:rPr>
                <w:rFonts w:eastAsiaTheme="minorEastAsia"/>
                <w:bCs/>
                <w:szCs w:val="21"/>
              </w:rPr>
              <w:t>125</w:t>
            </w:r>
          </w:p>
          <w:p>
            <w:pPr>
              <w:snapToGrid w:val="0"/>
              <w:spacing w:line="360" w:lineRule="auto"/>
              <w:jc w:val="center"/>
              <w:rPr>
                <w:rFonts w:eastAsiaTheme="minorEastAsia"/>
                <w:bCs/>
                <w:szCs w:val="21"/>
              </w:rPr>
            </w:pPr>
            <w:r>
              <w:rPr>
                <w:rFonts w:eastAsiaTheme="minorEastAsia"/>
                <w:bCs/>
                <w:szCs w:val="21"/>
              </w:rPr>
              <w:t>200</w:t>
            </w:r>
          </w:p>
          <w:p>
            <w:pPr>
              <w:snapToGrid w:val="0"/>
              <w:spacing w:line="360" w:lineRule="auto"/>
              <w:jc w:val="center"/>
              <w:rPr>
                <w:rFonts w:eastAsiaTheme="minorEastAsia"/>
                <w:bCs/>
                <w:szCs w:val="21"/>
              </w:rPr>
            </w:pPr>
            <w:r>
              <w:rPr>
                <w:rFonts w:eastAsiaTheme="minorEastAsia"/>
                <w:bCs/>
                <w:szCs w:val="21"/>
              </w:rPr>
              <w:t>＞315</w:t>
            </w:r>
          </w:p>
          <w:p>
            <w:pPr>
              <w:snapToGrid w:val="0"/>
              <w:spacing w:line="360" w:lineRule="auto"/>
              <w:jc w:val="center"/>
              <w:rPr>
                <w:rFonts w:eastAsiaTheme="minorEastAsia"/>
                <w:bCs/>
                <w:szCs w:val="21"/>
              </w:rPr>
            </w:pPr>
            <w:r>
              <w:rPr>
                <w:rFonts w:eastAsiaTheme="minorEastAsia"/>
                <w:bCs/>
                <w:szCs w:val="21"/>
              </w:rPr>
              <w:t>—</w:t>
            </w:r>
          </w:p>
        </w:tc>
        <w:tc>
          <w:tcPr>
            <w:tcW w:w="17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eastAsiaTheme="minorEastAsia"/>
                <w:bCs/>
                <w:szCs w:val="21"/>
              </w:rPr>
            </w:pPr>
            <w:r>
              <w:rPr>
                <w:rFonts w:eastAsiaTheme="minorEastAsia"/>
                <w:bCs/>
                <w:szCs w:val="21"/>
              </w:rPr>
              <w:t>7</w:t>
            </w:r>
          </w:p>
          <w:p>
            <w:pPr>
              <w:snapToGrid w:val="0"/>
              <w:spacing w:line="360" w:lineRule="auto"/>
              <w:jc w:val="center"/>
              <w:rPr>
                <w:rFonts w:eastAsiaTheme="minorEastAsia"/>
                <w:bCs/>
                <w:szCs w:val="21"/>
              </w:rPr>
            </w:pPr>
            <w:r>
              <w:rPr>
                <w:rFonts w:eastAsiaTheme="minorEastAsia"/>
                <w:bCs/>
                <w:szCs w:val="21"/>
              </w:rPr>
              <w:t>10</w:t>
            </w:r>
          </w:p>
          <w:p>
            <w:pPr>
              <w:snapToGrid w:val="0"/>
              <w:spacing w:line="360" w:lineRule="auto"/>
              <w:jc w:val="center"/>
              <w:rPr>
                <w:rFonts w:eastAsiaTheme="minorEastAsia"/>
                <w:bCs/>
                <w:szCs w:val="21"/>
              </w:rPr>
            </w:pPr>
            <w:r>
              <w:rPr>
                <w:rFonts w:eastAsiaTheme="minorEastAsia"/>
                <w:bCs/>
                <w:szCs w:val="21"/>
              </w:rPr>
              <w:t>15</w:t>
            </w:r>
          </w:p>
          <w:p>
            <w:pPr>
              <w:snapToGrid w:val="0"/>
              <w:spacing w:line="360" w:lineRule="auto"/>
              <w:jc w:val="center"/>
              <w:rPr>
                <w:rFonts w:eastAsiaTheme="minorEastAsia"/>
                <w:bCs/>
                <w:szCs w:val="21"/>
              </w:rPr>
            </w:pPr>
            <w:r>
              <w:rPr>
                <w:rFonts w:eastAsiaTheme="minorEastAsia"/>
                <w:bCs/>
                <w:szCs w:val="21"/>
              </w:rPr>
              <w:t>22</w:t>
            </w:r>
          </w:p>
          <w:p>
            <w:pPr>
              <w:snapToGrid w:val="0"/>
              <w:spacing w:line="360" w:lineRule="auto"/>
              <w:jc w:val="center"/>
              <w:rPr>
                <w:rFonts w:eastAsiaTheme="minorEastAsia"/>
                <w:bCs/>
                <w:szCs w:val="21"/>
              </w:rPr>
            </w:pPr>
            <w:r>
              <w:rPr>
                <w:rFonts w:eastAsiaTheme="minorEastAsia"/>
                <w:bCs/>
                <w:szCs w:val="21"/>
              </w:rPr>
              <w:t>—</w:t>
            </w:r>
          </w:p>
        </w:tc>
        <w:tc>
          <w:tcPr>
            <w:tcW w:w="1453"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eastAsiaTheme="minorEastAsia"/>
                <w:bCs/>
                <w:szCs w:val="21"/>
              </w:rPr>
            </w:pPr>
            <w:r>
              <w:rPr>
                <w:rFonts w:eastAsiaTheme="minorEastAsia"/>
                <w:bCs/>
                <w:szCs w:val="21"/>
              </w:rPr>
              <w:t>8</w:t>
            </w:r>
          </w:p>
          <w:p>
            <w:pPr>
              <w:snapToGrid w:val="0"/>
              <w:spacing w:line="360" w:lineRule="auto"/>
              <w:jc w:val="center"/>
              <w:rPr>
                <w:rFonts w:eastAsiaTheme="minorEastAsia"/>
                <w:bCs/>
                <w:szCs w:val="21"/>
              </w:rPr>
            </w:pPr>
            <w:r>
              <w:rPr>
                <w:rFonts w:eastAsiaTheme="minorEastAsia"/>
                <w:bCs/>
                <w:szCs w:val="21"/>
              </w:rPr>
              <w:t>11</w:t>
            </w:r>
          </w:p>
          <w:p>
            <w:pPr>
              <w:snapToGrid w:val="0"/>
              <w:spacing w:line="360" w:lineRule="auto"/>
              <w:jc w:val="center"/>
              <w:rPr>
                <w:rFonts w:eastAsiaTheme="minorEastAsia"/>
                <w:bCs/>
                <w:szCs w:val="21"/>
              </w:rPr>
            </w:pPr>
            <w:r>
              <w:rPr>
                <w:rFonts w:eastAsiaTheme="minorEastAsia"/>
                <w:bCs/>
                <w:szCs w:val="21"/>
              </w:rPr>
              <w:t>16</w:t>
            </w:r>
          </w:p>
          <w:p>
            <w:pPr>
              <w:snapToGrid w:val="0"/>
              <w:spacing w:line="360" w:lineRule="auto"/>
              <w:jc w:val="center"/>
              <w:rPr>
                <w:rFonts w:eastAsiaTheme="minorEastAsia"/>
                <w:bCs/>
                <w:szCs w:val="21"/>
              </w:rPr>
            </w:pPr>
            <w:r>
              <w:rPr>
                <w:rFonts w:eastAsiaTheme="minorEastAsia"/>
                <w:bCs/>
                <w:szCs w:val="21"/>
              </w:rPr>
              <w:t>23</w:t>
            </w:r>
          </w:p>
          <w:p>
            <w:pPr>
              <w:snapToGrid w:val="0"/>
              <w:spacing w:line="360" w:lineRule="auto"/>
              <w:jc w:val="center"/>
              <w:rPr>
                <w:rFonts w:eastAsiaTheme="minorEastAsia"/>
                <w:bCs/>
                <w:szCs w:val="21"/>
              </w:rPr>
            </w:pPr>
            <w:r>
              <w:rPr>
                <w:rFonts w:eastAsiaTheme="minorEastAsia"/>
                <w:bCs/>
                <w:szCs w:val="21"/>
              </w:rPr>
              <w:t>—</w:t>
            </w:r>
          </w:p>
        </w:tc>
      </w:tr>
    </w:tbl>
    <w:p>
      <w:pPr>
        <w:spacing w:before="120" w:beforeLines="50" w:line="360" w:lineRule="auto"/>
        <w:ind w:right="284" w:firstLine="480" w:firstLineChars="200"/>
        <w:rPr>
          <w:rFonts w:eastAsiaTheme="minorEastAsia"/>
          <w:bCs/>
          <w:sz w:val="24"/>
          <w:szCs w:val="24"/>
        </w:rPr>
      </w:pPr>
      <w:r>
        <w:rPr>
          <w:rFonts w:eastAsiaTheme="minorEastAsia"/>
          <w:bCs/>
          <w:sz w:val="24"/>
          <w:szCs w:val="24"/>
        </w:rPr>
        <w:t>2）正常二次抽样的判定应按表</w:t>
      </w:r>
      <w:r>
        <w:rPr>
          <w:rFonts w:eastAsiaTheme="minorEastAsia"/>
          <w:sz w:val="24"/>
          <w:szCs w:val="24"/>
        </w:rPr>
        <w:t>3.3.6-2的规定进行</w:t>
      </w:r>
      <w:r>
        <w:rPr>
          <w:rFonts w:eastAsiaTheme="minorEastAsia"/>
          <w:bCs/>
          <w:sz w:val="24"/>
          <w:szCs w:val="24"/>
        </w:rPr>
        <w:t>。</w:t>
      </w:r>
    </w:p>
    <w:p>
      <w:pPr>
        <w:snapToGrid w:val="0"/>
        <w:spacing w:before="120" w:beforeLines="50" w:line="300" w:lineRule="auto"/>
        <w:jc w:val="center"/>
        <w:rPr>
          <w:rFonts w:eastAsiaTheme="minorEastAsia"/>
          <w:b/>
          <w:szCs w:val="21"/>
        </w:rPr>
      </w:pPr>
      <w:r>
        <w:rPr>
          <w:rFonts w:eastAsiaTheme="minorEastAsia"/>
          <w:b/>
          <w:szCs w:val="21"/>
        </w:rPr>
        <w:t>表3.3.6-2   主控项目正常二次抽样的判定</w:t>
      </w:r>
    </w:p>
    <w:tbl>
      <w:tblPr>
        <w:tblStyle w:val="24"/>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037"/>
        <w:gridCol w:w="1352"/>
        <w:gridCol w:w="1081"/>
        <w:gridCol w:w="924"/>
        <w:gridCol w:w="900"/>
        <w:gridCol w:w="1182"/>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抽样</w:t>
            </w:r>
          </w:p>
          <w:p>
            <w:pPr>
              <w:snapToGrid w:val="0"/>
              <w:jc w:val="center"/>
              <w:rPr>
                <w:rFonts w:eastAsiaTheme="minorEastAsia"/>
                <w:bCs/>
                <w:szCs w:val="21"/>
              </w:rPr>
            </w:pPr>
            <w:r>
              <w:rPr>
                <w:rFonts w:eastAsiaTheme="minorEastAsia"/>
                <w:bCs/>
                <w:szCs w:val="21"/>
              </w:rPr>
              <w:t>次数</w:t>
            </w:r>
          </w:p>
        </w:tc>
        <w:tc>
          <w:tcPr>
            <w:tcW w:w="1037"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color w:val="000000" w:themeColor="text1"/>
                <w:szCs w:val="21"/>
                <w14:textFill>
                  <w14:solidFill>
                    <w14:schemeClr w14:val="tx1"/>
                  </w14:solidFill>
                </w14:textFill>
              </w:rPr>
            </w:pPr>
            <w:r>
              <w:rPr>
                <w:rFonts w:eastAsiaTheme="minorEastAsia"/>
                <w:bCs/>
                <w:color w:val="000000" w:themeColor="text1"/>
                <w:szCs w:val="21"/>
                <w14:textFill>
                  <w14:solidFill>
                    <w14:schemeClr w14:val="tx1"/>
                  </w14:solidFill>
                </w14:textFill>
              </w:rPr>
              <w:t>样本</w:t>
            </w:r>
          </w:p>
          <w:p>
            <w:pPr>
              <w:snapToGrid w:val="0"/>
              <w:jc w:val="center"/>
              <w:rPr>
                <w:rFonts w:eastAsiaTheme="minorEastAsia"/>
                <w:bCs/>
                <w:color w:val="000000" w:themeColor="text1"/>
                <w:szCs w:val="21"/>
                <w14:textFill>
                  <w14:solidFill>
                    <w14:schemeClr w14:val="tx1"/>
                  </w14:solidFill>
                </w14:textFill>
              </w:rPr>
            </w:pPr>
            <w:r>
              <w:rPr>
                <w:rFonts w:eastAsiaTheme="minorEastAsia"/>
                <w:bCs/>
                <w:color w:val="000000" w:themeColor="text1"/>
                <w:szCs w:val="21"/>
                <w14:textFill>
                  <w14:solidFill>
                    <w14:schemeClr w14:val="tx1"/>
                  </w14:solidFill>
                </w14:textFill>
              </w:rPr>
              <w:t>容量</w:t>
            </w:r>
          </w:p>
        </w:tc>
        <w:tc>
          <w:tcPr>
            <w:tcW w:w="1352"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符合性</w:t>
            </w:r>
          </w:p>
          <w:p>
            <w:pPr>
              <w:snapToGrid w:val="0"/>
              <w:jc w:val="center"/>
              <w:rPr>
                <w:rFonts w:eastAsiaTheme="minorEastAsia"/>
                <w:bCs/>
                <w:szCs w:val="21"/>
              </w:rPr>
            </w:pPr>
            <w:r>
              <w:rPr>
                <w:rFonts w:eastAsiaTheme="minorEastAsia"/>
                <w:bCs/>
                <w:szCs w:val="21"/>
              </w:rPr>
              <w:t>判定数</w:t>
            </w:r>
          </w:p>
        </w:tc>
        <w:tc>
          <w:tcPr>
            <w:tcW w:w="1081" w:type="dxa"/>
            <w:tcBorders>
              <w:top w:val="single" w:color="auto" w:sz="4" w:space="0"/>
              <w:left w:val="single" w:color="auto" w:sz="4" w:space="0"/>
              <w:bottom w:val="single" w:color="auto" w:sz="4" w:space="0"/>
              <w:right w:val="double" w:color="auto" w:sz="4" w:space="0"/>
            </w:tcBorders>
            <w:vAlign w:val="center"/>
          </w:tcPr>
          <w:p>
            <w:pPr>
              <w:snapToGrid w:val="0"/>
              <w:jc w:val="center"/>
              <w:rPr>
                <w:rFonts w:eastAsiaTheme="minorEastAsia"/>
                <w:bCs/>
                <w:szCs w:val="21"/>
              </w:rPr>
            </w:pPr>
            <w:r>
              <w:rPr>
                <w:rFonts w:eastAsiaTheme="minorEastAsia"/>
                <w:bCs/>
                <w:szCs w:val="21"/>
              </w:rPr>
              <w:t>不符合</w:t>
            </w:r>
          </w:p>
          <w:p>
            <w:pPr>
              <w:snapToGrid w:val="0"/>
              <w:jc w:val="center"/>
              <w:rPr>
                <w:rFonts w:eastAsiaTheme="minorEastAsia"/>
                <w:bCs/>
                <w:szCs w:val="21"/>
              </w:rPr>
            </w:pPr>
            <w:r>
              <w:rPr>
                <w:rFonts w:eastAsiaTheme="minorEastAsia"/>
                <w:bCs/>
                <w:szCs w:val="21"/>
              </w:rPr>
              <w:t>判定数</w:t>
            </w:r>
          </w:p>
        </w:tc>
        <w:tc>
          <w:tcPr>
            <w:tcW w:w="924" w:type="dxa"/>
            <w:tcBorders>
              <w:top w:val="single" w:color="auto" w:sz="4" w:space="0"/>
              <w:left w:val="doub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抽样</w:t>
            </w:r>
          </w:p>
          <w:p>
            <w:pPr>
              <w:snapToGrid w:val="0"/>
              <w:jc w:val="center"/>
              <w:rPr>
                <w:rFonts w:eastAsiaTheme="minorEastAsia"/>
                <w:bCs/>
                <w:szCs w:val="21"/>
              </w:rPr>
            </w:pPr>
            <w:r>
              <w:rPr>
                <w:rFonts w:eastAsiaTheme="minorEastAsia"/>
                <w:bCs/>
                <w:szCs w:val="21"/>
              </w:rPr>
              <w:t>次数</w:t>
            </w:r>
          </w:p>
        </w:tc>
        <w:tc>
          <w:tcPr>
            <w:tcW w:w="900"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样本</w:t>
            </w:r>
          </w:p>
          <w:p>
            <w:pPr>
              <w:snapToGrid w:val="0"/>
              <w:jc w:val="center"/>
              <w:rPr>
                <w:rFonts w:eastAsiaTheme="minorEastAsia"/>
                <w:bCs/>
                <w:szCs w:val="21"/>
              </w:rPr>
            </w:pPr>
            <w:r>
              <w:rPr>
                <w:rFonts w:eastAsiaTheme="minorEastAsia"/>
                <w:bCs/>
                <w:szCs w:val="21"/>
              </w:rPr>
              <w:t>容量</w:t>
            </w:r>
          </w:p>
        </w:tc>
        <w:tc>
          <w:tcPr>
            <w:tcW w:w="1182"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符合性</w:t>
            </w:r>
          </w:p>
          <w:p>
            <w:pPr>
              <w:snapToGrid w:val="0"/>
              <w:jc w:val="center"/>
              <w:rPr>
                <w:rFonts w:eastAsiaTheme="minorEastAsia"/>
                <w:bCs/>
                <w:szCs w:val="21"/>
              </w:rPr>
            </w:pPr>
            <w:r>
              <w:rPr>
                <w:rFonts w:eastAsiaTheme="minorEastAsia"/>
                <w:bCs/>
                <w:szCs w:val="21"/>
              </w:rPr>
              <w:t>判定数</w:t>
            </w:r>
          </w:p>
        </w:tc>
        <w:tc>
          <w:tcPr>
            <w:tcW w:w="1183"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不符合</w:t>
            </w:r>
          </w:p>
          <w:p>
            <w:pPr>
              <w:snapToGrid w:val="0"/>
              <w:jc w:val="center"/>
              <w:rPr>
                <w:rFonts w:eastAsiaTheme="minorEastAsia"/>
                <w:bCs/>
                <w:szCs w:val="21"/>
              </w:rPr>
            </w:pPr>
            <w:r>
              <w:rPr>
                <w:rFonts w:eastAsiaTheme="minorEastAsia"/>
                <w:bCs/>
                <w:szCs w:val="21"/>
              </w:rPr>
              <w:t>判定数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（1）</w:t>
            </w:r>
          </w:p>
        </w:tc>
        <w:tc>
          <w:tcPr>
            <w:tcW w:w="1037"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color w:val="000000" w:themeColor="text1"/>
                <w:szCs w:val="21"/>
                <w14:textFill>
                  <w14:solidFill>
                    <w14:schemeClr w14:val="tx1"/>
                  </w14:solidFill>
                </w14:textFill>
              </w:rPr>
            </w:pPr>
            <w:r>
              <w:rPr>
                <w:rFonts w:eastAsiaTheme="minorEastAsia"/>
                <w:bCs/>
                <w:color w:val="000000" w:themeColor="text1"/>
                <w:szCs w:val="21"/>
                <w14:textFill>
                  <w14:solidFill>
                    <w14:schemeClr w14:val="tx1"/>
                  </w14:solidFill>
                </w14:textFill>
              </w:rPr>
              <w:t>2~6</w:t>
            </w:r>
          </w:p>
        </w:tc>
        <w:tc>
          <w:tcPr>
            <w:tcW w:w="1352"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0</w:t>
            </w:r>
          </w:p>
        </w:tc>
        <w:tc>
          <w:tcPr>
            <w:tcW w:w="1081" w:type="dxa"/>
            <w:tcBorders>
              <w:top w:val="single" w:color="auto" w:sz="4" w:space="0"/>
              <w:left w:val="single" w:color="auto" w:sz="4" w:space="0"/>
              <w:bottom w:val="single" w:color="auto" w:sz="4" w:space="0"/>
              <w:right w:val="double" w:color="auto" w:sz="4" w:space="0"/>
            </w:tcBorders>
            <w:vAlign w:val="center"/>
          </w:tcPr>
          <w:p>
            <w:pPr>
              <w:snapToGrid w:val="0"/>
              <w:jc w:val="center"/>
              <w:rPr>
                <w:rFonts w:eastAsiaTheme="minorEastAsia"/>
                <w:bCs/>
                <w:szCs w:val="21"/>
              </w:rPr>
            </w:pPr>
            <w:r>
              <w:rPr>
                <w:rFonts w:eastAsiaTheme="minorEastAsia"/>
                <w:bCs/>
                <w:szCs w:val="21"/>
              </w:rPr>
              <w:t>1</w:t>
            </w:r>
          </w:p>
        </w:tc>
        <w:tc>
          <w:tcPr>
            <w:tcW w:w="924" w:type="dxa"/>
            <w:tcBorders>
              <w:top w:val="single" w:color="auto" w:sz="4" w:space="0"/>
              <w:left w:val="doub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（1）</w:t>
            </w:r>
          </w:p>
          <w:p>
            <w:pPr>
              <w:snapToGrid w:val="0"/>
              <w:jc w:val="center"/>
              <w:rPr>
                <w:rFonts w:eastAsiaTheme="minorEastAsia"/>
                <w:bCs/>
                <w:szCs w:val="21"/>
              </w:rPr>
            </w:pPr>
            <w:r>
              <w:rPr>
                <w:rFonts w:eastAsiaTheme="minorEastAsia"/>
                <w:bCs/>
                <w:szCs w:val="21"/>
              </w:rPr>
              <w:t>（2）</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Theme="minorEastAsia"/>
                <w:bCs/>
                <w:szCs w:val="21"/>
              </w:rPr>
            </w:pPr>
            <w:r>
              <w:rPr>
                <w:rFonts w:eastAsiaTheme="minorEastAsia"/>
                <w:bCs/>
                <w:szCs w:val="21"/>
              </w:rPr>
              <w:t>50</w:t>
            </w:r>
          </w:p>
          <w:p>
            <w:pPr>
              <w:snapToGrid w:val="0"/>
              <w:jc w:val="center"/>
              <w:rPr>
                <w:rFonts w:eastAsiaTheme="minorEastAsia"/>
                <w:bCs/>
                <w:szCs w:val="21"/>
              </w:rPr>
            </w:pPr>
            <w:r>
              <w:rPr>
                <w:rFonts w:eastAsiaTheme="minorEastAsia"/>
                <w:bCs/>
                <w:szCs w:val="21"/>
              </w:rPr>
              <w:t>100</w:t>
            </w:r>
          </w:p>
        </w:tc>
        <w:tc>
          <w:tcPr>
            <w:tcW w:w="1182"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3</w:t>
            </w:r>
          </w:p>
          <w:p>
            <w:pPr>
              <w:snapToGrid w:val="0"/>
              <w:jc w:val="center"/>
              <w:rPr>
                <w:rFonts w:eastAsiaTheme="minorEastAsia"/>
                <w:bCs/>
                <w:szCs w:val="21"/>
              </w:rPr>
            </w:pPr>
            <w:r>
              <w:rPr>
                <w:rFonts w:eastAsiaTheme="minorEastAsia"/>
                <w:bCs/>
                <w:szCs w:val="21"/>
              </w:rPr>
              <w:t>8</w:t>
            </w:r>
          </w:p>
        </w:tc>
        <w:tc>
          <w:tcPr>
            <w:tcW w:w="1183"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6</w:t>
            </w:r>
          </w:p>
          <w:p>
            <w:pPr>
              <w:snapToGrid w:val="0"/>
              <w:jc w:val="center"/>
              <w:rPr>
                <w:rFonts w:eastAsiaTheme="minorEastAsia"/>
                <w:bCs/>
                <w:szCs w:val="21"/>
              </w:rPr>
            </w:pPr>
            <w:r>
              <w:rPr>
                <w:rFonts w:eastAsiaTheme="minorEastAsia"/>
                <w:bCs/>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（1）</w:t>
            </w:r>
          </w:p>
          <w:p>
            <w:pPr>
              <w:snapToGrid w:val="0"/>
              <w:jc w:val="center"/>
              <w:rPr>
                <w:rFonts w:eastAsiaTheme="minorEastAsia"/>
                <w:bCs/>
                <w:szCs w:val="21"/>
              </w:rPr>
            </w:pPr>
            <w:r>
              <w:rPr>
                <w:rFonts w:eastAsiaTheme="minorEastAsia"/>
                <w:bCs/>
                <w:szCs w:val="21"/>
              </w:rPr>
              <w:t>（2）</w:t>
            </w:r>
          </w:p>
        </w:tc>
        <w:tc>
          <w:tcPr>
            <w:tcW w:w="1037"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Theme="minorEastAsia"/>
                <w:bCs/>
                <w:szCs w:val="21"/>
              </w:rPr>
            </w:pPr>
            <w:r>
              <w:rPr>
                <w:rFonts w:eastAsiaTheme="minorEastAsia"/>
                <w:bCs/>
                <w:szCs w:val="21"/>
              </w:rPr>
              <w:t>5</w:t>
            </w:r>
          </w:p>
          <w:p>
            <w:pPr>
              <w:snapToGrid w:val="0"/>
              <w:jc w:val="center"/>
              <w:rPr>
                <w:rFonts w:eastAsiaTheme="minorEastAsia"/>
                <w:bCs/>
                <w:szCs w:val="21"/>
              </w:rPr>
            </w:pPr>
            <w:r>
              <w:rPr>
                <w:rFonts w:eastAsiaTheme="minorEastAsia"/>
                <w:bCs/>
                <w:szCs w:val="21"/>
              </w:rPr>
              <w:t>10</w:t>
            </w:r>
          </w:p>
        </w:tc>
        <w:tc>
          <w:tcPr>
            <w:tcW w:w="1352"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0</w:t>
            </w:r>
          </w:p>
          <w:p>
            <w:pPr>
              <w:snapToGrid w:val="0"/>
              <w:jc w:val="center"/>
              <w:rPr>
                <w:rFonts w:eastAsiaTheme="minorEastAsia"/>
                <w:bCs/>
                <w:szCs w:val="21"/>
              </w:rPr>
            </w:pPr>
            <w:r>
              <w:rPr>
                <w:rFonts w:eastAsiaTheme="minorEastAsia"/>
                <w:bCs/>
                <w:szCs w:val="21"/>
              </w:rPr>
              <w:t>1</w:t>
            </w:r>
          </w:p>
        </w:tc>
        <w:tc>
          <w:tcPr>
            <w:tcW w:w="1081" w:type="dxa"/>
            <w:tcBorders>
              <w:top w:val="single" w:color="auto" w:sz="4" w:space="0"/>
              <w:left w:val="single" w:color="auto" w:sz="4" w:space="0"/>
              <w:bottom w:val="single" w:color="auto" w:sz="4" w:space="0"/>
              <w:right w:val="double" w:color="auto" w:sz="4" w:space="0"/>
            </w:tcBorders>
            <w:vAlign w:val="center"/>
          </w:tcPr>
          <w:p>
            <w:pPr>
              <w:snapToGrid w:val="0"/>
              <w:jc w:val="center"/>
              <w:rPr>
                <w:rFonts w:eastAsiaTheme="minorEastAsia"/>
                <w:bCs/>
                <w:szCs w:val="21"/>
              </w:rPr>
            </w:pPr>
            <w:r>
              <w:rPr>
                <w:rFonts w:eastAsiaTheme="minorEastAsia"/>
                <w:bCs/>
                <w:szCs w:val="21"/>
              </w:rPr>
              <w:t>2</w:t>
            </w:r>
          </w:p>
          <w:p>
            <w:pPr>
              <w:snapToGrid w:val="0"/>
              <w:jc w:val="center"/>
              <w:rPr>
                <w:rFonts w:eastAsiaTheme="minorEastAsia"/>
                <w:bCs/>
                <w:szCs w:val="21"/>
              </w:rPr>
            </w:pPr>
            <w:r>
              <w:rPr>
                <w:rFonts w:eastAsiaTheme="minorEastAsia"/>
                <w:bCs/>
                <w:szCs w:val="21"/>
              </w:rPr>
              <w:t>2</w:t>
            </w:r>
          </w:p>
        </w:tc>
        <w:tc>
          <w:tcPr>
            <w:tcW w:w="924" w:type="dxa"/>
            <w:tcBorders>
              <w:top w:val="single" w:color="auto" w:sz="4" w:space="0"/>
              <w:left w:val="doub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（1）</w:t>
            </w:r>
          </w:p>
          <w:p>
            <w:pPr>
              <w:snapToGrid w:val="0"/>
              <w:jc w:val="center"/>
              <w:rPr>
                <w:rFonts w:eastAsiaTheme="minorEastAsia"/>
                <w:bCs/>
                <w:szCs w:val="21"/>
              </w:rPr>
            </w:pPr>
            <w:r>
              <w:rPr>
                <w:rFonts w:eastAsiaTheme="minorEastAsia"/>
                <w:bCs/>
                <w:szCs w:val="21"/>
              </w:rPr>
              <w:t>（2）</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Theme="minorEastAsia"/>
                <w:bCs/>
                <w:szCs w:val="21"/>
              </w:rPr>
            </w:pPr>
            <w:r>
              <w:rPr>
                <w:rFonts w:eastAsiaTheme="minorEastAsia"/>
                <w:bCs/>
                <w:szCs w:val="21"/>
              </w:rPr>
              <w:t>80</w:t>
            </w:r>
          </w:p>
          <w:p>
            <w:pPr>
              <w:snapToGrid w:val="0"/>
              <w:jc w:val="center"/>
              <w:rPr>
                <w:rFonts w:eastAsiaTheme="minorEastAsia"/>
                <w:bCs/>
                <w:szCs w:val="21"/>
              </w:rPr>
            </w:pPr>
            <w:r>
              <w:rPr>
                <w:rFonts w:eastAsiaTheme="minorEastAsia"/>
                <w:bCs/>
                <w:szCs w:val="21"/>
              </w:rPr>
              <w:t>160</w:t>
            </w:r>
          </w:p>
        </w:tc>
        <w:tc>
          <w:tcPr>
            <w:tcW w:w="1182"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5</w:t>
            </w:r>
          </w:p>
          <w:p>
            <w:pPr>
              <w:snapToGrid w:val="0"/>
              <w:jc w:val="center"/>
              <w:rPr>
                <w:rFonts w:eastAsiaTheme="minorEastAsia"/>
                <w:bCs/>
                <w:szCs w:val="21"/>
              </w:rPr>
            </w:pPr>
            <w:r>
              <w:rPr>
                <w:rFonts w:eastAsiaTheme="minorEastAsia"/>
                <w:bCs/>
                <w:szCs w:val="21"/>
              </w:rPr>
              <w:t>12</w:t>
            </w:r>
          </w:p>
        </w:tc>
        <w:tc>
          <w:tcPr>
            <w:tcW w:w="1183"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9</w:t>
            </w:r>
          </w:p>
          <w:p>
            <w:pPr>
              <w:snapToGrid w:val="0"/>
              <w:jc w:val="center"/>
              <w:rPr>
                <w:rFonts w:eastAsiaTheme="minorEastAsia"/>
                <w:bCs/>
                <w:szCs w:val="21"/>
              </w:rPr>
            </w:pPr>
            <w:r>
              <w:rPr>
                <w:rFonts w:eastAsiaTheme="minorEastAsia"/>
                <w:bCs/>
                <w:szCs w:val="21"/>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（1）</w:t>
            </w:r>
          </w:p>
          <w:p>
            <w:pPr>
              <w:snapToGrid w:val="0"/>
              <w:jc w:val="center"/>
              <w:rPr>
                <w:rFonts w:eastAsiaTheme="minorEastAsia"/>
                <w:bCs/>
                <w:szCs w:val="21"/>
              </w:rPr>
            </w:pPr>
            <w:r>
              <w:rPr>
                <w:rFonts w:eastAsiaTheme="minorEastAsia"/>
                <w:bCs/>
                <w:szCs w:val="21"/>
              </w:rPr>
              <w:t>（2）</w:t>
            </w:r>
          </w:p>
        </w:tc>
        <w:tc>
          <w:tcPr>
            <w:tcW w:w="1037"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Theme="minorEastAsia"/>
                <w:bCs/>
                <w:szCs w:val="21"/>
              </w:rPr>
            </w:pPr>
            <w:r>
              <w:rPr>
                <w:rFonts w:eastAsiaTheme="minorEastAsia"/>
                <w:bCs/>
                <w:szCs w:val="21"/>
              </w:rPr>
              <w:t>8</w:t>
            </w:r>
          </w:p>
          <w:p>
            <w:pPr>
              <w:snapToGrid w:val="0"/>
              <w:jc w:val="center"/>
              <w:rPr>
                <w:rFonts w:eastAsiaTheme="minorEastAsia"/>
                <w:bCs/>
                <w:szCs w:val="21"/>
              </w:rPr>
            </w:pPr>
            <w:r>
              <w:rPr>
                <w:rFonts w:eastAsiaTheme="minorEastAsia"/>
                <w:bCs/>
                <w:szCs w:val="21"/>
              </w:rPr>
              <w:t>16</w:t>
            </w:r>
          </w:p>
        </w:tc>
        <w:tc>
          <w:tcPr>
            <w:tcW w:w="1352"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0</w:t>
            </w:r>
          </w:p>
          <w:p>
            <w:pPr>
              <w:snapToGrid w:val="0"/>
              <w:jc w:val="center"/>
              <w:rPr>
                <w:rFonts w:eastAsiaTheme="minorEastAsia"/>
                <w:bCs/>
                <w:szCs w:val="21"/>
              </w:rPr>
            </w:pPr>
            <w:r>
              <w:rPr>
                <w:rFonts w:eastAsiaTheme="minorEastAsia"/>
                <w:bCs/>
                <w:szCs w:val="21"/>
              </w:rPr>
              <w:t>1</w:t>
            </w:r>
          </w:p>
        </w:tc>
        <w:tc>
          <w:tcPr>
            <w:tcW w:w="1081" w:type="dxa"/>
            <w:tcBorders>
              <w:top w:val="single" w:color="auto" w:sz="4" w:space="0"/>
              <w:left w:val="single" w:color="auto" w:sz="4" w:space="0"/>
              <w:bottom w:val="single" w:color="auto" w:sz="4" w:space="0"/>
              <w:right w:val="double" w:color="auto" w:sz="4" w:space="0"/>
            </w:tcBorders>
            <w:vAlign w:val="center"/>
          </w:tcPr>
          <w:p>
            <w:pPr>
              <w:snapToGrid w:val="0"/>
              <w:jc w:val="center"/>
              <w:rPr>
                <w:rFonts w:eastAsiaTheme="minorEastAsia"/>
                <w:bCs/>
                <w:szCs w:val="21"/>
              </w:rPr>
            </w:pPr>
            <w:r>
              <w:rPr>
                <w:rFonts w:eastAsiaTheme="minorEastAsia"/>
                <w:bCs/>
                <w:szCs w:val="21"/>
              </w:rPr>
              <w:t>2</w:t>
            </w:r>
          </w:p>
          <w:p>
            <w:pPr>
              <w:snapToGrid w:val="0"/>
              <w:jc w:val="center"/>
              <w:rPr>
                <w:rFonts w:eastAsiaTheme="minorEastAsia"/>
                <w:bCs/>
                <w:szCs w:val="21"/>
              </w:rPr>
            </w:pPr>
            <w:r>
              <w:rPr>
                <w:rFonts w:eastAsiaTheme="minorEastAsia"/>
                <w:bCs/>
                <w:szCs w:val="21"/>
              </w:rPr>
              <w:t>2</w:t>
            </w:r>
          </w:p>
        </w:tc>
        <w:tc>
          <w:tcPr>
            <w:tcW w:w="924" w:type="dxa"/>
            <w:tcBorders>
              <w:top w:val="single" w:color="auto" w:sz="4" w:space="0"/>
              <w:left w:val="doub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（1）</w:t>
            </w:r>
          </w:p>
          <w:p>
            <w:pPr>
              <w:snapToGrid w:val="0"/>
              <w:jc w:val="center"/>
              <w:rPr>
                <w:rFonts w:eastAsiaTheme="minorEastAsia"/>
                <w:bCs/>
                <w:szCs w:val="21"/>
              </w:rPr>
            </w:pPr>
            <w:r>
              <w:rPr>
                <w:rFonts w:eastAsiaTheme="minorEastAsia"/>
                <w:bCs/>
                <w:szCs w:val="21"/>
              </w:rPr>
              <w:t>（2）</w:t>
            </w:r>
          </w:p>
        </w:tc>
        <w:tc>
          <w:tcPr>
            <w:tcW w:w="900"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125</w:t>
            </w:r>
          </w:p>
          <w:p>
            <w:pPr>
              <w:snapToGrid w:val="0"/>
              <w:jc w:val="center"/>
              <w:rPr>
                <w:rFonts w:eastAsiaTheme="minorEastAsia"/>
                <w:bCs/>
                <w:szCs w:val="21"/>
              </w:rPr>
            </w:pPr>
            <w:r>
              <w:rPr>
                <w:rFonts w:eastAsiaTheme="minorEastAsia"/>
                <w:bCs/>
                <w:szCs w:val="21"/>
              </w:rPr>
              <w:t>250</w:t>
            </w:r>
          </w:p>
        </w:tc>
        <w:tc>
          <w:tcPr>
            <w:tcW w:w="1182"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7</w:t>
            </w:r>
          </w:p>
          <w:p>
            <w:pPr>
              <w:snapToGrid w:val="0"/>
              <w:jc w:val="center"/>
              <w:rPr>
                <w:rFonts w:eastAsiaTheme="minorEastAsia"/>
                <w:bCs/>
                <w:szCs w:val="21"/>
              </w:rPr>
            </w:pPr>
            <w:r>
              <w:rPr>
                <w:rFonts w:eastAsiaTheme="minorEastAsia"/>
                <w:bCs/>
                <w:szCs w:val="21"/>
              </w:rPr>
              <w:t>18</w:t>
            </w:r>
          </w:p>
        </w:tc>
        <w:tc>
          <w:tcPr>
            <w:tcW w:w="1183"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11</w:t>
            </w:r>
          </w:p>
          <w:p>
            <w:pPr>
              <w:snapToGrid w:val="0"/>
              <w:jc w:val="center"/>
              <w:rPr>
                <w:rFonts w:eastAsiaTheme="minorEastAsia"/>
                <w:bCs/>
                <w:szCs w:val="21"/>
              </w:rPr>
            </w:pPr>
            <w:r>
              <w:rPr>
                <w:rFonts w:eastAsiaTheme="minorEastAsia"/>
                <w:bCs/>
                <w:szCs w:val="21"/>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（1）</w:t>
            </w:r>
          </w:p>
          <w:p>
            <w:pPr>
              <w:snapToGrid w:val="0"/>
              <w:jc w:val="center"/>
              <w:rPr>
                <w:rFonts w:eastAsiaTheme="minorEastAsia"/>
                <w:bCs/>
                <w:szCs w:val="21"/>
              </w:rPr>
            </w:pPr>
            <w:r>
              <w:rPr>
                <w:rFonts w:eastAsiaTheme="minorEastAsia"/>
                <w:bCs/>
                <w:szCs w:val="21"/>
              </w:rPr>
              <w:t>（2）</w:t>
            </w:r>
          </w:p>
        </w:tc>
        <w:tc>
          <w:tcPr>
            <w:tcW w:w="1037"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13</w:t>
            </w:r>
          </w:p>
          <w:p>
            <w:pPr>
              <w:snapToGrid w:val="0"/>
              <w:jc w:val="center"/>
              <w:rPr>
                <w:rFonts w:eastAsiaTheme="minorEastAsia"/>
                <w:bCs/>
                <w:szCs w:val="21"/>
              </w:rPr>
            </w:pPr>
            <w:r>
              <w:rPr>
                <w:rFonts w:eastAsiaTheme="minorEastAsia"/>
                <w:bCs/>
                <w:szCs w:val="21"/>
              </w:rPr>
              <w:t>26</w:t>
            </w:r>
          </w:p>
        </w:tc>
        <w:tc>
          <w:tcPr>
            <w:tcW w:w="1352"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0</w:t>
            </w:r>
          </w:p>
          <w:p>
            <w:pPr>
              <w:snapToGrid w:val="0"/>
              <w:jc w:val="center"/>
              <w:rPr>
                <w:rFonts w:eastAsiaTheme="minorEastAsia"/>
                <w:bCs/>
                <w:szCs w:val="21"/>
              </w:rPr>
            </w:pPr>
            <w:r>
              <w:rPr>
                <w:rFonts w:eastAsiaTheme="minorEastAsia"/>
                <w:bCs/>
                <w:szCs w:val="21"/>
              </w:rPr>
              <w:t>3</w:t>
            </w:r>
          </w:p>
        </w:tc>
        <w:tc>
          <w:tcPr>
            <w:tcW w:w="1081" w:type="dxa"/>
            <w:tcBorders>
              <w:top w:val="single" w:color="auto" w:sz="4" w:space="0"/>
              <w:left w:val="single" w:color="auto" w:sz="4" w:space="0"/>
              <w:bottom w:val="single" w:color="auto" w:sz="4" w:space="0"/>
              <w:right w:val="double" w:color="auto" w:sz="4" w:space="0"/>
            </w:tcBorders>
            <w:vAlign w:val="center"/>
          </w:tcPr>
          <w:p>
            <w:pPr>
              <w:snapToGrid w:val="0"/>
              <w:jc w:val="center"/>
              <w:rPr>
                <w:rFonts w:eastAsiaTheme="minorEastAsia"/>
                <w:bCs/>
                <w:szCs w:val="21"/>
              </w:rPr>
            </w:pPr>
            <w:r>
              <w:rPr>
                <w:rFonts w:eastAsiaTheme="minorEastAsia"/>
                <w:bCs/>
                <w:szCs w:val="21"/>
              </w:rPr>
              <w:t>3</w:t>
            </w:r>
          </w:p>
          <w:p>
            <w:pPr>
              <w:snapToGrid w:val="0"/>
              <w:jc w:val="center"/>
              <w:rPr>
                <w:rFonts w:eastAsiaTheme="minorEastAsia"/>
                <w:bCs/>
                <w:szCs w:val="21"/>
              </w:rPr>
            </w:pPr>
            <w:r>
              <w:rPr>
                <w:rFonts w:eastAsiaTheme="minorEastAsia"/>
                <w:bCs/>
                <w:szCs w:val="21"/>
              </w:rPr>
              <w:t>4</w:t>
            </w:r>
          </w:p>
        </w:tc>
        <w:tc>
          <w:tcPr>
            <w:tcW w:w="924" w:type="dxa"/>
            <w:tcBorders>
              <w:top w:val="single" w:color="auto" w:sz="4" w:space="0"/>
              <w:left w:val="doub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（1）</w:t>
            </w:r>
          </w:p>
          <w:p>
            <w:pPr>
              <w:snapToGrid w:val="0"/>
              <w:jc w:val="center"/>
              <w:rPr>
                <w:rFonts w:eastAsiaTheme="minorEastAsia"/>
                <w:bCs/>
                <w:szCs w:val="21"/>
              </w:rPr>
            </w:pPr>
            <w:r>
              <w:rPr>
                <w:rFonts w:eastAsiaTheme="minorEastAsia"/>
                <w:bCs/>
                <w:szCs w:val="21"/>
              </w:rPr>
              <w:t>（2）</w:t>
            </w:r>
          </w:p>
        </w:tc>
        <w:tc>
          <w:tcPr>
            <w:tcW w:w="900"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200</w:t>
            </w:r>
          </w:p>
          <w:p>
            <w:pPr>
              <w:snapToGrid w:val="0"/>
              <w:jc w:val="center"/>
              <w:rPr>
                <w:rFonts w:eastAsiaTheme="minorEastAsia"/>
                <w:bCs/>
                <w:szCs w:val="21"/>
              </w:rPr>
            </w:pPr>
            <w:r>
              <w:rPr>
                <w:rFonts w:eastAsiaTheme="minorEastAsia"/>
                <w:bCs/>
                <w:szCs w:val="21"/>
              </w:rPr>
              <w:t>400</w:t>
            </w:r>
          </w:p>
        </w:tc>
        <w:tc>
          <w:tcPr>
            <w:tcW w:w="1182"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11</w:t>
            </w:r>
          </w:p>
          <w:p>
            <w:pPr>
              <w:snapToGrid w:val="0"/>
              <w:jc w:val="center"/>
              <w:rPr>
                <w:rFonts w:eastAsiaTheme="minorEastAsia"/>
                <w:bCs/>
                <w:szCs w:val="21"/>
              </w:rPr>
            </w:pPr>
            <w:r>
              <w:rPr>
                <w:rFonts w:eastAsiaTheme="minorEastAsia"/>
                <w:bCs/>
                <w:szCs w:val="21"/>
              </w:rPr>
              <w:t>27</w:t>
            </w:r>
          </w:p>
        </w:tc>
        <w:tc>
          <w:tcPr>
            <w:tcW w:w="1183"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16</w:t>
            </w:r>
          </w:p>
          <w:p>
            <w:pPr>
              <w:snapToGrid w:val="0"/>
              <w:jc w:val="center"/>
              <w:rPr>
                <w:rFonts w:eastAsiaTheme="minorEastAsia"/>
                <w:bCs/>
                <w:szCs w:val="21"/>
              </w:rPr>
            </w:pPr>
            <w:r>
              <w:rPr>
                <w:rFonts w:eastAsiaTheme="minorEastAsia"/>
                <w:bCs/>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（1）</w:t>
            </w:r>
          </w:p>
          <w:p>
            <w:pPr>
              <w:snapToGrid w:val="0"/>
              <w:jc w:val="center"/>
              <w:rPr>
                <w:rFonts w:eastAsiaTheme="minorEastAsia"/>
                <w:bCs/>
                <w:szCs w:val="21"/>
              </w:rPr>
            </w:pPr>
            <w:r>
              <w:rPr>
                <w:rFonts w:eastAsiaTheme="minorEastAsia"/>
                <w:bCs/>
                <w:szCs w:val="21"/>
              </w:rPr>
              <w:t>（2）</w:t>
            </w:r>
          </w:p>
        </w:tc>
        <w:tc>
          <w:tcPr>
            <w:tcW w:w="1037"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20</w:t>
            </w:r>
          </w:p>
          <w:p>
            <w:pPr>
              <w:snapToGrid w:val="0"/>
              <w:jc w:val="center"/>
              <w:rPr>
                <w:rFonts w:eastAsiaTheme="minorEastAsia"/>
                <w:bCs/>
                <w:szCs w:val="21"/>
              </w:rPr>
            </w:pPr>
            <w:r>
              <w:rPr>
                <w:rFonts w:eastAsiaTheme="minorEastAsia"/>
                <w:bCs/>
                <w:szCs w:val="21"/>
              </w:rPr>
              <w:t>40</w:t>
            </w:r>
          </w:p>
        </w:tc>
        <w:tc>
          <w:tcPr>
            <w:tcW w:w="1352"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1</w:t>
            </w:r>
          </w:p>
          <w:p>
            <w:pPr>
              <w:snapToGrid w:val="0"/>
              <w:jc w:val="center"/>
              <w:rPr>
                <w:rFonts w:eastAsiaTheme="minorEastAsia"/>
                <w:bCs/>
                <w:szCs w:val="21"/>
              </w:rPr>
            </w:pPr>
            <w:r>
              <w:rPr>
                <w:rFonts w:eastAsiaTheme="minorEastAsia"/>
                <w:bCs/>
                <w:szCs w:val="21"/>
              </w:rPr>
              <w:t>3</w:t>
            </w:r>
          </w:p>
        </w:tc>
        <w:tc>
          <w:tcPr>
            <w:tcW w:w="1081" w:type="dxa"/>
            <w:tcBorders>
              <w:top w:val="single" w:color="auto" w:sz="4" w:space="0"/>
              <w:left w:val="single" w:color="auto" w:sz="4" w:space="0"/>
              <w:bottom w:val="single" w:color="auto" w:sz="4" w:space="0"/>
              <w:right w:val="double" w:color="auto" w:sz="4" w:space="0"/>
            </w:tcBorders>
            <w:vAlign w:val="center"/>
          </w:tcPr>
          <w:p>
            <w:pPr>
              <w:snapToGrid w:val="0"/>
              <w:jc w:val="center"/>
              <w:rPr>
                <w:rFonts w:eastAsiaTheme="minorEastAsia"/>
                <w:bCs/>
                <w:szCs w:val="21"/>
              </w:rPr>
            </w:pPr>
            <w:r>
              <w:rPr>
                <w:rFonts w:eastAsiaTheme="minorEastAsia"/>
                <w:bCs/>
                <w:szCs w:val="21"/>
              </w:rPr>
              <w:t>3</w:t>
            </w:r>
          </w:p>
          <w:p>
            <w:pPr>
              <w:snapToGrid w:val="0"/>
              <w:jc w:val="center"/>
              <w:rPr>
                <w:rFonts w:eastAsiaTheme="minorEastAsia"/>
                <w:bCs/>
                <w:szCs w:val="21"/>
              </w:rPr>
            </w:pPr>
            <w:r>
              <w:rPr>
                <w:rFonts w:eastAsiaTheme="minorEastAsia"/>
                <w:bCs/>
                <w:szCs w:val="21"/>
              </w:rPr>
              <w:t>4</w:t>
            </w:r>
          </w:p>
        </w:tc>
        <w:tc>
          <w:tcPr>
            <w:tcW w:w="924" w:type="dxa"/>
            <w:tcBorders>
              <w:top w:val="single" w:color="auto" w:sz="4" w:space="0"/>
              <w:left w:val="doub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（1）</w:t>
            </w:r>
          </w:p>
          <w:p>
            <w:pPr>
              <w:snapToGrid w:val="0"/>
              <w:jc w:val="center"/>
              <w:rPr>
                <w:rFonts w:eastAsiaTheme="minorEastAsia"/>
                <w:bCs/>
                <w:szCs w:val="21"/>
              </w:rPr>
            </w:pPr>
            <w:r>
              <w:rPr>
                <w:rFonts w:eastAsiaTheme="minorEastAsia"/>
                <w:bCs/>
                <w:szCs w:val="21"/>
              </w:rPr>
              <w:t>（2）</w:t>
            </w:r>
          </w:p>
        </w:tc>
        <w:tc>
          <w:tcPr>
            <w:tcW w:w="900"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315</w:t>
            </w:r>
          </w:p>
          <w:p>
            <w:pPr>
              <w:snapToGrid w:val="0"/>
              <w:jc w:val="center"/>
              <w:rPr>
                <w:rFonts w:eastAsiaTheme="minorEastAsia"/>
                <w:bCs/>
                <w:szCs w:val="21"/>
              </w:rPr>
            </w:pPr>
            <w:r>
              <w:rPr>
                <w:rFonts w:eastAsiaTheme="minorEastAsia"/>
                <w:bCs/>
                <w:szCs w:val="21"/>
              </w:rPr>
              <w:t>630</w:t>
            </w:r>
          </w:p>
        </w:tc>
        <w:tc>
          <w:tcPr>
            <w:tcW w:w="1182"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18</w:t>
            </w:r>
          </w:p>
          <w:p>
            <w:pPr>
              <w:snapToGrid w:val="0"/>
              <w:jc w:val="center"/>
              <w:rPr>
                <w:rFonts w:eastAsiaTheme="minorEastAsia"/>
                <w:bCs/>
                <w:szCs w:val="21"/>
              </w:rPr>
            </w:pPr>
            <w:r>
              <w:rPr>
                <w:rFonts w:eastAsiaTheme="minorEastAsia"/>
                <w:bCs/>
                <w:szCs w:val="21"/>
              </w:rPr>
              <w:t>41</w:t>
            </w:r>
          </w:p>
        </w:tc>
        <w:tc>
          <w:tcPr>
            <w:tcW w:w="1183"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23</w:t>
            </w:r>
          </w:p>
          <w:p>
            <w:pPr>
              <w:snapToGrid w:val="0"/>
              <w:jc w:val="center"/>
              <w:rPr>
                <w:rFonts w:eastAsiaTheme="minorEastAsia"/>
                <w:bCs/>
                <w:szCs w:val="21"/>
              </w:rPr>
            </w:pPr>
            <w:r>
              <w:rPr>
                <w:rFonts w:eastAsiaTheme="minorEastAsia"/>
                <w:bCs/>
                <w:szCs w:val="21"/>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（1）</w:t>
            </w:r>
          </w:p>
          <w:p>
            <w:pPr>
              <w:snapToGrid w:val="0"/>
              <w:jc w:val="center"/>
              <w:rPr>
                <w:rFonts w:eastAsiaTheme="minorEastAsia"/>
                <w:bCs/>
                <w:szCs w:val="21"/>
              </w:rPr>
            </w:pPr>
            <w:r>
              <w:rPr>
                <w:rFonts w:eastAsiaTheme="minorEastAsia"/>
                <w:bCs/>
                <w:szCs w:val="21"/>
              </w:rPr>
              <w:t>（2）</w:t>
            </w:r>
          </w:p>
        </w:tc>
        <w:tc>
          <w:tcPr>
            <w:tcW w:w="1037"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32</w:t>
            </w:r>
          </w:p>
          <w:p>
            <w:pPr>
              <w:snapToGrid w:val="0"/>
              <w:jc w:val="center"/>
              <w:rPr>
                <w:rFonts w:eastAsiaTheme="minorEastAsia"/>
                <w:bCs/>
                <w:szCs w:val="21"/>
              </w:rPr>
            </w:pPr>
            <w:r>
              <w:rPr>
                <w:rFonts w:eastAsiaTheme="minorEastAsia"/>
                <w:bCs/>
                <w:szCs w:val="21"/>
              </w:rPr>
              <w:t>64</w:t>
            </w:r>
          </w:p>
        </w:tc>
        <w:tc>
          <w:tcPr>
            <w:tcW w:w="1352"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2</w:t>
            </w:r>
          </w:p>
          <w:p>
            <w:pPr>
              <w:snapToGrid w:val="0"/>
              <w:jc w:val="center"/>
              <w:rPr>
                <w:rFonts w:eastAsiaTheme="minorEastAsia"/>
                <w:bCs/>
                <w:szCs w:val="21"/>
              </w:rPr>
            </w:pPr>
            <w:r>
              <w:rPr>
                <w:rFonts w:eastAsiaTheme="minorEastAsia"/>
                <w:bCs/>
                <w:szCs w:val="21"/>
              </w:rPr>
              <w:t>5</w:t>
            </w:r>
          </w:p>
        </w:tc>
        <w:tc>
          <w:tcPr>
            <w:tcW w:w="1081" w:type="dxa"/>
            <w:tcBorders>
              <w:top w:val="single" w:color="auto" w:sz="4" w:space="0"/>
              <w:left w:val="single" w:color="auto" w:sz="4" w:space="0"/>
              <w:bottom w:val="single" w:color="auto" w:sz="4" w:space="0"/>
              <w:right w:val="double" w:color="auto" w:sz="4" w:space="0"/>
            </w:tcBorders>
            <w:vAlign w:val="center"/>
          </w:tcPr>
          <w:p>
            <w:pPr>
              <w:snapToGrid w:val="0"/>
              <w:jc w:val="center"/>
              <w:rPr>
                <w:rFonts w:eastAsiaTheme="minorEastAsia"/>
                <w:bCs/>
                <w:szCs w:val="21"/>
              </w:rPr>
            </w:pPr>
            <w:r>
              <w:rPr>
                <w:rFonts w:eastAsiaTheme="minorEastAsia"/>
                <w:bCs/>
                <w:szCs w:val="21"/>
              </w:rPr>
              <w:t>4</w:t>
            </w:r>
          </w:p>
          <w:p>
            <w:pPr>
              <w:snapToGrid w:val="0"/>
              <w:jc w:val="center"/>
              <w:rPr>
                <w:rFonts w:eastAsiaTheme="minorEastAsia"/>
                <w:bCs/>
                <w:szCs w:val="21"/>
              </w:rPr>
            </w:pPr>
            <w:r>
              <w:rPr>
                <w:rFonts w:eastAsiaTheme="minorEastAsia"/>
                <w:bCs/>
                <w:szCs w:val="21"/>
              </w:rPr>
              <w:t>6</w:t>
            </w:r>
          </w:p>
        </w:tc>
        <w:tc>
          <w:tcPr>
            <w:tcW w:w="924" w:type="dxa"/>
            <w:tcBorders>
              <w:top w:val="single" w:color="auto" w:sz="4" w:space="0"/>
              <w:left w:val="doub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w:t>
            </w:r>
          </w:p>
        </w:tc>
        <w:tc>
          <w:tcPr>
            <w:tcW w:w="900"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w:t>
            </w:r>
          </w:p>
        </w:tc>
        <w:tc>
          <w:tcPr>
            <w:tcW w:w="1182"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w:t>
            </w:r>
          </w:p>
        </w:tc>
        <w:tc>
          <w:tcPr>
            <w:tcW w:w="1183"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w:t>
            </w:r>
          </w:p>
        </w:tc>
      </w:tr>
    </w:tbl>
    <w:p>
      <w:pPr>
        <w:snapToGrid w:val="0"/>
        <w:spacing w:after="120" w:afterLines="50" w:line="300" w:lineRule="auto"/>
        <w:ind w:left="-21" w:leftChars="-67" w:hanging="120" w:hangingChars="67"/>
        <w:rPr>
          <w:rFonts w:eastAsiaTheme="minorEastAsia"/>
          <w:bCs/>
          <w:sz w:val="18"/>
          <w:szCs w:val="18"/>
        </w:rPr>
      </w:pPr>
      <w:r>
        <w:rPr>
          <w:rFonts w:eastAsiaTheme="minorEastAsia"/>
          <w:sz w:val="18"/>
          <w:szCs w:val="18"/>
        </w:rPr>
        <w:t>注：</w:t>
      </w:r>
      <w:r>
        <w:rPr>
          <w:rFonts w:eastAsiaTheme="minorEastAsia"/>
          <w:bCs/>
          <w:sz w:val="18"/>
          <w:szCs w:val="18"/>
        </w:rPr>
        <w:t>（1）和（2）表示抽样次数，（2）对应的样本容量为</w:t>
      </w:r>
      <w:r>
        <w:rPr>
          <w:rFonts w:hint="eastAsia" w:eastAsiaTheme="minorEastAsia"/>
          <w:bCs/>
          <w:sz w:val="18"/>
          <w:szCs w:val="18"/>
        </w:rPr>
        <w:t>两</w:t>
      </w:r>
      <w:r>
        <w:rPr>
          <w:rFonts w:eastAsiaTheme="minorEastAsia"/>
          <w:bCs/>
          <w:sz w:val="18"/>
          <w:szCs w:val="18"/>
        </w:rPr>
        <w:t>次抽样的累计数量。</w:t>
      </w:r>
    </w:p>
    <w:p>
      <w:pPr>
        <w:spacing w:line="360" w:lineRule="auto"/>
        <w:ind w:right="282" w:firstLine="481" w:firstLineChars="200"/>
        <w:rPr>
          <w:rFonts w:eastAsiaTheme="minorEastAsia"/>
          <w:b/>
          <w:bCs/>
          <w:sz w:val="24"/>
          <w:szCs w:val="24"/>
        </w:rPr>
      </w:pPr>
      <w:r>
        <w:rPr>
          <w:rFonts w:eastAsiaTheme="minorEastAsia"/>
          <w:b/>
          <w:bCs/>
          <w:sz w:val="24"/>
          <w:szCs w:val="24"/>
        </w:rPr>
        <w:t xml:space="preserve">2  </w:t>
      </w:r>
      <w:r>
        <w:rPr>
          <w:sz w:val="24"/>
          <w:szCs w:val="24"/>
        </w:rPr>
        <w:t>一般项目计数抽样检测批的符合性判定应符合下列规定：</w:t>
      </w:r>
    </w:p>
    <w:p>
      <w:pPr>
        <w:spacing w:line="360" w:lineRule="auto"/>
        <w:ind w:right="284" w:firstLine="480" w:firstLineChars="200"/>
        <w:rPr>
          <w:rFonts w:eastAsiaTheme="minorEastAsia"/>
          <w:bCs/>
          <w:sz w:val="24"/>
          <w:szCs w:val="24"/>
        </w:rPr>
      </w:pPr>
      <w:r>
        <w:rPr>
          <w:rFonts w:eastAsiaTheme="minorEastAsia"/>
          <w:bCs/>
          <w:sz w:val="24"/>
          <w:szCs w:val="24"/>
        </w:rPr>
        <w:t>1）正常一次抽样的判定应按表</w:t>
      </w:r>
      <w:r>
        <w:rPr>
          <w:rFonts w:eastAsiaTheme="minorEastAsia"/>
          <w:sz w:val="24"/>
          <w:szCs w:val="24"/>
        </w:rPr>
        <w:t>3.3.6-3的规定进行</w:t>
      </w:r>
      <w:r>
        <w:rPr>
          <w:rFonts w:eastAsiaTheme="minorEastAsia"/>
          <w:bCs/>
          <w:sz w:val="24"/>
          <w:szCs w:val="24"/>
        </w:rPr>
        <w:t>；</w:t>
      </w:r>
    </w:p>
    <w:p>
      <w:pPr>
        <w:snapToGrid w:val="0"/>
        <w:spacing w:before="120" w:beforeLines="50" w:line="300" w:lineRule="auto"/>
        <w:jc w:val="center"/>
        <w:rPr>
          <w:rFonts w:eastAsiaTheme="minorEastAsia"/>
          <w:b/>
          <w:szCs w:val="21"/>
        </w:rPr>
      </w:pPr>
      <w:r>
        <w:rPr>
          <w:rFonts w:eastAsiaTheme="minorEastAsia"/>
          <w:b/>
          <w:szCs w:val="21"/>
        </w:rPr>
        <w:t>表3.3.6-3   一般项目正常一次抽样的判定</w:t>
      </w:r>
    </w:p>
    <w:tbl>
      <w:tblPr>
        <w:tblStyle w:val="24"/>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1480"/>
        <w:gridCol w:w="1618"/>
        <w:gridCol w:w="1467"/>
        <w:gridCol w:w="1475"/>
        <w:gridCol w:w="1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1007"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样本</w:t>
            </w:r>
          </w:p>
          <w:p>
            <w:pPr>
              <w:snapToGrid w:val="0"/>
              <w:jc w:val="center"/>
              <w:rPr>
                <w:rFonts w:eastAsiaTheme="minorEastAsia"/>
                <w:bCs/>
                <w:szCs w:val="21"/>
              </w:rPr>
            </w:pPr>
            <w:r>
              <w:rPr>
                <w:rFonts w:eastAsiaTheme="minorEastAsia"/>
                <w:bCs/>
                <w:szCs w:val="21"/>
              </w:rPr>
              <w:t>容量</w:t>
            </w:r>
          </w:p>
        </w:tc>
        <w:tc>
          <w:tcPr>
            <w:tcW w:w="1480"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符合性</w:t>
            </w:r>
          </w:p>
          <w:p>
            <w:pPr>
              <w:snapToGrid w:val="0"/>
              <w:jc w:val="center"/>
              <w:rPr>
                <w:rFonts w:eastAsiaTheme="minorEastAsia"/>
                <w:bCs/>
                <w:szCs w:val="21"/>
              </w:rPr>
            </w:pPr>
            <w:r>
              <w:rPr>
                <w:rFonts w:eastAsiaTheme="minorEastAsia"/>
                <w:bCs/>
                <w:szCs w:val="21"/>
              </w:rPr>
              <w:t>判定数</w:t>
            </w:r>
          </w:p>
        </w:tc>
        <w:tc>
          <w:tcPr>
            <w:tcW w:w="1618" w:type="dxa"/>
            <w:tcBorders>
              <w:top w:val="single" w:color="auto" w:sz="4" w:space="0"/>
              <w:left w:val="single" w:color="auto" w:sz="4" w:space="0"/>
              <w:bottom w:val="single" w:color="auto" w:sz="4" w:space="0"/>
              <w:right w:val="double" w:color="auto" w:sz="4" w:space="0"/>
            </w:tcBorders>
            <w:vAlign w:val="center"/>
          </w:tcPr>
          <w:p>
            <w:pPr>
              <w:snapToGrid w:val="0"/>
              <w:jc w:val="center"/>
              <w:rPr>
                <w:rFonts w:eastAsiaTheme="minorEastAsia"/>
                <w:bCs/>
                <w:szCs w:val="21"/>
              </w:rPr>
            </w:pPr>
            <w:r>
              <w:rPr>
                <w:rFonts w:eastAsiaTheme="minorEastAsia"/>
                <w:bCs/>
                <w:szCs w:val="21"/>
              </w:rPr>
              <w:t>不符合</w:t>
            </w:r>
          </w:p>
          <w:p>
            <w:pPr>
              <w:snapToGrid w:val="0"/>
              <w:jc w:val="center"/>
              <w:rPr>
                <w:rFonts w:eastAsiaTheme="minorEastAsia"/>
                <w:bCs/>
                <w:szCs w:val="21"/>
              </w:rPr>
            </w:pPr>
            <w:r>
              <w:rPr>
                <w:rFonts w:eastAsiaTheme="minorEastAsia"/>
                <w:bCs/>
                <w:szCs w:val="21"/>
              </w:rPr>
              <w:t>判定数</w:t>
            </w:r>
          </w:p>
        </w:tc>
        <w:tc>
          <w:tcPr>
            <w:tcW w:w="1467" w:type="dxa"/>
            <w:tcBorders>
              <w:top w:val="single" w:color="auto" w:sz="4" w:space="0"/>
              <w:left w:val="doub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样本</w:t>
            </w:r>
          </w:p>
          <w:p>
            <w:pPr>
              <w:snapToGrid w:val="0"/>
              <w:jc w:val="center"/>
              <w:rPr>
                <w:rFonts w:eastAsiaTheme="minorEastAsia"/>
                <w:bCs/>
                <w:szCs w:val="21"/>
              </w:rPr>
            </w:pPr>
            <w:r>
              <w:rPr>
                <w:rFonts w:eastAsiaTheme="minorEastAsia"/>
                <w:bCs/>
                <w:szCs w:val="21"/>
              </w:rPr>
              <w:t>容量</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符合性</w:t>
            </w:r>
          </w:p>
          <w:p>
            <w:pPr>
              <w:snapToGrid w:val="0"/>
              <w:jc w:val="center"/>
              <w:rPr>
                <w:rFonts w:eastAsiaTheme="minorEastAsia"/>
                <w:bCs/>
                <w:szCs w:val="21"/>
              </w:rPr>
            </w:pPr>
            <w:r>
              <w:rPr>
                <w:rFonts w:eastAsiaTheme="minorEastAsia"/>
                <w:bCs/>
                <w:szCs w:val="21"/>
              </w:rPr>
              <w:t>判定数</w:t>
            </w:r>
          </w:p>
        </w:tc>
        <w:tc>
          <w:tcPr>
            <w:tcW w:w="1458"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bCs/>
                <w:szCs w:val="21"/>
              </w:rPr>
            </w:pPr>
            <w:r>
              <w:rPr>
                <w:rFonts w:eastAsiaTheme="minorEastAsia"/>
                <w:bCs/>
                <w:szCs w:val="21"/>
              </w:rPr>
              <w:t>不符合</w:t>
            </w:r>
          </w:p>
          <w:p>
            <w:pPr>
              <w:snapToGrid w:val="0"/>
              <w:jc w:val="center"/>
              <w:rPr>
                <w:rFonts w:eastAsiaTheme="minorEastAsia"/>
                <w:bCs/>
                <w:szCs w:val="21"/>
              </w:rPr>
            </w:pPr>
            <w:r>
              <w:rPr>
                <w:rFonts w:eastAsiaTheme="minorEastAsia"/>
                <w:bCs/>
                <w:szCs w:val="21"/>
              </w:rPr>
              <w:t>判定数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jc w:val="center"/>
        </w:trPr>
        <w:tc>
          <w:tcPr>
            <w:tcW w:w="1007" w:type="dxa"/>
            <w:tcBorders>
              <w:top w:val="single" w:color="auto" w:sz="4" w:space="0"/>
              <w:left w:val="single" w:color="auto" w:sz="4" w:space="0"/>
              <w:bottom w:val="single" w:color="auto" w:sz="4" w:space="0"/>
              <w:right w:val="single" w:color="auto" w:sz="4" w:space="0"/>
            </w:tcBorders>
          </w:tcPr>
          <w:p>
            <w:pPr>
              <w:spacing w:line="360" w:lineRule="auto"/>
              <w:jc w:val="center"/>
              <w:rPr>
                <w:rFonts w:eastAsiaTheme="minorEastAsia"/>
                <w:bCs/>
                <w:szCs w:val="21"/>
              </w:rPr>
            </w:pPr>
            <w:r>
              <w:rPr>
                <w:rFonts w:eastAsiaTheme="minorEastAsia"/>
                <w:bCs/>
                <w:szCs w:val="21"/>
              </w:rPr>
              <w:t>2~5</w:t>
            </w:r>
          </w:p>
          <w:p>
            <w:pPr>
              <w:spacing w:line="360" w:lineRule="auto"/>
              <w:jc w:val="center"/>
              <w:rPr>
                <w:rFonts w:eastAsiaTheme="minorEastAsia"/>
                <w:bCs/>
                <w:szCs w:val="21"/>
              </w:rPr>
            </w:pPr>
            <w:r>
              <w:rPr>
                <w:rFonts w:eastAsiaTheme="minorEastAsia"/>
                <w:bCs/>
                <w:szCs w:val="21"/>
              </w:rPr>
              <w:t>8</w:t>
            </w:r>
          </w:p>
          <w:p>
            <w:pPr>
              <w:spacing w:line="360" w:lineRule="auto"/>
              <w:jc w:val="center"/>
              <w:rPr>
                <w:rFonts w:eastAsiaTheme="minorEastAsia"/>
                <w:bCs/>
                <w:szCs w:val="21"/>
              </w:rPr>
            </w:pPr>
            <w:r>
              <w:rPr>
                <w:rFonts w:eastAsiaTheme="minorEastAsia"/>
                <w:bCs/>
                <w:szCs w:val="21"/>
              </w:rPr>
              <w:t>13</w:t>
            </w:r>
          </w:p>
          <w:p>
            <w:pPr>
              <w:spacing w:line="360" w:lineRule="auto"/>
              <w:jc w:val="center"/>
              <w:rPr>
                <w:rFonts w:eastAsiaTheme="minorEastAsia"/>
                <w:bCs/>
                <w:szCs w:val="21"/>
              </w:rPr>
            </w:pPr>
            <w:r>
              <w:rPr>
                <w:rFonts w:eastAsiaTheme="minorEastAsia"/>
                <w:bCs/>
                <w:szCs w:val="21"/>
              </w:rPr>
              <w:t>20</w:t>
            </w:r>
          </w:p>
        </w:tc>
        <w:tc>
          <w:tcPr>
            <w:tcW w:w="1480" w:type="dxa"/>
            <w:tcBorders>
              <w:top w:val="single" w:color="auto" w:sz="4" w:space="0"/>
              <w:left w:val="single" w:color="auto" w:sz="4" w:space="0"/>
              <w:bottom w:val="single" w:color="auto" w:sz="4" w:space="0"/>
              <w:right w:val="single" w:color="auto" w:sz="4" w:space="0"/>
            </w:tcBorders>
          </w:tcPr>
          <w:p>
            <w:pPr>
              <w:spacing w:line="360" w:lineRule="auto"/>
              <w:jc w:val="center"/>
              <w:rPr>
                <w:rFonts w:eastAsiaTheme="minorEastAsia"/>
                <w:bCs/>
                <w:szCs w:val="21"/>
              </w:rPr>
            </w:pPr>
            <w:r>
              <w:rPr>
                <w:rFonts w:eastAsiaTheme="minorEastAsia"/>
                <w:bCs/>
                <w:szCs w:val="21"/>
              </w:rPr>
              <w:t>1</w:t>
            </w:r>
          </w:p>
          <w:p>
            <w:pPr>
              <w:spacing w:line="360" w:lineRule="auto"/>
              <w:jc w:val="center"/>
              <w:rPr>
                <w:rFonts w:eastAsiaTheme="minorEastAsia"/>
                <w:bCs/>
                <w:szCs w:val="21"/>
              </w:rPr>
            </w:pPr>
            <w:r>
              <w:rPr>
                <w:rFonts w:eastAsiaTheme="minorEastAsia"/>
                <w:bCs/>
                <w:szCs w:val="21"/>
              </w:rPr>
              <w:t>2</w:t>
            </w:r>
          </w:p>
          <w:p>
            <w:pPr>
              <w:spacing w:line="360" w:lineRule="auto"/>
              <w:jc w:val="center"/>
              <w:rPr>
                <w:rFonts w:eastAsiaTheme="minorEastAsia"/>
                <w:bCs/>
                <w:szCs w:val="21"/>
              </w:rPr>
            </w:pPr>
            <w:r>
              <w:rPr>
                <w:rFonts w:eastAsiaTheme="minorEastAsia"/>
                <w:bCs/>
                <w:szCs w:val="21"/>
              </w:rPr>
              <w:t>3</w:t>
            </w:r>
          </w:p>
          <w:p>
            <w:pPr>
              <w:spacing w:line="360" w:lineRule="auto"/>
              <w:jc w:val="center"/>
              <w:rPr>
                <w:rFonts w:eastAsiaTheme="minorEastAsia"/>
                <w:bCs/>
                <w:szCs w:val="21"/>
              </w:rPr>
            </w:pPr>
            <w:r>
              <w:rPr>
                <w:rFonts w:eastAsiaTheme="minorEastAsia"/>
                <w:bCs/>
                <w:szCs w:val="21"/>
              </w:rPr>
              <w:t>5</w:t>
            </w:r>
          </w:p>
        </w:tc>
        <w:tc>
          <w:tcPr>
            <w:tcW w:w="1618" w:type="dxa"/>
            <w:tcBorders>
              <w:top w:val="single" w:color="auto" w:sz="4" w:space="0"/>
              <w:left w:val="single" w:color="auto" w:sz="4" w:space="0"/>
              <w:bottom w:val="single" w:color="auto" w:sz="4" w:space="0"/>
              <w:right w:val="double" w:color="auto" w:sz="4" w:space="0"/>
            </w:tcBorders>
          </w:tcPr>
          <w:p>
            <w:pPr>
              <w:spacing w:line="360" w:lineRule="auto"/>
              <w:jc w:val="center"/>
              <w:rPr>
                <w:rFonts w:eastAsiaTheme="minorEastAsia"/>
                <w:bCs/>
                <w:szCs w:val="21"/>
              </w:rPr>
            </w:pPr>
            <w:r>
              <w:rPr>
                <w:rFonts w:eastAsiaTheme="minorEastAsia"/>
                <w:bCs/>
                <w:szCs w:val="21"/>
              </w:rPr>
              <w:t>2</w:t>
            </w:r>
          </w:p>
          <w:p>
            <w:pPr>
              <w:spacing w:line="360" w:lineRule="auto"/>
              <w:jc w:val="center"/>
              <w:rPr>
                <w:rFonts w:eastAsiaTheme="minorEastAsia"/>
                <w:bCs/>
                <w:szCs w:val="21"/>
              </w:rPr>
            </w:pPr>
            <w:r>
              <w:rPr>
                <w:rFonts w:eastAsiaTheme="minorEastAsia"/>
                <w:bCs/>
                <w:szCs w:val="21"/>
              </w:rPr>
              <w:t>3</w:t>
            </w:r>
          </w:p>
          <w:p>
            <w:pPr>
              <w:spacing w:line="360" w:lineRule="auto"/>
              <w:jc w:val="center"/>
              <w:rPr>
                <w:rFonts w:eastAsiaTheme="minorEastAsia"/>
                <w:bCs/>
                <w:szCs w:val="21"/>
              </w:rPr>
            </w:pPr>
            <w:r>
              <w:rPr>
                <w:rFonts w:eastAsiaTheme="minorEastAsia"/>
                <w:bCs/>
                <w:szCs w:val="21"/>
              </w:rPr>
              <w:t>4</w:t>
            </w:r>
          </w:p>
          <w:p>
            <w:pPr>
              <w:spacing w:line="360" w:lineRule="auto"/>
              <w:jc w:val="center"/>
              <w:rPr>
                <w:rFonts w:eastAsiaTheme="minorEastAsia"/>
                <w:bCs/>
                <w:szCs w:val="21"/>
              </w:rPr>
            </w:pPr>
            <w:r>
              <w:rPr>
                <w:rFonts w:eastAsiaTheme="minorEastAsia"/>
                <w:bCs/>
                <w:szCs w:val="21"/>
              </w:rPr>
              <w:t>6</w:t>
            </w:r>
          </w:p>
        </w:tc>
        <w:tc>
          <w:tcPr>
            <w:tcW w:w="1467" w:type="dxa"/>
            <w:tcBorders>
              <w:top w:val="single" w:color="auto" w:sz="4" w:space="0"/>
              <w:left w:val="double" w:color="auto" w:sz="4" w:space="0"/>
              <w:bottom w:val="single" w:color="auto" w:sz="4" w:space="0"/>
              <w:right w:val="single" w:color="auto" w:sz="4" w:space="0"/>
            </w:tcBorders>
          </w:tcPr>
          <w:p>
            <w:pPr>
              <w:spacing w:line="360" w:lineRule="auto"/>
              <w:jc w:val="center"/>
              <w:rPr>
                <w:rFonts w:eastAsiaTheme="minorEastAsia"/>
                <w:bCs/>
                <w:szCs w:val="21"/>
              </w:rPr>
            </w:pPr>
            <w:r>
              <w:rPr>
                <w:rFonts w:eastAsiaTheme="minorEastAsia"/>
                <w:bCs/>
                <w:szCs w:val="21"/>
              </w:rPr>
              <w:t>32</w:t>
            </w:r>
          </w:p>
          <w:p>
            <w:pPr>
              <w:spacing w:line="360" w:lineRule="auto"/>
              <w:jc w:val="center"/>
              <w:rPr>
                <w:rFonts w:eastAsiaTheme="minorEastAsia"/>
                <w:bCs/>
                <w:szCs w:val="21"/>
              </w:rPr>
            </w:pPr>
            <w:r>
              <w:rPr>
                <w:rFonts w:eastAsiaTheme="minorEastAsia"/>
                <w:bCs/>
                <w:szCs w:val="21"/>
              </w:rPr>
              <w:t>50</w:t>
            </w:r>
          </w:p>
          <w:p>
            <w:pPr>
              <w:spacing w:line="360" w:lineRule="auto"/>
              <w:jc w:val="center"/>
              <w:rPr>
                <w:rFonts w:eastAsiaTheme="minorEastAsia"/>
                <w:bCs/>
                <w:szCs w:val="21"/>
              </w:rPr>
            </w:pPr>
            <w:r>
              <w:rPr>
                <w:rFonts w:eastAsiaTheme="minorEastAsia"/>
                <w:bCs/>
                <w:szCs w:val="21"/>
              </w:rPr>
              <w:t>80</w:t>
            </w:r>
          </w:p>
          <w:p>
            <w:pPr>
              <w:spacing w:line="360" w:lineRule="auto"/>
              <w:jc w:val="center"/>
              <w:rPr>
                <w:rFonts w:eastAsiaTheme="minorEastAsia"/>
                <w:bCs/>
                <w:szCs w:val="21"/>
              </w:rPr>
            </w:pPr>
            <w:r>
              <w:rPr>
                <w:rFonts w:eastAsiaTheme="minorEastAsia"/>
                <w:bCs/>
                <w:szCs w:val="21"/>
              </w:rPr>
              <w:t>≥125</w:t>
            </w:r>
          </w:p>
        </w:tc>
        <w:tc>
          <w:tcPr>
            <w:tcW w:w="1475" w:type="dxa"/>
            <w:tcBorders>
              <w:top w:val="single" w:color="auto" w:sz="4" w:space="0"/>
              <w:left w:val="single" w:color="auto" w:sz="4" w:space="0"/>
              <w:bottom w:val="single" w:color="auto" w:sz="4" w:space="0"/>
              <w:right w:val="single" w:color="auto" w:sz="4" w:space="0"/>
            </w:tcBorders>
          </w:tcPr>
          <w:p>
            <w:pPr>
              <w:spacing w:line="360" w:lineRule="auto"/>
              <w:jc w:val="center"/>
              <w:rPr>
                <w:rFonts w:eastAsiaTheme="minorEastAsia"/>
                <w:bCs/>
                <w:szCs w:val="21"/>
              </w:rPr>
            </w:pPr>
            <w:r>
              <w:rPr>
                <w:rFonts w:eastAsiaTheme="minorEastAsia"/>
                <w:bCs/>
                <w:szCs w:val="21"/>
              </w:rPr>
              <w:t>7</w:t>
            </w:r>
          </w:p>
          <w:p>
            <w:pPr>
              <w:spacing w:line="360" w:lineRule="auto"/>
              <w:jc w:val="center"/>
              <w:rPr>
                <w:rFonts w:eastAsiaTheme="minorEastAsia"/>
                <w:bCs/>
                <w:szCs w:val="21"/>
              </w:rPr>
            </w:pPr>
            <w:r>
              <w:rPr>
                <w:rFonts w:eastAsiaTheme="minorEastAsia"/>
                <w:bCs/>
                <w:szCs w:val="21"/>
              </w:rPr>
              <w:t>10</w:t>
            </w:r>
          </w:p>
          <w:p>
            <w:pPr>
              <w:spacing w:line="360" w:lineRule="auto"/>
              <w:jc w:val="center"/>
              <w:rPr>
                <w:rFonts w:eastAsiaTheme="minorEastAsia"/>
                <w:bCs/>
                <w:szCs w:val="21"/>
              </w:rPr>
            </w:pPr>
            <w:r>
              <w:rPr>
                <w:rFonts w:eastAsiaTheme="minorEastAsia"/>
                <w:bCs/>
                <w:szCs w:val="21"/>
              </w:rPr>
              <w:t>14</w:t>
            </w:r>
          </w:p>
          <w:p>
            <w:pPr>
              <w:spacing w:line="360" w:lineRule="auto"/>
              <w:jc w:val="center"/>
              <w:rPr>
                <w:rFonts w:eastAsiaTheme="minorEastAsia"/>
                <w:bCs/>
                <w:szCs w:val="21"/>
              </w:rPr>
            </w:pPr>
            <w:r>
              <w:rPr>
                <w:rFonts w:eastAsiaTheme="minorEastAsia"/>
                <w:bCs/>
                <w:szCs w:val="21"/>
              </w:rPr>
              <w:t>21</w:t>
            </w:r>
          </w:p>
        </w:tc>
        <w:tc>
          <w:tcPr>
            <w:tcW w:w="1458" w:type="dxa"/>
            <w:tcBorders>
              <w:top w:val="single" w:color="auto" w:sz="4" w:space="0"/>
              <w:left w:val="single" w:color="auto" w:sz="4" w:space="0"/>
              <w:bottom w:val="single" w:color="auto" w:sz="4" w:space="0"/>
              <w:right w:val="single" w:color="auto" w:sz="4" w:space="0"/>
            </w:tcBorders>
          </w:tcPr>
          <w:p>
            <w:pPr>
              <w:spacing w:line="360" w:lineRule="auto"/>
              <w:jc w:val="center"/>
              <w:rPr>
                <w:rFonts w:eastAsiaTheme="minorEastAsia"/>
                <w:bCs/>
                <w:szCs w:val="21"/>
              </w:rPr>
            </w:pPr>
            <w:r>
              <w:rPr>
                <w:rFonts w:eastAsiaTheme="minorEastAsia"/>
                <w:bCs/>
                <w:szCs w:val="21"/>
              </w:rPr>
              <w:t>8</w:t>
            </w:r>
          </w:p>
          <w:p>
            <w:pPr>
              <w:spacing w:line="360" w:lineRule="auto"/>
              <w:jc w:val="center"/>
              <w:rPr>
                <w:rFonts w:eastAsiaTheme="minorEastAsia"/>
                <w:bCs/>
                <w:szCs w:val="21"/>
              </w:rPr>
            </w:pPr>
            <w:r>
              <w:rPr>
                <w:rFonts w:eastAsiaTheme="minorEastAsia"/>
                <w:bCs/>
                <w:szCs w:val="21"/>
              </w:rPr>
              <w:t>11</w:t>
            </w:r>
          </w:p>
          <w:p>
            <w:pPr>
              <w:spacing w:line="360" w:lineRule="auto"/>
              <w:jc w:val="center"/>
              <w:rPr>
                <w:rFonts w:eastAsiaTheme="minorEastAsia"/>
                <w:bCs/>
                <w:szCs w:val="21"/>
              </w:rPr>
            </w:pPr>
            <w:r>
              <w:rPr>
                <w:rFonts w:eastAsiaTheme="minorEastAsia"/>
                <w:bCs/>
                <w:szCs w:val="21"/>
              </w:rPr>
              <w:t>15</w:t>
            </w:r>
          </w:p>
          <w:p>
            <w:pPr>
              <w:spacing w:line="360" w:lineRule="auto"/>
              <w:jc w:val="center"/>
              <w:rPr>
                <w:rFonts w:eastAsiaTheme="minorEastAsia"/>
                <w:bCs/>
                <w:szCs w:val="21"/>
              </w:rPr>
            </w:pPr>
            <w:r>
              <w:rPr>
                <w:rFonts w:eastAsiaTheme="minorEastAsia"/>
                <w:bCs/>
                <w:szCs w:val="21"/>
              </w:rPr>
              <w:t>22</w:t>
            </w:r>
          </w:p>
        </w:tc>
      </w:tr>
    </w:tbl>
    <w:p>
      <w:pPr>
        <w:spacing w:line="360" w:lineRule="auto"/>
        <w:ind w:right="284" w:firstLine="480" w:firstLineChars="200"/>
        <w:rPr>
          <w:rFonts w:eastAsiaTheme="minorEastAsia"/>
          <w:bCs/>
          <w:sz w:val="24"/>
          <w:szCs w:val="24"/>
        </w:rPr>
      </w:pPr>
      <w:r>
        <w:rPr>
          <w:rFonts w:eastAsiaTheme="minorEastAsia"/>
          <w:bCs/>
          <w:sz w:val="24"/>
          <w:szCs w:val="24"/>
        </w:rPr>
        <w:t>2）正常二次抽样的判定应按表</w:t>
      </w:r>
      <w:r>
        <w:rPr>
          <w:rFonts w:eastAsiaTheme="minorEastAsia"/>
          <w:sz w:val="24"/>
          <w:szCs w:val="24"/>
        </w:rPr>
        <w:t>3.3.6-4的规定进行</w:t>
      </w:r>
      <w:r>
        <w:rPr>
          <w:rFonts w:eastAsiaTheme="minorEastAsia"/>
          <w:bCs/>
          <w:sz w:val="24"/>
          <w:szCs w:val="24"/>
        </w:rPr>
        <w:t>。</w:t>
      </w:r>
    </w:p>
    <w:p>
      <w:pPr>
        <w:snapToGrid w:val="0"/>
        <w:spacing w:before="120" w:beforeLines="50" w:line="300" w:lineRule="auto"/>
        <w:jc w:val="center"/>
        <w:rPr>
          <w:rFonts w:eastAsiaTheme="minorEastAsia"/>
          <w:b/>
          <w:szCs w:val="21"/>
        </w:rPr>
      </w:pPr>
      <w:r>
        <w:rPr>
          <w:rFonts w:eastAsiaTheme="minorEastAsia"/>
          <w:b/>
          <w:szCs w:val="21"/>
        </w:rPr>
        <w:t>表3.3.6-4   一般项目正常二次抽样的判定</w:t>
      </w:r>
    </w:p>
    <w:tbl>
      <w:tblPr>
        <w:tblStyle w:val="24"/>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1009"/>
        <w:gridCol w:w="1306"/>
        <w:gridCol w:w="1138"/>
        <w:gridCol w:w="858"/>
        <w:gridCol w:w="1070"/>
        <w:gridCol w:w="1121"/>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抽样</w:t>
            </w:r>
          </w:p>
          <w:p>
            <w:pPr>
              <w:jc w:val="center"/>
              <w:rPr>
                <w:rFonts w:eastAsiaTheme="minorEastAsia"/>
                <w:bCs/>
                <w:szCs w:val="21"/>
              </w:rPr>
            </w:pPr>
            <w:r>
              <w:rPr>
                <w:rFonts w:eastAsiaTheme="minorEastAsia"/>
                <w:bCs/>
                <w:szCs w:val="21"/>
              </w:rPr>
              <w:t>次数</w:t>
            </w:r>
          </w:p>
        </w:tc>
        <w:tc>
          <w:tcPr>
            <w:tcW w:w="1009"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样本</w:t>
            </w:r>
          </w:p>
          <w:p>
            <w:pPr>
              <w:jc w:val="center"/>
              <w:rPr>
                <w:rFonts w:eastAsiaTheme="minorEastAsia"/>
                <w:bCs/>
                <w:szCs w:val="21"/>
              </w:rPr>
            </w:pPr>
            <w:r>
              <w:rPr>
                <w:rFonts w:eastAsiaTheme="minorEastAsia"/>
                <w:bCs/>
                <w:szCs w:val="21"/>
              </w:rPr>
              <w:t>容量</w:t>
            </w:r>
          </w:p>
        </w:tc>
        <w:tc>
          <w:tcPr>
            <w:tcW w:w="130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符合性</w:t>
            </w:r>
          </w:p>
          <w:p>
            <w:pPr>
              <w:jc w:val="center"/>
              <w:rPr>
                <w:rFonts w:eastAsiaTheme="minorEastAsia"/>
                <w:bCs/>
                <w:szCs w:val="21"/>
              </w:rPr>
            </w:pPr>
            <w:r>
              <w:rPr>
                <w:rFonts w:eastAsiaTheme="minorEastAsia"/>
                <w:bCs/>
                <w:szCs w:val="21"/>
              </w:rPr>
              <w:t>判定数</w:t>
            </w:r>
          </w:p>
        </w:tc>
        <w:tc>
          <w:tcPr>
            <w:tcW w:w="1138" w:type="dxa"/>
            <w:tcBorders>
              <w:top w:val="single" w:color="auto" w:sz="4" w:space="0"/>
              <w:left w:val="single" w:color="auto" w:sz="4" w:space="0"/>
              <w:bottom w:val="single" w:color="auto" w:sz="4" w:space="0"/>
              <w:right w:val="double" w:color="auto" w:sz="4" w:space="0"/>
            </w:tcBorders>
            <w:vAlign w:val="center"/>
          </w:tcPr>
          <w:p>
            <w:pPr>
              <w:jc w:val="center"/>
              <w:rPr>
                <w:rFonts w:eastAsiaTheme="minorEastAsia"/>
                <w:bCs/>
                <w:szCs w:val="21"/>
              </w:rPr>
            </w:pPr>
            <w:r>
              <w:rPr>
                <w:rFonts w:eastAsiaTheme="minorEastAsia"/>
                <w:bCs/>
                <w:szCs w:val="21"/>
              </w:rPr>
              <w:t>不符合</w:t>
            </w:r>
          </w:p>
          <w:p>
            <w:pPr>
              <w:jc w:val="center"/>
              <w:rPr>
                <w:rFonts w:eastAsiaTheme="minorEastAsia"/>
                <w:bCs/>
                <w:szCs w:val="21"/>
              </w:rPr>
            </w:pPr>
            <w:r>
              <w:rPr>
                <w:rFonts w:eastAsiaTheme="minorEastAsia"/>
                <w:bCs/>
                <w:szCs w:val="21"/>
              </w:rPr>
              <w:t>判定数</w:t>
            </w:r>
          </w:p>
        </w:tc>
        <w:tc>
          <w:tcPr>
            <w:tcW w:w="858" w:type="dxa"/>
            <w:tcBorders>
              <w:top w:val="single" w:color="auto" w:sz="4" w:space="0"/>
              <w:left w:val="doub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抽样</w:t>
            </w:r>
          </w:p>
          <w:p>
            <w:pPr>
              <w:jc w:val="center"/>
              <w:rPr>
                <w:rFonts w:eastAsiaTheme="minorEastAsia"/>
                <w:bCs/>
                <w:szCs w:val="21"/>
              </w:rPr>
            </w:pPr>
            <w:r>
              <w:rPr>
                <w:rFonts w:eastAsiaTheme="minorEastAsia"/>
                <w:bCs/>
                <w:szCs w:val="21"/>
              </w:rPr>
              <w:t>次数</w:t>
            </w:r>
          </w:p>
        </w:tc>
        <w:tc>
          <w:tcPr>
            <w:tcW w:w="1070"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样本</w:t>
            </w:r>
          </w:p>
          <w:p>
            <w:pPr>
              <w:jc w:val="center"/>
              <w:rPr>
                <w:rFonts w:eastAsiaTheme="minorEastAsia"/>
                <w:bCs/>
                <w:szCs w:val="21"/>
              </w:rPr>
            </w:pPr>
            <w:r>
              <w:rPr>
                <w:rFonts w:eastAsiaTheme="minorEastAsia"/>
                <w:bCs/>
                <w:szCs w:val="21"/>
              </w:rPr>
              <w:t>容量</w:t>
            </w:r>
          </w:p>
        </w:tc>
        <w:tc>
          <w:tcPr>
            <w:tcW w:w="1121"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符合性</w:t>
            </w:r>
          </w:p>
          <w:p>
            <w:pPr>
              <w:jc w:val="center"/>
              <w:rPr>
                <w:rFonts w:eastAsiaTheme="minorEastAsia"/>
                <w:bCs/>
                <w:szCs w:val="21"/>
              </w:rPr>
            </w:pPr>
            <w:r>
              <w:rPr>
                <w:rFonts w:eastAsiaTheme="minorEastAsia"/>
                <w:bCs/>
                <w:szCs w:val="21"/>
              </w:rPr>
              <w:t>判定数</w:t>
            </w:r>
          </w:p>
        </w:tc>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不符合</w:t>
            </w:r>
          </w:p>
          <w:p>
            <w:pPr>
              <w:jc w:val="center"/>
              <w:rPr>
                <w:rFonts w:eastAsiaTheme="minorEastAsia"/>
                <w:bCs/>
                <w:szCs w:val="21"/>
              </w:rPr>
            </w:pPr>
            <w:r>
              <w:rPr>
                <w:rFonts w:eastAsiaTheme="minorEastAsia"/>
                <w:bCs/>
                <w:szCs w:val="21"/>
              </w:rPr>
              <w:t>判定数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(1)</w:t>
            </w:r>
          </w:p>
          <w:p>
            <w:pPr>
              <w:jc w:val="center"/>
              <w:rPr>
                <w:rFonts w:eastAsiaTheme="minorEastAsia"/>
                <w:bCs/>
                <w:szCs w:val="21"/>
              </w:rPr>
            </w:pPr>
            <w:r>
              <w:rPr>
                <w:rFonts w:eastAsiaTheme="minorEastAsia"/>
                <w:bCs/>
                <w:szCs w:val="21"/>
              </w:rPr>
              <w:t>(2)</w:t>
            </w:r>
          </w:p>
        </w:tc>
        <w:tc>
          <w:tcPr>
            <w:tcW w:w="1009"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2</w:t>
            </w:r>
          </w:p>
          <w:p>
            <w:pPr>
              <w:jc w:val="center"/>
              <w:rPr>
                <w:rFonts w:eastAsiaTheme="minorEastAsia"/>
                <w:bCs/>
                <w:szCs w:val="21"/>
              </w:rPr>
            </w:pPr>
            <w:r>
              <w:rPr>
                <w:rFonts w:eastAsiaTheme="minorEastAsia"/>
                <w:bCs/>
                <w:szCs w:val="21"/>
              </w:rPr>
              <w:t>4</w:t>
            </w:r>
          </w:p>
        </w:tc>
        <w:tc>
          <w:tcPr>
            <w:tcW w:w="130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0</w:t>
            </w:r>
          </w:p>
          <w:p>
            <w:pPr>
              <w:jc w:val="center"/>
              <w:rPr>
                <w:rFonts w:eastAsiaTheme="minorEastAsia"/>
                <w:bCs/>
                <w:szCs w:val="21"/>
              </w:rPr>
            </w:pPr>
            <w:r>
              <w:rPr>
                <w:rFonts w:eastAsiaTheme="minorEastAsia"/>
                <w:bCs/>
                <w:szCs w:val="21"/>
              </w:rPr>
              <w:t>1</w:t>
            </w:r>
          </w:p>
        </w:tc>
        <w:tc>
          <w:tcPr>
            <w:tcW w:w="1138" w:type="dxa"/>
            <w:tcBorders>
              <w:top w:val="single" w:color="auto" w:sz="4" w:space="0"/>
              <w:left w:val="single" w:color="auto" w:sz="4" w:space="0"/>
              <w:bottom w:val="single" w:color="auto" w:sz="4" w:space="0"/>
              <w:right w:val="double" w:color="auto" w:sz="4" w:space="0"/>
            </w:tcBorders>
            <w:vAlign w:val="center"/>
          </w:tcPr>
          <w:p>
            <w:pPr>
              <w:jc w:val="center"/>
              <w:rPr>
                <w:rFonts w:eastAsiaTheme="minorEastAsia"/>
                <w:bCs/>
                <w:szCs w:val="21"/>
              </w:rPr>
            </w:pPr>
            <w:r>
              <w:rPr>
                <w:rFonts w:eastAsiaTheme="minorEastAsia"/>
                <w:bCs/>
                <w:szCs w:val="21"/>
              </w:rPr>
              <w:t>2</w:t>
            </w:r>
          </w:p>
          <w:p>
            <w:pPr>
              <w:jc w:val="center"/>
              <w:rPr>
                <w:rFonts w:eastAsiaTheme="minorEastAsia"/>
                <w:bCs/>
                <w:szCs w:val="21"/>
              </w:rPr>
            </w:pPr>
            <w:r>
              <w:rPr>
                <w:rFonts w:eastAsiaTheme="minorEastAsia"/>
                <w:bCs/>
                <w:szCs w:val="21"/>
              </w:rPr>
              <w:t>2</w:t>
            </w:r>
          </w:p>
        </w:tc>
        <w:tc>
          <w:tcPr>
            <w:tcW w:w="858" w:type="dxa"/>
            <w:tcBorders>
              <w:top w:val="single" w:color="auto" w:sz="4" w:space="0"/>
              <w:left w:val="doub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(1)</w:t>
            </w:r>
          </w:p>
          <w:p>
            <w:pPr>
              <w:jc w:val="center"/>
              <w:rPr>
                <w:rFonts w:eastAsiaTheme="minorEastAsia"/>
                <w:bCs/>
                <w:szCs w:val="21"/>
              </w:rPr>
            </w:pPr>
            <w:r>
              <w:rPr>
                <w:rFonts w:eastAsiaTheme="minorEastAsia"/>
                <w:bCs/>
                <w:szCs w:val="21"/>
              </w:rPr>
              <w:t>(2)</w:t>
            </w:r>
          </w:p>
        </w:tc>
        <w:tc>
          <w:tcPr>
            <w:tcW w:w="1070"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80</w:t>
            </w:r>
          </w:p>
          <w:p>
            <w:pPr>
              <w:jc w:val="center"/>
              <w:rPr>
                <w:rFonts w:eastAsiaTheme="minorEastAsia"/>
                <w:bCs/>
                <w:szCs w:val="21"/>
              </w:rPr>
            </w:pPr>
            <w:r>
              <w:rPr>
                <w:rFonts w:eastAsiaTheme="minorEastAsia"/>
                <w:bCs/>
                <w:szCs w:val="21"/>
              </w:rPr>
              <w:t>160</w:t>
            </w:r>
          </w:p>
        </w:tc>
        <w:tc>
          <w:tcPr>
            <w:tcW w:w="1121"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11</w:t>
            </w:r>
          </w:p>
          <w:p>
            <w:pPr>
              <w:jc w:val="center"/>
              <w:rPr>
                <w:rFonts w:eastAsiaTheme="minorEastAsia"/>
                <w:bCs/>
                <w:szCs w:val="21"/>
              </w:rPr>
            </w:pPr>
            <w:r>
              <w:rPr>
                <w:rFonts w:eastAsiaTheme="minorEastAsia"/>
                <w:bCs/>
                <w:szCs w:val="21"/>
              </w:rPr>
              <w:t>26</w:t>
            </w:r>
          </w:p>
        </w:tc>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16</w:t>
            </w:r>
          </w:p>
          <w:p>
            <w:pPr>
              <w:jc w:val="center"/>
              <w:rPr>
                <w:rFonts w:eastAsiaTheme="minorEastAsia"/>
                <w:bCs/>
                <w:szCs w:val="21"/>
              </w:rPr>
            </w:pPr>
            <w:r>
              <w:rPr>
                <w:rFonts w:eastAsiaTheme="minorEastAsia"/>
                <w:bCs/>
                <w:szCs w:val="21"/>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(1)</w:t>
            </w:r>
          </w:p>
          <w:p>
            <w:pPr>
              <w:jc w:val="center"/>
              <w:rPr>
                <w:rFonts w:eastAsiaTheme="minorEastAsia"/>
                <w:bCs/>
                <w:szCs w:val="21"/>
              </w:rPr>
            </w:pPr>
            <w:r>
              <w:rPr>
                <w:rFonts w:eastAsiaTheme="minorEastAsia"/>
                <w:bCs/>
                <w:szCs w:val="21"/>
              </w:rPr>
              <w:t>(2)</w:t>
            </w:r>
          </w:p>
        </w:tc>
        <w:tc>
          <w:tcPr>
            <w:tcW w:w="1009"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3</w:t>
            </w:r>
          </w:p>
          <w:p>
            <w:pPr>
              <w:jc w:val="center"/>
              <w:rPr>
                <w:rFonts w:eastAsiaTheme="minorEastAsia"/>
                <w:bCs/>
                <w:szCs w:val="21"/>
              </w:rPr>
            </w:pPr>
            <w:r>
              <w:rPr>
                <w:rFonts w:eastAsiaTheme="minorEastAsia"/>
                <w:bCs/>
                <w:szCs w:val="21"/>
              </w:rPr>
              <w:t>6</w:t>
            </w:r>
          </w:p>
        </w:tc>
        <w:tc>
          <w:tcPr>
            <w:tcW w:w="130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0</w:t>
            </w:r>
          </w:p>
          <w:p>
            <w:pPr>
              <w:jc w:val="center"/>
              <w:rPr>
                <w:rFonts w:eastAsiaTheme="minorEastAsia"/>
                <w:bCs/>
                <w:szCs w:val="21"/>
              </w:rPr>
            </w:pPr>
            <w:r>
              <w:rPr>
                <w:rFonts w:eastAsiaTheme="minorEastAsia"/>
                <w:bCs/>
                <w:szCs w:val="21"/>
              </w:rPr>
              <w:t>1</w:t>
            </w:r>
          </w:p>
        </w:tc>
        <w:tc>
          <w:tcPr>
            <w:tcW w:w="1138" w:type="dxa"/>
            <w:tcBorders>
              <w:top w:val="single" w:color="auto" w:sz="4" w:space="0"/>
              <w:left w:val="single" w:color="auto" w:sz="4" w:space="0"/>
              <w:bottom w:val="single" w:color="auto" w:sz="4" w:space="0"/>
              <w:right w:val="double" w:color="auto" w:sz="4" w:space="0"/>
            </w:tcBorders>
            <w:vAlign w:val="center"/>
          </w:tcPr>
          <w:p>
            <w:pPr>
              <w:jc w:val="center"/>
              <w:rPr>
                <w:rFonts w:eastAsiaTheme="minorEastAsia"/>
                <w:bCs/>
                <w:szCs w:val="21"/>
              </w:rPr>
            </w:pPr>
            <w:r>
              <w:rPr>
                <w:rFonts w:eastAsiaTheme="minorEastAsia"/>
                <w:bCs/>
                <w:szCs w:val="21"/>
              </w:rPr>
              <w:t>2</w:t>
            </w:r>
          </w:p>
          <w:p>
            <w:pPr>
              <w:jc w:val="center"/>
              <w:rPr>
                <w:rFonts w:eastAsiaTheme="minorEastAsia"/>
                <w:bCs/>
                <w:szCs w:val="21"/>
              </w:rPr>
            </w:pPr>
            <w:r>
              <w:rPr>
                <w:rFonts w:eastAsiaTheme="minorEastAsia"/>
                <w:bCs/>
                <w:szCs w:val="21"/>
              </w:rPr>
              <w:t>2</w:t>
            </w:r>
          </w:p>
        </w:tc>
        <w:tc>
          <w:tcPr>
            <w:tcW w:w="858" w:type="dxa"/>
            <w:tcBorders>
              <w:top w:val="single" w:color="auto" w:sz="4" w:space="0"/>
              <w:left w:val="doub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(1)</w:t>
            </w:r>
          </w:p>
          <w:p>
            <w:pPr>
              <w:jc w:val="center"/>
              <w:rPr>
                <w:rFonts w:eastAsiaTheme="minorEastAsia"/>
                <w:bCs/>
                <w:szCs w:val="21"/>
              </w:rPr>
            </w:pPr>
            <w:r>
              <w:rPr>
                <w:rFonts w:eastAsiaTheme="minorEastAsia"/>
                <w:bCs/>
                <w:szCs w:val="21"/>
              </w:rPr>
              <w:t>(2)</w:t>
            </w:r>
          </w:p>
        </w:tc>
        <w:tc>
          <w:tcPr>
            <w:tcW w:w="1070"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125</w:t>
            </w:r>
          </w:p>
          <w:p>
            <w:pPr>
              <w:jc w:val="center"/>
              <w:rPr>
                <w:rFonts w:eastAsiaTheme="minorEastAsia"/>
                <w:bCs/>
                <w:szCs w:val="21"/>
              </w:rPr>
            </w:pPr>
            <w:r>
              <w:rPr>
                <w:rFonts w:eastAsiaTheme="minorEastAsia"/>
                <w:bCs/>
                <w:szCs w:val="21"/>
              </w:rPr>
              <w:t>250</w:t>
            </w:r>
          </w:p>
        </w:tc>
        <w:tc>
          <w:tcPr>
            <w:tcW w:w="1121"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11</w:t>
            </w:r>
          </w:p>
          <w:p>
            <w:pPr>
              <w:jc w:val="center"/>
              <w:rPr>
                <w:rFonts w:eastAsiaTheme="minorEastAsia"/>
                <w:bCs/>
                <w:szCs w:val="21"/>
              </w:rPr>
            </w:pPr>
            <w:r>
              <w:rPr>
                <w:rFonts w:eastAsiaTheme="minorEastAsia"/>
                <w:bCs/>
                <w:szCs w:val="21"/>
              </w:rPr>
              <w:t>26</w:t>
            </w:r>
          </w:p>
        </w:tc>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16</w:t>
            </w:r>
          </w:p>
          <w:p>
            <w:pPr>
              <w:jc w:val="center"/>
              <w:rPr>
                <w:rFonts w:eastAsiaTheme="minorEastAsia"/>
                <w:bCs/>
                <w:szCs w:val="21"/>
              </w:rPr>
            </w:pPr>
            <w:r>
              <w:rPr>
                <w:rFonts w:eastAsiaTheme="minorEastAsia"/>
                <w:bCs/>
                <w:szCs w:val="21"/>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(1)</w:t>
            </w:r>
          </w:p>
          <w:p>
            <w:pPr>
              <w:jc w:val="center"/>
              <w:rPr>
                <w:rFonts w:eastAsiaTheme="minorEastAsia"/>
                <w:bCs/>
                <w:szCs w:val="21"/>
              </w:rPr>
            </w:pPr>
            <w:r>
              <w:rPr>
                <w:rFonts w:eastAsiaTheme="minorEastAsia"/>
                <w:bCs/>
                <w:szCs w:val="21"/>
              </w:rPr>
              <w:t>(2)</w:t>
            </w:r>
          </w:p>
        </w:tc>
        <w:tc>
          <w:tcPr>
            <w:tcW w:w="1009"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5</w:t>
            </w:r>
          </w:p>
          <w:p>
            <w:pPr>
              <w:jc w:val="center"/>
              <w:rPr>
                <w:rFonts w:eastAsiaTheme="minorEastAsia"/>
                <w:bCs/>
                <w:szCs w:val="21"/>
              </w:rPr>
            </w:pPr>
            <w:r>
              <w:rPr>
                <w:rFonts w:eastAsiaTheme="minorEastAsia"/>
                <w:bCs/>
                <w:szCs w:val="21"/>
              </w:rPr>
              <w:t>10</w:t>
            </w:r>
          </w:p>
        </w:tc>
        <w:tc>
          <w:tcPr>
            <w:tcW w:w="130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0</w:t>
            </w:r>
          </w:p>
          <w:p>
            <w:pPr>
              <w:jc w:val="center"/>
              <w:rPr>
                <w:rFonts w:eastAsiaTheme="minorEastAsia"/>
                <w:bCs/>
                <w:szCs w:val="21"/>
              </w:rPr>
            </w:pPr>
            <w:r>
              <w:rPr>
                <w:rFonts w:eastAsiaTheme="minorEastAsia"/>
                <w:bCs/>
                <w:szCs w:val="21"/>
              </w:rPr>
              <w:t>3</w:t>
            </w:r>
          </w:p>
        </w:tc>
        <w:tc>
          <w:tcPr>
            <w:tcW w:w="1138" w:type="dxa"/>
            <w:tcBorders>
              <w:top w:val="single" w:color="auto" w:sz="4" w:space="0"/>
              <w:left w:val="single" w:color="auto" w:sz="4" w:space="0"/>
              <w:bottom w:val="single" w:color="auto" w:sz="4" w:space="0"/>
              <w:right w:val="double" w:color="auto" w:sz="4" w:space="0"/>
            </w:tcBorders>
            <w:vAlign w:val="center"/>
          </w:tcPr>
          <w:p>
            <w:pPr>
              <w:jc w:val="center"/>
              <w:rPr>
                <w:rFonts w:eastAsiaTheme="minorEastAsia"/>
                <w:bCs/>
                <w:szCs w:val="21"/>
              </w:rPr>
            </w:pPr>
            <w:r>
              <w:rPr>
                <w:rFonts w:eastAsiaTheme="minorEastAsia"/>
                <w:bCs/>
                <w:szCs w:val="21"/>
              </w:rPr>
              <w:t>3</w:t>
            </w:r>
          </w:p>
          <w:p>
            <w:pPr>
              <w:jc w:val="center"/>
              <w:rPr>
                <w:rFonts w:eastAsiaTheme="minorEastAsia"/>
                <w:bCs/>
                <w:szCs w:val="21"/>
              </w:rPr>
            </w:pPr>
            <w:r>
              <w:rPr>
                <w:rFonts w:eastAsiaTheme="minorEastAsia"/>
                <w:bCs/>
                <w:szCs w:val="21"/>
              </w:rPr>
              <w:t>4</w:t>
            </w:r>
          </w:p>
        </w:tc>
        <w:tc>
          <w:tcPr>
            <w:tcW w:w="858" w:type="dxa"/>
            <w:tcBorders>
              <w:top w:val="single" w:color="auto" w:sz="4" w:space="0"/>
              <w:left w:val="doub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(1)</w:t>
            </w:r>
          </w:p>
          <w:p>
            <w:pPr>
              <w:jc w:val="center"/>
              <w:rPr>
                <w:rFonts w:eastAsiaTheme="minorEastAsia"/>
                <w:bCs/>
                <w:szCs w:val="21"/>
              </w:rPr>
            </w:pPr>
            <w:r>
              <w:rPr>
                <w:rFonts w:eastAsiaTheme="minorEastAsia"/>
                <w:bCs/>
                <w:szCs w:val="21"/>
              </w:rPr>
              <w:t>(2)</w:t>
            </w:r>
          </w:p>
        </w:tc>
        <w:tc>
          <w:tcPr>
            <w:tcW w:w="1070"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200</w:t>
            </w:r>
          </w:p>
          <w:p>
            <w:pPr>
              <w:jc w:val="center"/>
              <w:rPr>
                <w:rFonts w:eastAsiaTheme="minorEastAsia"/>
                <w:bCs/>
                <w:szCs w:val="21"/>
              </w:rPr>
            </w:pPr>
            <w:r>
              <w:rPr>
                <w:rFonts w:eastAsiaTheme="minorEastAsia"/>
                <w:bCs/>
                <w:szCs w:val="21"/>
              </w:rPr>
              <w:t>400</w:t>
            </w:r>
          </w:p>
        </w:tc>
        <w:tc>
          <w:tcPr>
            <w:tcW w:w="1121"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11</w:t>
            </w:r>
          </w:p>
          <w:p>
            <w:pPr>
              <w:jc w:val="center"/>
              <w:rPr>
                <w:rFonts w:eastAsiaTheme="minorEastAsia"/>
                <w:bCs/>
                <w:szCs w:val="21"/>
              </w:rPr>
            </w:pPr>
            <w:r>
              <w:rPr>
                <w:rFonts w:eastAsiaTheme="minorEastAsia"/>
                <w:bCs/>
                <w:szCs w:val="21"/>
              </w:rPr>
              <w:t>26</w:t>
            </w:r>
          </w:p>
        </w:tc>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16</w:t>
            </w:r>
          </w:p>
          <w:p>
            <w:pPr>
              <w:jc w:val="center"/>
              <w:rPr>
                <w:rFonts w:eastAsiaTheme="minorEastAsia"/>
                <w:bCs/>
                <w:szCs w:val="21"/>
              </w:rPr>
            </w:pPr>
            <w:r>
              <w:rPr>
                <w:rFonts w:eastAsiaTheme="minorEastAsia"/>
                <w:bCs/>
                <w:szCs w:val="21"/>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(1)</w:t>
            </w:r>
          </w:p>
          <w:p>
            <w:pPr>
              <w:jc w:val="center"/>
              <w:rPr>
                <w:rFonts w:eastAsiaTheme="minorEastAsia"/>
                <w:bCs/>
                <w:szCs w:val="21"/>
              </w:rPr>
            </w:pPr>
            <w:r>
              <w:rPr>
                <w:rFonts w:eastAsiaTheme="minorEastAsia"/>
                <w:bCs/>
                <w:szCs w:val="21"/>
              </w:rPr>
              <w:t>(2)</w:t>
            </w:r>
          </w:p>
        </w:tc>
        <w:tc>
          <w:tcPr>
            <w:tcW w:w="1009"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8</w:t>
            </w:r>
          </w:p>
          <w:p>
            <w:pPr>
              <w:jc w:val="center"/>
              <w:rPr>
                <w:rFonts w:eastAsiaTheme="minorEastAsia"/>
                <w:bCs/>
                <w:szCs w:val="21"/>
              </w:rPr>
            </w:pPr>
            <w:r>
              <w:rPr>
                <w:rFonts w:eastAsiaTheme="minorEastAsia"/>
                <w:bCs/>
                <w:szCs w:val="21"/>
              </w:rPr>
              <w:t>16</w:t>
            </w:r>
          </w:p>
        </w:tc>
        <w:tc>
          <w:tcPr>
            <w:tcW w:w="130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1</w:t>
            </w:r>
          </w:p>
          <w:p>
            <w:pPr>
              <w:jc w:val="center"/>
              <w:rPr>
                <w:rFonts w:eastAsiaTheme="minorEastAsia"/>
                <w:bCs/>
                <w:szCs w:val="21"/>
              </w:rPr>
            </w:pPr>
            <w:r>
              <w:rPr>
                <w:rFonts w:eastAsiaTheme="minorEastAsia"/>
                <w:bCs/>
                <w:szCs w:val="21"/>
              </w:rPr>
              <w:t>4</w:t>
            </w:r>
          </w:p>
        </w:tc>
        <w:tc>
          <w:tcPr>
            <w:tcW w:w="1138" w:type="dxa"/>
            <w:tcBorders>
              <w:top w:val="single" w:color="auto" w:sz="4" w:space="0"/>
              <w:left w:val="single" w:color="auto" w:sz="4" w:space="0"/>
              <w:bottom w:val="single" w:color="auto" w:sz="4" w:space="0"/>
              <w:right w:val="double" w:color="auto" w:sz="4" w:space="0"/>
            </w:tcBorders>
            <w:vAlign w:val="center"/>
          </w:tcPr>
          <w:p>
            <w:pPr>
              <w:jc w:val="center"/>
              <w:rPr>
                <w:rFonts w:eastAsiaTheme="minorEastAsia"/>
                <w:bCs/>
                <w:szCs w:val="21"/>
              </w:rPr>
            </w:pPr>
            <w:r>
              <w:rPr>
                <w:rFonts w:eastAsiaTheme="minorEastAsia"/>
                <w:bCs/>
                <w:szCs w:val="21"/>
              </w:rPr>
              <w:t>3</w:t>
            </w:r>
          </w:p>
          <w:p>
            <w:pPr>
              <w:jc w:val="center"/>
              <w:rPr>
                <w:rFonts w:eastAsiaTheme="minorEastAsia"/>
                <w:bCs/>
                <w:szCs w:val="21"/>
              </w:rPr>
            </w:pPr>
            <w:r>
              <w:rPr>
                <w:rFonts w:eastAsiaTheme="minorEastAsia"/>
                <w:bCs/>
                <w:szCs w:val="21"/>
              </w:rPr>
              <w:t>5</w:t>
            </w:r>
          </w:p>
        </w:tc>
        <w:tc>
          <w:tcPr>
            <w:tcW w:w="858" w:type="dxa"/>
            <w:tcBorders>
              <w:top w:val="single" w:color="auto" w:sz="4" w:space="0"/>
              <w:left w:val="doub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(1)</w:t>
            </w:r>
          </w:p>
          <w:p>
            <w:pPr>
              <w:jc w:val="center"/>
              <w:rPr>
                <w:rFonts w:eastAsiaTheme="minorEastAsia"/>
                <w:bCs/>
                <w:szCs w:val="21"/>
              </w:rPr>
            </w:pPr>
            <w:r>
              <w:rPr>
                <w:rFonts w:eastAsiaTheme="minorEastAsia"/>
                <w:bCs/>
                <w:szCs w:val="21"/>
              </w:rPr>
              <w:t>(2)</w:t>
            </w:r>
          </w:p>
        </w:tc>
        <w:tc>
          <w:tcPr>
            <w:tcW w:w="1070"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315</w:t>
            </w:r>
          </w:p>
          <w:p>
            <w:pPr>
              <w:jc w:val="center"/>
              <w:rPr>
                <w:rFonts w:eastAsiaTheme="minorEastAsia"/>
                <w:bCs/>
                <w:szCs w:val="21"/>
              </w:rPr>
            </w:pPr>
            <w:r>
              <w:rPr>
                <w:rFonts w:eastAsiaTheme="minorEastAsia"/>
                <w:bCs/>
                <w:szCs w:val="21"/>
              </w:rPr>
              <w:t>630</w:t>
            </w:r>
          </w:p>
        </w:tc>
        <w:tc>
          <w:tcPr>
            <w:tcW w:w="1121"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11</w:t>
            </w:r>
          </w:p>
          <w:p>
            <w:pPr>
              <w:jc w:val="center"/>
              <w:rPr>
                <w:rFonts w:eastAsiaTheme="minorEastAsia"/>
                <w:bCs/>
                <w:szCs w:val="21"/>
              </w:rPr>
            </w:pPr>
            <w:r>
              <w:rPr>
                <w:rFonts w:eastAsiaTheme="minorEastAsia"/>
                <w:bCs/>
                <w:szCs w:val="21"/>
              </w:rPr>
              <w:t>26</w:t>
            </w:r>
          </w:p>
        </w:tc>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16</w:t>
            </w:r>
          </w:p>
          <w:p>
            <w:pPr>
              <w:jc w:val="center"/>
              <w:rPr>
                <w:rFonts w:eastAsiaTheme="minorEastAsia"/>
                <w:bCs/>
                <w:szCs w:val="21"/>
              </w:rPr>
            </w:pPr>
            <w:r>
              <w:rPr>
                <w:rFonts w:eastAsiaTheme="minorEastAsia"/>
                <w:bCs/>
                <w:szCs w:val="21"/>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(1)</w:t>
            </w:r>
          </w:p>
          <w:p>
            <w:pPr>
              <w:jc w:val="center"/>
              <w:rPr>
                <w:rFonts w:eastAsiaTheme="minorEastAsia"/>
                <w:bCs/>
                <w:szCs w:val="21"/>
              </w:rPr>
            </w:pPr>
            <w:r>
              <w:rPr>
                <w:rFonts w:eastAsiaTheme="minorEastAsia"/>
                <w:bCs/>
                <w:szCs w:val="21"/>
              </w:rPr>
              <w:t>(2)</w:t>
            </w:r>
          </w:p>
        </w:tc>
        <w:tc>
          <w:tcPr>
            <w:tcW w:w="1009"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13</w:t>
            </w:r>
          </w:p>
          <w:p>
            <w:pPr>
              <w:jc w:val="center"/>
              <w:rPr>
                <w:rFonts w:eastAsiaTheme="minorEastAsia"/>
                <w:bCs/>
                <w:szCs w:val="21"/>
              </w:rPr>
            </w:pPr>
            <w:r>
              <w:rPr>
                <w:rFonts w:eastAsiaTheme="minorEastAsia"/>
                <w:bCs/>
                <w:szCs w:val="21"/>
              </w:rPr>
              <w:t>26</w:t>
            </w:r>
          </w:p>
        </w:tc>
        <w:tc>
          <w:tcPr>
            <w:tcW w:w="130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2</w:t>
            </w:r>
          </w:p>
          <w:p>
            <w:pPr>
              <w:jc w:val="center"/>
              <w:rPr>
                <w:rFonts w:eastAsiaTheme="minorEastAsia"/>
                <w:bCs/>
                <w:szCs w:val="21"/>
              </w:rPr>
            </w:pPr>
            <w:r>
              <w:rPr>
                <w:rFonts w:eastAsiaTheme="minorEastAsia"/>
                <w:bCs/>
                <w:szCs w:val="21"/>
              </w:rPr>
              <w:t>6</w:t>
            </w:r>
          </w:p>
        </w:tc>
        <w:tc>
          <w:tcPr>
            <w:tcW w:w="1138" w:type="dxa"/>
            <w:tcBorders>
              <w:top w:val="single" w:color="auto" w:sz="4" w:space="0"/>
              <w:left w:val="single" w:color="auto" w:sz="4" w:space="0"/>
              <w:bottom w:val="single" w:color="auto" w:sz="4" w:space="0"/>
              <w:right w:val="double" w:color="auto" w:sz="4" w:space="0"/>
            </w:tcBorders>
            <w:vAlign w:val="center"/>
          </w:tcPr>
          <w:p>
            <w:pPr>
              <w:jc w:val="center"/>
              <w:rPr>
                <w:rFonts w:eastAsiaTheme="minorEastAsia"/>
                <w:bCs/>
                <w:szCs w:val="21"/>
              </w:rPr>
            </w:pPr>
            <w:r>
              <w:rPr>
                <w:rFonts w:eastAsiaTheme="minorEastAsia"/>
                <w:bCs/>
                <w:szCs w:val="21"/>
              </w:rPr>
              <w:t>5</w:t>
            </w:r>
          </w:p>
          <w:p>
            <w:pPr>
              <w:jc w:val="center"/>
              <w:rPr>
                <w:rFonts w:eastAsiaTheme="minorEastAsia"/>
                <w:bCs/>
                <w:szCs w:val="21"/>
              </w:rPr>
            </w:pPr>
            <w:r>
              <w:rPr>
                <w:rFonts w:eastAsiaTheme="minorEastAsia"/>
                <w:bCs/>
                <w:szCs w:val="21"/>
              </w:rPr>
              <w:t>7</w:t>
            </w:r>
          </w:p>
        </w:tc>
        <w:tc>
          <w:tcPr>
            <w:tcW w:w="858" w:type="dxa"/>
            <w:tcBorders>
              <w:top w:val="single" w:color="auto" w:sz="4" w:space="0"/>
              <w:left w:val="doub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(1)</w:t>
            </w:r>
          </w:p>
          <w:p>
            <w:pPr>
              <w:jc w:val="center"/>
              <w:rPr>
                <w:rFonts w:eastAsiaTheme="minorEastAsia"/>
                <w:bCs/>
                <w:szCs w:val="21"/>
              </w:rPr>
            </w:pPr>
            <w:r>
              <w:rPr>
                <w:rFonts w:eastAsiaTheme="minorEastAsia"/>
                <w:bCs/>
                <w:szCs w:val="21"/>
              </w:rPr>
              <w:t>(2)</w:t>
            </w:r>
          </w:p>
        </w:tc>
        <w:tc>
          <w:tcPr>
            <w:tcW w:w="1070"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500</w:t>
            </w:r>
          </w:p>
          <w:p>
            <w:pPr>
              <w:jc w:val="center"/>
              <w:rPr>
                <w:rFonts w:eastAsiaTheme="minorEastAsia"/>
                <w:bCs/>
                <w:szCs w:val="21"/>
              </w:rPr>
            </w:pPr>
            <w:r>
              <w:rPr>
                <w:rFonts w:eastAsiaTheme="minorEastAsia"/>
                <w:bCs/>
                <w:szCs w:val="21"/>
              </w:rPr>
              <w:t>1000</w:t>
            </w:r>
          </w:p>
        </w:tc>
        <w:tc>
          <w:tcPr>
            <w:tcW w:w="1121"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11</w:t>
            </w:r>
          </w:p>
          <w:p>
            <w:pPr>
              <w:jc w:val="center"/>
              <w:rPr>
                <w:rFonts w:eastAsiaTheme="minorEastAsia"/>
                <w:bCs/>
                <w:szCs w:val="21"/>
              </w:rPr>
            </w:pPr>
            <w:r>
              <w:rPr>
                <w:rFonts w:eastAsiaTheme="minorEastAsia"/>
                <w:bCs/>
                <w:szCs w:val="21"/>
              </w:rPr>
              <w:t>26</w:t>
            </w:r>
          </w:p>
        </w:tc>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16</w:t>
            </w:r>
          </w:p>
          <w:p>
            <w:pPr>
              <w:jc w:val="center"/>
              <w:rPr>
                <w:rFonts w:eastAsiaTheme="minorEastAsia"/>
                <w:bCs/>
                <w:szCs w:val="21"/>
              </w:rPr>
            </w:pPr>
            <w:r>
              <w:rPr>
                <w:rFonts w:eastAsiaTheme="minorEastAsia"/>
                <w:bCs/>
                <w:szCs w:val="21"/>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(1)</w:t>
            </w:r>
          </w:p>
          <w:p>
            <w:pPr>
              <w:jc w:val="center"/>
              <w:rPr>
                <w:rFonts w:eastAsiaTheme="minorEastAsia"/>
                <w:bCs/>
                <w:szCs w:val="21"/>
              </w:rPr>
            </w:pPr>
            <w:r>
              <w:rPr>
                <w:rFonts w:eastAsiaTheme="minorEastAsia"/>
                <w:bCs/>
                <w:szCs w:val="21"/>
              </w:rPr>
              <w:t>(2)</w:t>
            </w:r>
          </w:p>
        </w:tc>
        <w:tc>
          <w:tcPr>
            <w:tcW w:w="1009"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20</w:t>
            </w:r>
          </w:p>
          <w:p>
            <w:pPr>
              <w:jc w:val="center"/>
              <w:rPr>
                <w:rFonts w:eastAsiaTheme="minorEastAsia"/>
                <w:bCs/>
                <w:szCs w:val="21"/>
              </w:rPr>
            </w:pPr>
            <w:r>
              <w:rPr>
                <w:rFonts w:eastAsiaTheme="minorEastAsia"/>
                <w:bCs/>
                <w:szCs w:val="21"/>
              </w:rPr>
              <w:t>40</w:t>
            </w:r>
          </w:p>
        </w:tc>
        <w:tc>
          <w:tcPr>
            <w:tcW w:w="130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3</w:t>
            </w:r>
          </w:p>
          <w:p>
            <w:pPr>
              <w:jc w:val="center"/>
              <w:rPr>
                <w:rFonts w:eastAsiaTheme="minorEastAsia"/>
                <w:bCs/>
                <w:szCs w:val="21"/>
              </w:rPr>
            </w:pPr>
            <w:r>
              <w:rPr>
                <w:rFonts w:eastAsiaTheme="minorEastAsia"/>
                <w:bCs/>
                <w:szCs w:val="21"/>
              </w:rPr>
              <w:t>9</w:t>
            </w:r>
          </w:p>
        </w:tc>
        <w:tc>
          <w:tcPr>
            <w:tcW w:w="1138" w:type="dxa"/>
            <w:tcBorders>
              <w:top w:val="single" w:color="auto" w:sz="4" w:space="0"/>
              <w:left w:val="single" w:color="auto" w:sz="4" w:space="0"/>
              <w:bottom w:val="single" w:color="auto" w:sz="4" w:space="0"/>
              <w:right w:val="double" w:color="auto" w:sz="4" w:space="0"/>
            </w:tcBorders>
            <w:vAlign w:val="center"/>
          </w:tcPr>
          <w:p>
            <w:pPr>
              <w:jc w:val="center"/>
              <w:rPr>
                <w:rFonts w:eastAsiaTheme="minorEastAsia"/>
                <w:bCs/>
                <w:szCs w:val="21"/>
              </w:rPr>
            </w:pPr>
            <w:r>
              <w:rPr>
                <w:rFonts w:eastAsiaTheme="minorEastAsia"/>
                <w:bCs/>
                <w:szCs w:val="21"/>
              </w:rPr>
              <w:t>6</w:t>
            </w:r>
          </w:p>
          <w:p>
            <w:pPr>
              <w:jc w:val="center"/>
              <w:rPr>
                <w:rFonts w:eastAsiaTheme="minorEastAsia"/>
                <w:bCs/>
                <w:szCs w:val="21"/>
              </w:rPr>
            </w:pPr>
            <w:r>
              <w:rPr>
                <w:rFonts w:eastAsiaTheme="minorEastAsia"/>
                <w:bCs/>
                <w:szCs w:val="21"/>
              </w:rPr>
              <w:t>10</w:t>
            </w:r>
          </w:p>
        </w:tc>
        <w:tc>
          <w:tcPr>
            <w:tcW w:w="858" w:type="dxa"/>
            <w:tcBorders>
              <w:top w:val="single" w:color="auto" w:sz="4" w:space="0"/>
              <w:left w:val="doub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(1)</w:t>
            </w:r>
          </w:p>
          <w:p>
            <w:pPr>
              <w:jc w:val="center"/>
              <w:rPr>
                <w:rFonts w:eastAsiaTheme="minorEastAsia"/>
                <w:bCs/>
                <w:szCs w:val="21"/>
              </w:rPr>
            </w:pPr>
            <w:r>
              <w:rPr>
                <w:rFonts w:eastAsiaTheme="minorEastAsia"/>
                <w:bCs/>
                <w:szCs w:val="21"/>
              </w:rPr>
              <w:t>(2)</w:t>
            </w:r>
          </w:p>
        </w:tc>
        <w:tc>
          <w:tcPr>
            <w:tcW w:w="1070"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800</w:t>
            </w:r>
          </w:p>
          <w:p>
            <w:pPr>
              <w:jc w:val="center"/>
              <w:rPr>
                <w:rFonts w:eastAsiaTheme="minorEastAsia"/>
                <w:bCs/>
                <w:szCs w:val="21"/>
              </w:rPr>
            </w:pPr>
            <w:r>
              <w:rPr>
                <w:rFonts w:eastAsiaTheme="minorEastAsia"/>
                <w:bCs/>
                <w:szCs w:val="21"/>
              </w:rPr>
              <w:t>1600</w:t>
            </w:r>
          </w:p>
        </w:tc>
        <w:tc>
          <w:tcPr>
            <w:tcW w:w="1121"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11</w:t>
            </w:r>
          </w:p>
          <w:p>
            <w:pPr>
              <w:jc w:val="center"/>
              <w:rPr>
                <w:rFonts w:eastAsiaTheme="minorEastAsia"/>
                <w:bCs/>
                <w:szCs w:val="21"/>
              </w:rPr>
            </w:pPr>
            <w:r>
              <w:rPr>
                <w:rFonts w:eastAsiaTheme="minorEastAsia"/>
                <w:bCs/>
                <w:szCs w:val="21"/>
              </w:rPr>
              <w:t>26</w:t>
            </w:r>
          </w:p>
        </w:tc>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16</w:t>
            </w:r>
          </w:p>
          <w:p>
            <w:pPr>
              <w:jc w:val="center"/>
              <w:rPr>
                <w:rFonts w:eastAsiaTheme="minorEastAsia"/>
                <w:bCs/>
                <w:szCs w:val="21"/>
              </w:rPr>
            </w:pPr>
            <w:r>
              <w:rPr>
                <w:rFonts w:eastAsiaTheme="minorEastAsia"/>
                <w:bCs/>
                <w:szCs w:val="21"/>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(1)</w:t>
            </w:r>
          </w:p>
          <w:p>
            <w:pPr>
              <w:jc w:val="center"/>
              <w:rPr>
                <w:rFonts w:eastAsiaTheme="minorEastAsia"/>
                <w:bCs/>
                <w:szCs w:val="21"/>
              </w:rPr>
            </w:pPr>
            <w:r>
              <w:rPr>
                <w:rFonts w:eastAsiaTheme="minorEastAsia"/>
                <w:bCs/>
                <w:szCs w:val="21"/>
              </w:rPr>
              <w:t>(2)</w:t>
            </w:r>
          </w:p>
        </w:tc>
        <w:tc>
          <w:tcPr>
            <w:tcW w:w="1009"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32</w:t>
            </w:r>
          </w:p>
          <w:p>
            <w:pPr>
              <w:jc w:val="center"/>
              <w:rPr>
                <w:rFonts w:eastAsiaTheme="minorEastAsia"/>
                <w:bCs/>
                <w:szCs w:val="21"/>
              </w:rPr>
            </w:pPr>
            <w:r>
              <w:rPr>
                <w:rFonts w:eastAsiaTheme="minorEastAsia"/>
                <w:bCs/>
                <w:szCs w:val="21"/>
              </w:rPr>
              <w:t>64</w:t>
            </w:r>
          </w:p>
        </w:tc>
        <w:tc>
          <w:tcPr>
            <w:tcW w:w="130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5</w:t>
            </w:r>
          </w:p>
          <w:p>
            <w:pPr>
              <w:jc w:val="center"/>
              <w:rPr>
                <w:rFonts w:eastAsiaTheme="minorEastAsia"/>
                <w:bCs/>
                <w:szCs w:val="21"/>
              </w:rPr>
            </w:pPr>
            <w:r>
              <w:rPr>
                <w:rFonts w:eastAsiaTheme="minorEastAsia"/>
                <w:bCs/>
                <w:szCs w:val="21"/>
              </w:rPr>
              <w:t>12</w:t>
            </w:r>
          </w:p>
        </w:tc>
        <w:tc>
          <w:tcPr>
            <w:tcW w:w="1138" w:type="dxa"/>
            <w:tcBorders>
              <w:top w:val="single" w:color="auto" w:sz="4" w:space="0"/>
              <w:left w:val="single" w:color="auto" w:sz="4" w:space="0"/>
              <w:bottom w:val="single" w:color="auto" w:sz="4" w:space="0"/>
              <w:right w:val="double" w:color="auto" w:sz="4" w:space="0"/>
            </w:tcBorders>
            <w:vAlign w:val="center"/>
          </w:tcPr>
          <w:p>
            <w:pPr>
              <w:jc w:val="center"/>
              <w:rPr>
                <w:rFonts w:eastAsiaTheme="minorEastAsia"/>
                <w:bCs/>
                <w:szCs w:val="21"/>
              </w:rPr>
            </w:pPr>
            <w:r>
              <w:rPr>
                <w:rFonts w:eastAsiaTheme="minorEastAsia"/>
                <w:bCs/>
                <w:szCs w:val="21"/>
              </w:rPr>
              <w:t>9</w:t>
            </w:r>
          </w:p>
          <w:p>
            <w:pPr>
              <w:jc w:val="center"/>
              <w:rPr>
                <w:rFonts w:eastAsiaTheme="minorEastAsia"/>
                <w:bCs/>
                <w:szCs w:val="21"/>
              </w:rPr>
            </w:pPr>
            <w:r>
              <w:rPr>
                <w:rFonts w:eastAsiaTheme="minorEastAsia"/>
                <w:bCs/>
                <w:szCs w:val="21"/>
              </w:rPr>
              <w:t>13</w:t>
            </w:r>
          </w:p>
        </w:tc>
        <w:tc>
          <w:tcPr>
            <w:tcW w:w="858" w:type="dxa"/>
            <w:tcBorders>
              <w:top w:val="single" w:color="auto" w:sz="4" w:space="0"/>
              <w:left w:val="doub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(1)</w:t>
            </w:r>
          </w:p>
          <w:p>
            <w:pPr>
              <w:jc w:val="center"/>
              <w:rPr>
                <w:rFonts w:eastAsiaTheme="minorEastAsia"/>
                <w:bCs/>
                <w:szCs w:val="21"/>
              </w:rPr>
            </w:pPr>
            <w:r>
              <w:rPr>
                <w:rFonts w:eastAsiaTheme="minorEastAsia"/>
                <w:bCs/>
                <w:szCs w:val="21"/>
              </w:rPr>
              <w:t>(2)</w:t>
            </w:r>
          </w:p>
        </w:tc>
        <w:tc>
          <w:tcPr>
            <w:tcW w:w="1070"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1250</w:t>
            </w:r>
          </w:p>
          <w:p>
            <w:pPr>
              <w:jc w:val="center"/>
              <w:rPr>
                <w:rFonts w:eastAsiaTheme="minorEastAsia"/>
                <w:bCs/>
                <w:szCs w:val="21"/>
              </w:rPr>
            </w:pPr>
            <w:r>
              <w:rPr>
                <w:rFonts w:eastAsiaTheme="minorEastAsia"/>
                <w:bCs/>
                <w:szCs w:val="21"/>
              </w:rPr>
              <w:t>2500</w:t>
            </w:r>
          </w:p>
        </w:tc>
        <w:tc>
          <w:tcPr>
            <w:tcW w:w="1121"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11</w:t>
            </w:r>
          </w:p>
          <w:p>
            <w:pPr>
              <w:jc w:val="center"/>
              <w:rPr>
                <w:rFonts w:eastAsiaTheme="minorEastAsia"/>
                <w:bCs/>
                <w:szCs w:val="21"/>
              </w:rPr>
            </w:pPr>
            <w:r>
              <w:rPr>
                <w:rFonts w:eastAsiaTheme="minorEastAsia"/>
                <w:bCs/>
                <w:szCs w:val="21"/>
              </w:rPr>
              <w:t>26</w:t>
            </w:r>
          </w:p>
        </w:tc>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16</w:t>
            </w:r>
          </w:p>
          <w:p>
            <w:pPr>
              <w:jc w:val="center"/>
              <w:rPr>
                <w:rFonts w:eastAsiaTheme="minorEastAsia"/>
                <w:bCs/>
                <w:szCs w:val="21"/>
              </w:rPr>
            </w:pPr>
            <w:r>
              <w:rPr>
                <w:rFonts w:eastAsiaTheme="minorEastAsia"/>
                <w:bCs/>
                <w:szCs w:val="21"/>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(1)</w:t>
            </w:r>
          </w:p>
          <w:p>
            <w:pPr>
              <w:jc w:val="center"/>
              <w:rPr>
                <w:rFonts w:eastAsiaTheme="minorEastAsia"/>
                <w:bCs/>
                <w:szCs w:val="21"/>
              </w:rPr>
            </w:pPr>
            <w:r>
              <w:rPr>
                <w:rFonts w:eastAsiaTheme="minorEastAsia"/>
                <w:bCs/>
                <w:szCs w:val="21"/>
              </w:rPr>
              <w:t>(2)</w:t>
            </w:r>
          </w:p>
        </w:tc>
        <w:tc>
          <w:tcPr>
            <w:tcW w:w="1009"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50</w:t>
            </w:r>
          </w:p>
          <w:p>
            <w:pPr>
              <w:jc w:val="center"/>
              <w:rPr>
                <w:rFonts w:eastAsiaTheme="minorEastAsia"/>
                <w:bCs/>
                <w:szCs w:val="21"/>
              </w:rPr>
            </w:pPr>
            <w:r>
              <w:rPr>
                <w:rFonts w:eastAsiaTheme="minorEastAsia"/>
                <w:bCs/>
                <w:szCs w:val="21"/>
              </w:rPr>
              <w:t>100</w:t>
            </w:r>
          </w:p>
        </w:tc>
        <w:tc>
          <w:tcPr>
            <w:tcW w:w="130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7</w:t>
            </w:r>
          </w:p>
          <w:p>
            <w:pPr>
              <w:jc w:val="center"/>
              <w:rPr>
                <w:rFonts w:eastAsiaTheme="minorEastAsia"/>
                <w:bCs/>
                <w:szCs w:val="21"/>
              </w:rPr>
            </w:pPr>
            <w:r>
              <w:rPr>
                <w:rFonts w:eastAsiaTheme="minorEastAsia"/>
                <w:bCs/>
                <w:szCs w:val="21"/>
              </w:rPr>
              <w:t>18</w:t>
            </w:r>
          </w:p>
        </w:tc>
        <w:tc>
          <w:tcPr>
            <w:tcW w:w="1138" w:type="dxa"/>
            <w:tcBorders>
              <w:top w:val="single" w:color="auto" w:sz="4" w:space="0"/>
              <w:left w:val="single" w:color="auto" w:sz="4" w:space="0"/>
              <w:bottom w:val="single" w:color="auto" w:sz="4" w:space="0"/>
              <w:right w:val="double" w:color="auto" w:sz="4" w:space="0"/>
            </w:tcBorders>
            <w:vAlign w:val="center"/>
          </w:tcPr>
          <w:p>
            <w:pPr>
              <w:jc w:val="center"/>
              <w:rPr>
                <w:rFonts w:eastAsiaTheme="minorEastAsia"/>
                <w:bCs/>
                <w:szCs w:val="21"/>
              </w:rPr>
            </w:pPr>
            <w:r>
              <w:rPr>
                <w:rFonts w:eastAsiaTheme="minorEastAsia"/>
                <w:bCs/>
                <w:szCs w:val="21"/>
              </w:rPr>
              <w:t>11</w:t>
            </w:r>
          </w:p>
          <w:p>
            <w:pPr>
              <w:jc w:val="center"/>
              <w:rPr>
                <w:rFonts w:eastAsiaTheme="minorEastAsia"/>
                <w:bCs/>
                <w:szCs w:val="21"/>
              </w:rPr>
            </w:pPr>
            <w:r>
              <w:rPr>
                <w:rFonts w:eastAsiaTheme="minorEastAsia"/>
                <w:bCs/>
                <w:szCs w:val="21"/>
              </w:rPr>
              <w:t>19</w:t>
            </w:r>
          </w:p>
        </w:tc>
        <w:tc>
          <w:tcPr>
            <w:tcW w:w="858" w:type="dxa"/>
            <w:tcBorders>
              <w:top w:val="single" w:color="auto" w:sz="4" w:space="0"/>
              <w:left w:val="doub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(1)</w:t>
            </w:r>
          </w:p>
          <w:p>
            <w:pPr>
              <w:jc w:val="center"/>
              <w:rPr>
                <w:rFonts w:eastAsiaTheme="minorEastAsia"/>
                <w:bCs/>
                <w:szCs w:val="21"/>
              </w:rPr>
            </w:pPr>
            <w:r>
              <w:rPr>
                <w:rFonts w:eastAsiaTheme="minorEastAsia"/>
                <w:bCs/>
                <w:szCs w:val="21"/>
              </w:rPr>
              <w:t>(2)</w:t>
            </w:r>
          </w:p>
        </w:tc>
        <w:tc>
          <w:tcPr>
            <w:tcW w:w="1070"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2000</w:t>
            </w:r>
          </w:p>
          <w:p>
            <w:pPr>
              <w:jc w:val="center"/>
              <w:rPr>
                <w:rFonts w:eastAsiaTheme="minorEastAsia"/>
                <w:bCs/>
                <w:szCs w:val="21"/>
              </w:rPr>
            </w:pPr>
            <w:r>
              <w:rPr>
                <w:rFonts w:eastAsiaTheme="minorEastAsia"/>
                <w:bCs/>
                <w:szCs w:val="21"/>
              </w:rPr>
              <w:t>4000</w:t>
            </w:r>
          </w:p>
        </w:tc>
        <w:tc>
          <w:tcPr>
            <w:tcW w:w="1121"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11</w:t>
            </w:r>
          </w:p>
          <w:p>
            <w:pPr>
              <w:jc w:val="center"/>
              <w:rPr>
                <w:rFonts w:eastAsiaTheme="minorEastAsia"/>
                <w:bCs/>
                <w:szCs w:val="21"/>
              </w:rPr>
            </w:pPr>
            <w:r>
              <w:rPr>
                <w:rFonts w:eastAsiaTheme="minorEastAsia"/>
                <w:bCs/>
                <w:szCs w:val="21"/>
              </w:rPr>
              <w:t>26</w:t>
            </w:r>
          </w:p>
        </w:tc>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Cs w:val="21"/>
              </w:rPr>
            </w:pPr>
            <w:r>
              <w:rPr>
                <w:rFonts w:eastAsiaTheme="minorEastAsia"/>
                <w:bCs/>
                <w:szCs w:val="21"/>
              </w:rPr>
              <w:t>16</w:t>
            </w:r>
          </w:p>
          <w:p>
            <w:pPr>
              <w:jc w:val="center"/>
              <w:rPr>
                <w:rFonts w:eastAsiaTheme="minorEastAsia"/>
                <w:bCs/>
                <w:szCs w:val="21"/>
              </w:rPr>
            </w:pPr>
            <w:r>
              <w:rPr>
                <w:rFonts w:eastAsiaTheme="minorEastAsia"/>
                <w:bCs/>
                <w:szCs w:val="21"/>
              </w:rPr>
              <w:t>27</w:t>
            </w:r>
          </w:p>
        </w:tc>
      </w:tr>
    </w:tbl>
    <w:p>
      <w:pPr>
        <w:snapToGrid w:val="0"/>
        <w:spacing w:before="120" w:beforeLines="50" w:after="240" w:afterLines="100" w:line="300" w:lineRule="auto"/>
        <w:rPr>
          <w:rFonts w:eastAsiaTheme="minorEastAsia"/>
          <w:sz w:val="18"/>
          <w:szCs w:val="18"/>
        </w:rPr>
      </w:pPr>
      <w:r>
        <w:rPr>
          <w:rFonts w:eastAsiaTheme="minorEastAsia"/>
          <w:bCs/>
          <w:sz w:val="18"/>
          <w:szCs w:val="18"/>
        </w:rPr>
        <w:t>注：（1）和（2）表示抽样次数，（2）对应的样本容量为</w:t>
      </w:r>
      <w:r>
        <w:rPr>
          <w:rFonts w:hint="eastAsia" w:eastAsiaTheme="minorEastAsia"/>
          <w:bCs/>
          <w:sz w:val="18"/>
          <w:szCs w:val="18"/>
        </w:rPr>
        <w:t>两</w:t>
      </w:r>
      <w:r>
        <w:rPr>
          <w:rFonts w:eastAsiaTheme="minorEastAsia"/>
          <w:bCs/>
          <w:sz w:val="18"/>
          <w:szCs w:val="18"/>
        </w:rPr>
        <w:t>次抽样的累计数量。</w:t>
      </w:r>
    </w:p>
    <w:p>
      <w:pPr>
        <w:spacing w:line="360" w:lineRule="auto"/>
        <w:rPr>
          <w:bCs/>
          <w:sz w:val="24"/>
          <w:szCs w:val="24"/>
        </w:rPr>
      </w:pPr>
      <w:r>
        <w:rPr>
          <w:b/>
          <w:bCs/>
          <w:sz w:val="24"/>
          <w:szCs w:val="24"/>
        </w:rPr>
        <w:t xml:space="preserve">3.3.7  </w:t>
      </w:r>
      <w:r>
        <w:rPr>
          <w:bCs/>
          <w:sz w:val="24"/>
          <w:szCs w:val="24"/>
        </w:rPr>
        <w:t>当有下列情况时，检测对象可为单个构件、节点或部分构件、节点，但检测结论不得扩大到未检测的构件、节点或范围：</w:t>
      </w:r>
    </w:p>
    <w:p>
      <w:pPr>
        <w:spacing w:line="360" w:lineRule="auto"/>
        <w:ind w:right="282" w:firstLine="481" w:firstLineChars="200"/>
        <w:rPr>
          <w:bCs/>
          <w:sz w:val="24"/>
          <w:szCs w:val="24"/>
        </w:rPr>
      </w:pPr>
      <w:r>
        <w:rPr>
          <w:b/>
          <w:bCs/>
          <w:sz w:val="24"/>
          <w:szCs w:val="24"/>
        </w:rPr>
        <w:t xml:space="preserve">1  </w:t>
      </w:r>
      <w:r>
        <w:rPr>
          <w:bCs/>
          <w:sz w:val="24"/>
          <w:szCs w:val="24"/>
        </w:rPr>
        <w:t>委托方指定检测对象或范围；</w:t>
      </w:r>
    </w:p>
    <w:p>
      <w:pPr>
        <w:spacing w:line="360" w:lineRule="auto"/>
        <w:ind w:right="282" w:firstLine="481" w:firstLineChars="200"/>
        <w:rPr>
          <w:bCs/>
          <w:sz w:val="24"/>
          <w:szCs w:val="24"/>
        </w:rPr>
      </w:pPr>
      <w:r>
        <w:rPr>
          <w:b/>
          <w:sz w:val="24"/>
          <w:szCs w:val="24"/>
        </w:rPr>
        <w:t xml:space="preserve">2  </w:t>
      </w:r>
      <w:r>
        <w:rPr>
          <w:bCs/>
          <w:sz w:val="24"/>
          <w:szCs w:val="24"/>
        </w:rPr>
        <w:t>环境侵蚀或火灾、爆炸、高温以及人为因素等造成部分结构、构件或节点的损伤。</w:t>
      </w:r>
    </w:p>
    <w:p>
      <w:pPr>
        <w:keepNext/>
        <w:keepLines/>
        <w:spacing w:before="240" w:beforeLines="100" w:after="120" w:afterLines="50" w:line="400" w:lineRule="exact"/>
        <w:jc w:val="center"/>
        <w:outlineLvl w:val="0"/>
        <w:rPr>
          <w:b/>
          <w:kern w:val="44"/>
          <w:sz w:val="28"/>
          <w:szCs w:val="28"/>
        </w:rPr>
      </w:pPr>
      <w:r>
        <w:rPr>
          <w:bCs/>
          <w:sz w:val="22"/>
        </w:rPr>
        <w:br w:type="page"/>
      </w:r>
      <w:bookmarkStart w:id="53" w:name="_Toc120020279"/>
      <w:r>
        <w:rPr>
          <w:b/>
          <w:kern w:val="44"/>
          <w:sz w:val="28"/>
          <w:szCs w:val="28"/>
        </w:rPr>
        <w:t>4  预制构件</w:t>
      </w:r>
      <w:bookmarkEnd w:id="53"/>
      <w:r>
        <w:rPr>
          <w:b/>
          <w:kern w:val="44"/>
          <w:sz w:val="30"/>
          <w:szCs w:val="30"/>
        </w:rPr>
        <w:fldChar w:fldCharType="begin"/>
      </w:r>
      <w:r>
        <w:rPr>
          <w:b/>
          <w:kern w:val="44"/>
          <w:sz w:val="30"/>
          <w:szCs w:val="30"/>
        </w:rPr>
        <w:instrText xml:space="preserve"> TC  "</w:instrText>
      </w:r>
      <w:bookmarkStart w:id="54" w:name="_Toc108470223"/>
      <w:bookmarkStart w:id="55" w:name="_Toc135038263"/>
      <w:r>
        <w:rPr>
          <w:b/>
          <w:kern w:val="44"/>
          <w:sz w:val="30"/>
          <w:szCs w:val="30"/>
        </w:rPr>
        <w:instrText xml:space="preserve">4  Precast concrete components</w:instrText>
      </w:r>
      <w:bookmarkEnd w:id="54"/>
      <w:bookmarkEnd w:id="55"/>
      <w:r>
        <w:rPr>
          <w:b/>
          <w:kern w:val="44"/>
          <w:sz w:val="30"/>
          <w:szCs w:val="30"/>
        </w:rPr>
        <w:instrText xml:space="preserve">" \l 1 </w:instrText>
      </w:r>
      <w:r>
        <w:rPr>
          <w:b/>
          <w:kern w:val="44"/>
          <w:sz w:val="30"/>
          <w:szCs w:val="30"/>
        </w:rPr>
        <w:fldChar w:fldCharType="end"/>
      </w:r>
    </w:p>
    <w:p>
      <w:pPr>
        <w:keepNext/>
        <w:keepLines/>
        <w:spacing w:before="120" w:beforeLines="50" w:after="120" w:afterLines="50" w:line="400" w:lineRule="exact"/>
        <w:jc w:val="center"/>
        <w:outlineLvl w:val="1"/>
        <w:rPr>
          <w:b/>
          <w:kern w:val="0"/>
          <w:sz w:val="24"/>
          <w:szCs w:val="24"/>
        </w:rPr>
      </w:pPr>
      <w:bookmarkStart w:id="56" w:name="_Toc120020280"/>
      <w:r>
        <w:rPr>
          <w:b/>
          <w:kern w:val="0"/>
          <w:sz w:val="24"/>
          <w:szCs w:val="24"/>
        </w:rPr>
        <w:t>4.1  一般规定</w:t>
      </w:r>
      <w:bookmarkEnd w:id="56"/>
      <w:r>
        <w:rPr>
          <w:rFonts w:eastAsia="黑体"/>
          <w:b/>
          <w:kern w:val="0"/>
          <w:sz w:val="28"/>
        </w:rPr>
        <w:fldChar w:fldCharType="begin"/>
      </w:r>
      <w:r>
        <w:rPr>
          <w:rFonts w:eastAsia="黑体"/>
          <w:b/>
          <w:kern w:val="0"/>
          <w:sz w:val="28"/>
        </w:rPr>
        <w:instrText xml:space="preserve"> TC  "</w:instrText>
      </w:r>
      <w:bookmarkStart w:id="57" w:name="_Toc135038264"/>
      <w:bookmarkStart w:id="58" w:name="_Toc108470224"/>
      <w:r>
        <w:rPr>
          <w:rFonts w:eastAsia="黑体"/>
          <w:b/>
          <w:kern w:val="0"/>
          <w:sz w:val="28"/>
        </w:rPr>
        <w:instrText xml:space="preserve">4.1  General requirements</w:instrText>
      </w:r>
      <w:bookmarkEnd w:id="57"/>
      <w:bookmarkEnd w:id="58"/>
      <w:r>
        <w:rPr>
          <w:rFonts w:eastAsia="黑体"/>
          <w:b/>
          <w:kern w:val="0"/>
          <w:sz w:val="28"/>
        </w:rPr>
        <w:instrText xml:space="preserve">" \l 2 </w:instrText>
      </w:r>
      <w:r>
        <w:rPr>
          <w:rFonts w:eastAsia="黑体"/>
          <w:b/>
          <w:kern w:val="0"/>
          <w:sz w:val="28"/>
        </w:rPr>
        <w:fldChar w:fldCharType="end"/>
      </w:r>
    </w:p>
    <w:p>
      <w:pPr>
        <w:spacing w:line="360" w:lineRule="auto"/>
        <w:rPr>
          <w:bCs/>
          <w:sz w:val="24"/>
          <w:szCs w:val="24"/>
        </w:rPr>
      </w:pPr>
      <w:r>
        <w:rPr>
          <w:b/>
          <w:bCs/>
          <w:sz w:val="24"/>
          <w:szCs w:val="24"/>
        </w:rPr>
        <w:t xml:space="preserve">4.1.1  </w:t>
      </w:r>
      <w:r>
        <w:rPr>
          <w:bCs/>
          <w:sz w:val="24"/>
          <w:szCs w:val="24"/>
        </w:rPr>
        <w:t>预制构件的</w:t>
      </w:r>
      <w:r>
        <w:rPr>
          <w:bCs/>
          <w:color w:val="000000" w:themeColor="text1"/>
          <w:sz w:val="24"/>
          <w:szCs w:val="24"/>
          <w14:textFill>
            <w14:solidFill>
              <w14:schemeClr w14:val="tx1"/>
            </w14:solidFill>
          </w14:textFill>
        </w:rPr>
        <w:t>检测项目可包括外观质量、尺寸偏差、钢筋配置、混凝</w:t>
      </w:r>
      <w:r>
        <w:rPr>
          <w:bCs/>
          <w:sz w:val="24"/>
          <w:szCs w:val="24"/>
        </w:rPr>
        <w:t>土抗压强</w:t>
      </w:r>
      <w:r>
        <w:rPr>
          <w:bCs/>
          <w:color w:val="000000" w:themeColor="text1"/>
          <w:sz w:val="24"/>
          <w:szCs w:val="24"/>
          <w14:textFill>
            <w14:solidFill>
              <w14:schemeClr w14:val="tx1"/>
            </w14:solidFill>
          </w14:textFill>
        </w:rPr>
        <w:t>度、保护层厚度、粗糙面质量、</w:t>
      </w:r>
      <w:r>
        <w:rPr>
          <w:bCs/>
          <w:sz w:val="24"/>
          <w:szCs w:val="24"/>
        </w:rPr>
        <w:t>保温拉结件锚固承载力和</w:t>
      </w:r>
      <w:r>
        <w:rPr>
          <w:bCs/>
          <w:color w:val="000000" w:themeColor="text1"/>
          <w:sz w:val="24"/>
          <w:szCs w:val="24"/>
          <w14:textFill>
            <w14:solidFill>
              <w14:schemeClr w14:val="tx1"/>
            </w14:solidFill>
          </w14:textFill>
        </w:rPr>
        <w:t>预埋</w:t>
      </w:r>
      <w:r>
        <w:rPr>
          <w:bCs/>
          <w:sz w:val="24"/>
          <w:szCs w:val="24"/>
        </w:rPr>
        <w:t>吊件锚固承载力等。</w:t>
      </w:r>
    </w:p>
    <w:p>
      <w:pPr>
        <w:spacing w:line="360" w:lineRule="auto"/>
        <w:rPr>
          <w:bCs/>
          <w:sz w:val="24"/>
          <w:szCs w:val="24"/>
        </w:rPr>
      </w:pPr>
      <w:bookmarkStart w:id="59" w:name="_Toc397384633"/>
      <w:r>
        <w:rPr>
          <w:b/>
          <w:bCs/>
          <w:sz w:val="24"/>
          <w:szCs w:val="24"/>
        </w:rPr>
        <w:t xml:space="preserve">4.1.2  </w:t>
      </w:r>
      <w:r>
        <w:rPr>
          <w:bCs/>
          <w:sz w:val="24"/>
          <w:szCs w:val="24"/>
        </w:rPr>
        <w:t>对预制构件的混凝土强度、</w:t>
      </w:r>
      <w:r>
        <w:rPr>
          <w:bCs/>
          <w:color w:val="000000" w:themeColor="text1"/>
          <w:sz w:val="24"/>
          <w:szCs w:val="24"/>
          <w14:textFill>
            <w14:solidFill>
              <w14:schemeClr w14:val="tx1"/>
            </w14:solidFill>
          </w14:textFill>
        </w:rPr>
        <w:t>保温拉结件锚固承载力、</w:t>
      </w:r>
      <w:r>
        <w:rPr>
          <w:bCs/>
          <w:sz w:val="24"/>
          <w:szCs w:val="24"/>
        </w:rPr>
        <w:t>预埋吊件锚固承载力</w:t>
      </w:r>
      <w:r>
        <w:rPr>
          <w:bCs/>
          <w:color w:val="000000" w:themeColor="text1"/>
          <w:sz w:val="24"/>
          <w:szCs w:val="24"/>
          <w14:textFill>
            <w14:solidFill>
              <w14:schemeClr w14:val="tx1"/>
            </w14:solidFill>
          </w14:textFill>
        </w:rPr>
        <w:t>进</w:t>
      </w:r>
      <w:r>
        <w:rPr>
          <w:bCs/>
          <w:sz w:val="24"/>
          <w:szCs w:val="24"/>
        </w:rPr>
        <w:t>行检测时，预制构件混凝土养护的等效龄期宜达到600</w:t>
      </w:r>
      <w:r>
        <w:rPr>
          <w:rFonts w:hint="eastAsia" w:ascii="宋体" w:hAnsi="宋体" w:cs="宋体"/>
          <w:bCs/>
          <w:sz w:val="24"/>
          <w:szCs w:val="24"/>
        </w:rPr>
        <w:t>℃</w:t>
      </w:r>
      <w:r>
        <w:rPr>
          <w:rFonts w:eastAsiaTheme="minorEastAsia"/>
          <w:bCs/>
          <w:sz w:val="24"/>
          <w:szCs w:val="24"/>
        </w:rPr>
        <w:t>·</w:t>
      </w:r>
      <w:r>
        <w:rPr>
          <w:bCs/>
          <w:sz w:val="24"/>
          <w:szCs w:val="24"/>
        </w:rPr>
        <w:t>d。</w:t>
      </w:r>
    </w:p>
    <w:p>
      <w:pPr>
        <w:keepNext/>
        <w:keepLines/>
        <w:spacing w:before="120" w:beforeLines="50" w:after="120" w:afterLines="50" w:line="400" w:lineRule="exact"/>
        <w:jc w:val="center"/>
        <w:outlineLvl w:val="1"/>
        <w:rPr>
          <w:b/>
          <w:kern w:val="0"/>
          <w:sz w:val="24"/>
          <w:szCs w:val="24"/>
        </w:rPr>
      </w:pPr>
      <w:bookmarkStart w:id="60" w:name="_Toc120020281"/>
      <w:r>
        <w:rPr>
          <w:b/>
          <w:kern w:val="0"/>
          <w:sz w:val="24"/>
          <w:szCs w:val="24"/>
        </w:rPr>
        <w:t>4.2</w:t>
      </w:r>
      <w:bookmarkEnd w:id="59"/>
      <w:r>
        <w:rPr>
          <w:b/>
          <w:kern w:val="0"/>
          <w:sz w:val="24"/>
          <w:szCs w:val="24"/>
        </w:rPr>
        <w:t xml:space="preserve">  预制构件混凝土抗压强度</w:t>
      </w:r>
      <w:bookmarkEnd w:id="60"/>
      <w:r>
        <w:rPr>
          <w:rFonts w:eastAsia="黑体"/>
          <w:b/>
          <w:kern w:val="0"/>
          <w:sz w:val="28"/>
        </w:rPr>
        <w:fldChar w:fldCharType="begin"/>
      </w:r>
      <w:r>
        <w:rPr>
          <w:rFonts w:eastAsia="黑体"/>
          <w:b/>
          <w:kern w:val="0"/>
          <w:sz w:val="28"/>
        </w:rPr>
        <w:instrText xml:space="preserve"> TC  "</w:instrText>
      </w:r>
      <w:bookmarkStart w:id="61" w:name="_Toc135038265"/>
      <w:bookmarkStart w:id="62" w:name="_Toc108470225"/>
      <w:r>
        <w:rPr>
          <w:rFonts w:eastAsia="黑体"/>
          <w:b/>
          <w:kern w:val="0"/>
          <w:sz w:val="28"/>
        </w:rPr>
        <w:instrText xml:space="preserve">4.2  Concrete compression strength of precast concrete components</w:instrText>
      </w:r>
      <w:bookmarkEnd w:id="61"/>
      <w:bookmarkEnd w:id="62"/>
      <w:r>
        <w:rPr>
          <w:rFonts w:eastAsia="黑体"/>
          <w:b/>
          <w:kern w:val="0"/>
          <w:sz w:val="28"/>
        </w:rPr>
        <w:instrText xml:space="preserve">" \l 2 </w:instrText>
      </w:r>
      <w:r>
        <w:rPr>
          <w:rFonts w:eastAsia="黑体"/>
          <w:b/>
          <w:kern w:val="0"/>
          <w:sz w:val="28"/>
        </w:rPr>
        <w:fldChar w:fldCharType="end"/>
      </w:r>
    </w:p>
    <w:p>
      <w:pPr>
        <w:spacing w:line="360" w:lineRule="auto"/>
        <w:rPr>
          <w:bCs/>
          <w:sz w:val="24"/>
          <w:szCs w:val="24"/>
        </w:rPr>
      </w:pPr>
      <w:r>
        <w:rPr>
          <w:b/>
          <w:bCs/>
          <w:sz w:val="24"/>
          <w:szCs w:val="24"/>
        </w:rPr>
        <w:t xml:space="preserve">4.2.1  </w:t>
      </w:r>
      <w:r>
        <w:rPr>
          <w:bCs/>
          <w:sz w:val="24"/>
          <w:szCs w:val="24"/>
        </w:rPr>
        <w:t>预制构件混凝土抗压强度检测结果应给出相当于边长150mm混凝土立方体试件抗压强度特征值的推定值。</w:t>
      </w:r>
    </w:p>
    <w:p>
      <w:pPr>
        <w:spacing w:line="360" w:lineRule="auto"/>
        <w:rPr>
          <w:bCs/>
          <w:sz w:val="24"/>
          <w:szCs w:val="24"/>
        </w:rPr>
      </w:pPr>
      <w:r>
        <w:rPr>
          <w:b/>
          <w:bCs/>
          <w:sz w:val="24"/>
          <w:szCs w:val="24"/>
        </w:rPr>
        <w:t xml:space="preserve">4.2.2  </w:t>
      </w:r>
      <w:r>
        <w:rPr>
          <w:bCs/>
          <w:sz w:val="24"/>
          <w:szCs w:val="24"/>
        </w:rPr>
        <w:t>预制构件混凝土抗压强度检测应符合下列规定：</w:t>
      </w:r>
    </w:p>
    <w:p>
      <w:pPr>
        <w:spacing w:line="360" w:lineRule="auto"/>
        <w:ind w:firstLine="481" w:firstLineChars="200"/>
        <w:rPr>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1  </w:t>
      </w:r>
      <w:r>
        <w:rPr>
          <w:bCs/>
          <w:color w:val="000000" w:themeColor="text1"/>
          <w:sz w:val="24"/>
          <w:szCs w:val="24"/>
          <w14:textFill>
            <w14:solidFill>
              <w14:schemeClr w14:val="tx1"/>
            </w14:solidFill>
          </w14:textFill>
        </w:rPr>
        <w:t>对于实心墙、夹心保温墙、柱、梁、楼梯等非薄壁预制构件，</w:t>
      </w:r>
      <w:r>
        <w:rPr>
          <w:bCs/>
          <w:sz w:val="24"/>
          <w:szCs w:val="24"/>
        </w:rPr>
        <w:t>可采用回弹法、钻芯法</w:t>
      </w:r>
      <w:r>
        <w:rPr>
          <w:bCs/>
          <w:color w:val="000000" w:themeColor="text1"/>
          <w:sz w:val="24"/>
          <w:szCs w:val="24"/>
          <w14:textFill>
            <w14:solidFill>
              <w14:schemeClr w14:val="tx1"/>
            </w14:solidFill>
          </w14:textFill>
        </w:rPr>
        <w:t>等方法进行检测；</w:t>
      </w:r>
    </w:p>
    <w:p>
      <w:pPr>
        <w:spacing w:line="360" w:lineRule="auto"/>
        <w:ind w:firstLine="481" w:firstLineChars="200"/>
        <w:rPr>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2  </w:t>
      </w:r>
      <w:r>
        <w:rPr>
          <w:bCs/>
          <w:color w:val="000000" w:themeColor="text1"/>
          <w:sz w:val="24"/>
          <w:szCs w:val="24"/>
          <w14:textFill>
            <w14:solidFill>
              <w14:schemeClr w14:val="tx1"/>
            </w14:solidFill>
          </w14:textFill>
        </w:rPr>
        <w:t>对于叠合板、叠合剪力墙等厚度不小于50mm的薄壁预制构件，可按本标准附录A的规定进行钻芯法检测；</w:t>
      </w:r>
    </w:p>
    <w:p>
      <w:pPr>
        <w:spacing w:line="360" w:lineRule="auto"/>
        <w:ind w:firstLine="481" w:firstLineChars="200"/>
        <w:rPr>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3  </w:t>
      </w:r>
      <w:r>
        <w:rPr>
          <w:bCs/>
          <w:color w:val="000000" w:themeColor="text1"/>
          <w:sz w:val="24"/>
          <w:szCs w:val="24"/>
          <w14:textFill>
            <w14:solidFill>
              <w14:schemeClr w14:val="tx1"/>
            </w14:solidFill>
          </w14:textFill>
        </w:rPr>
        <w:t>对于预制空心板剪力墙，在其实心部位可采用回弹法、钻芯法等方法进行检测；在预制混凝土厚度不小于50mm的空心部位，可按本标准附录A的规定进行钻芯法检测；</w:t>
      </w:r>
    </w:p>
    <w:p>
      <w:pPr>
        <w:spacing w:line="360" w:lineRule="auto"/>
        <w:ind w:firstLine="481" w:firstLineChars="200"/>
        <w:rPr>
          <w:bCs/>
          <w:sz w:val="24"/>
          <w:szCs w:val="24"/>
        </w:rPr>
      </w:pPr>
      <w:r>
        <w:rPr>
          <w:b/>
          <w:bCs/>
          <w:sz w:val="24"/>
          <w:szCs w:val="24"/>
        </w:rPr>
        <w:t xml:space="preserve">4  </w:t>
      </w:r>
      <w:r>
        <w:rPr>
          <w:bCs/>
          <w:sz w:val="24"/>
          <w:szCs w:val="24"/>
        </w:rPr>
        <w:t>采用回弹法检测时，对于弹击时易发生移动或转动的预制构件，应对构件进行固定，对于弹击时易产生颤动的预制构件，应采取必要的防颤措施；</w:t>
      </w:r>
    </w:p>
    <w:p>
      <w:pPr>
        <w:spacing w:line="360" w:lineRule="auto"/>
        <w:ind w:firstLine="481" w:firstLineChars="200"/>
        <w:rPr>
          <w:bCs/>
          <w:sz w:val="24"/>
          <w:szCs w:val="24"/>
        </w:rPr>
      </w:pPr>
      <w:r>
        <w:rPr>
          <w:b/>
          <w:bCs/>
          <w:sz w:val="24"/>
          <w:szCs w:val="24"/>
        </w:rPr>
        <w:t xml:space="preserve">5  </w:t>
      </w:r>
      <w:r>
        <w:rPr>
          <w:bCs/>
          <w:sz w:val="24"/>
          <w:szCs w:val="24"/>
        </w:rPr>
        <w:t>钻芯法宜选择在不影响构件使用的部位进行检测，并应避开主筋、预埋件和预埋管线。</w:t>
      </w:r>
    </w:p>
    <w:p>
      <w:pPr>
        <w:snapToGrid w:val="0"/>
        <w:spacing w:line="360" w:lineRule="auto"/>
        <w:rPr>
          <w:bCs/>
          <w:color w:val="000000" w:themeColor="text1"/>
          <w:sz w:val="24"/>
          <w:szCs w:val="24"/>
          <w:lang w:val="en-GB"/>
          <w14:textFill>
            <w14:solidFill>
              <w14:schemeClr w14:val="tx1"/>
            </w14:solidFill>
          </w14:textFill>
        </w:rPr>
      </w:pPr>
      <w:r>
        <w:rPr>
          <w:b/>
          <w:bCs/>
          <w:color w:val="000000" w:themeColor="text1"/>
          <w:sz w:val="24"/>
          <w:szCs w:val="24"/>
          <w14:textFill>
            <w14:solidFill>
              <w14:schemeClr w14:val="tx1"/>
            </w14:solidFill>
          </w14:textFill>
        </w:rPr>
        <w:t xml:space="preserve">4.2.3  </w:t>
      </w:r>
      <w:r>
        <w:rPr>
          <w:bCs/>
          <w:color w:val="000000" w:themeColor="text1"/>
          <w:sz w:val="24"/>
          <w:szCs w:val="24"/>
          <w14:textFill>
            <w14:solidFill>
              <w14:schemeClr w14:val="tx1"/>
            </w14:solidFill>
          </w14:textFill>
        </w:rPr>
        <w:t>按批量对预制构件的混凝土抗压强度进行检测时，宜将构件生产工艺、混凝土强度等级和养护条件相同且龄期相近的同类构件划分为同一检测批。</w:t>
      </w:r>
    </w:p>
    <w:p>
      <w:pPr>
        <w:keepNext/>
        <w:keepLines/>
        <w:spacing w:before="120" w:beforeLines="50" w:after="120" w:afterLines="50" w:line="400" w:lineRule="exact"/>
        <w:jc w:val="center"/>
        <w:outlineLvl w:val="1"/>
        <w:rPr>
          <w:b/>
          <w:kern w:val="0"/>
          <w:sz w:val="24"/>
          <w:szCs w:val="24"/>
        </w:rPr>
      </w:pPr>
      <w:bookmarkStart w:id="63" w:name="_Toc120020282"/>
      <w:r>
        <w:rPr>
          <w:b/>
          <w:kern w:val="0"/>
          <w:sz w:val="24"/>
          <w:szCs w:val="24"/>
        </w:rPr>
        <w:t>4.3  预制构件混凝土粗糙面</w:t>
      </w:r>
      <w:bookmarkEnd w:id="63"/>
      <w:r>
        <w:rPr>
          <w:rFonts w:eastAsia="黑体"/>
          <w:b/>
          <w:kern w:val="0"/>
          <w:sz w:val="28"/>
        </w:rPr>
        <w:fldChar w:fldCharType="begin"/>
      </w:r>
      <w:r>
        <w:rPr>
          <w:rFonts w:eastAsia="黑体"/>
          <w:b/>
          <w:kern w:val="0"/>
          <w:sz w:val="28"/>
        </w:rPr>
        <w:instrText xml:space="preserve"> TC  "</w:instrText>
      </w:r>
      <w:bookmarkStart w:id="64" w:name="_Toc108470226"/>
      <w:bookmarkStart w:id="65" w:name="_Toc135038266"/>
      <w:r>
        <w:rPr>
          <w:rFonts w:eastAsia="黑体"/>
          <w:b/>
          <w:kern w:val="0"/>
          <w:sz w:val="28"/>
        </w:rPr>
        <w:instrText xml:space="preserve">4.3  Rough surface quality of precast concrete components</w:instrText>
      </w:r>
      <w:bookmarkEnd w:id="64"/>
      <w:bookmarkEnd w:id="65"/>
      <w:r>
        <w:rPr>
          <w:rFonts w:eastAsia="黑体"/>
          <w:b/>
          <w:kern w:val="0"/>
          <w:sz w:val="28"/>
        </w:rPr>
        <w:instrText xml:space="preserve">" \l 2 </w:instrText>
      </w:r>
      <w:r>
        <w:rPr>
          <w:rFonts w:eastAsia="黑体"/>
          <w:b/>
          <w:kern w:val="0"/>
          <w:sz w:val="28"/>
        </w:rPr>
        <w:fldChar w:fldCharType="end"/>
      </w:r>
    </w:p>
    <w:p>
      <w:pPr>
        <w:spacing w:line="360" w:lineRule="auto"/>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4.3.1  </w:t>
      </w:r>
      <w:r>
        <w:rPr>
          <w:color w:val="000000" w:themeColor="text1"/>
          <w:sz w:val="24"/>
          <w:szCs w:val="24"/>
          <w14:textFill>
            <w14:solidFill>
              <w14:schemeClr w14:val="tx1"/>
            </w14:solidFill>
          </w14:textFill>
        </w:rPr>
        <w:t>预制构件混凝土粗糙面质量的检测项目宜包括成型外观质量、粗糙面的面积比和凹凸深度等。</w:t>
      </w:r>
    </w:p>
    <w:p>
      <w:pPr>
        <w:spacing w:line="360" w:lineRule="auto"/>
        <w:rPr>
          <w:sz w:val="24"/>
          <w:szCs w:val="24"/>
        </w:rPr>
      </w:pPr>
      <w:r>
        <w:rPr>
          <w:b/>
          <w:sz w:val="24"/>
          <w:szCs w:val="24"/>
        </w:rPr>
        <w:t xml:space="preserve">4.3.2  </w:t>
      </w:r>
      <w:r>
        <w:rPr>
          <w:sz w:val="24"/>
          <w:szCs w:val="24"/>
        </w:rPr>
        <w:t>预制构件混凝土粗糙面的面积比和凹凸深度检测宜按构件类型、生产批次、粗糙面成型工艺等划分检测批，</w:t>
      </w:r>
      <w:r>
        <w:rPr>
          <w:bCs/>
          <w:color w:val="000000" w:themeColor="text1"/>
          <w:sz w:val="24"/>
          <w:szCs w:val="24"/>
          <w14:textFill>
            <w14:solidFill>
              <w14:schemeClr w14:val="tx1"/>
            </w14:solidFill>
          </w14:textFill>
        </w:rPr>
        <w:t>检测批最小样本容量的确定应符合本标准第3.3.5条的规定。</w:t>
      </w:r>
    </w:p>
    <w:p>
      <w:pPr>
        <w:spacing w:line="360" w:lineRule="auto"/>
        <w:rPr>
          <w:rFonts w:eastAsia="楷体"/>
          <w:bCs/>
          <w:color w:val="5B9BD5" w:themeColor="accent1"/>
          <w:sz w:val="24"/>
          <w:szCs w:val="24"/>
          <w14:textFill>
            <w14:solidFill>
              <w14:schemeClr w14:val="accent1"/>
            </w14:solidFill>
          </w14:textFill>
        </w:rPr>
      </w:pPr>
      <w:r>
        <w:rPr>
          <w:b/>
          <w:sz w:val="24"/>
          <w:szCs w:val="24"/>
        </w:rPr>
        <w:t xml:space="preserve">4.3.3  </w:t>
      </w:r>
      <w:r>
        <w:rPr>
          <w:sz w:val="24"/>
          <w:szCs w:val="24"/>
        </w:rPr>
        <w:t>预制构件混凝土粗糙面以及结合面的长度和宽度可采用直尺或钢卷尺测量，精确至1mm，根据测量结果应按照下式计算粗糙面与结合面的面积比</w:t>
      </w:r>
      <w:r>
        <w:rPr>
          <w:rFonts w:eastAsia="楷体"/>
          <w:bCs/>
          <w:sz w:val="24"/>
          <w:szCs w:val="24"/>
        </w:rPr>
        <w:t>：</w:t>
      </w:r>
    </w:p>
    <w:p>
      <w:pPr>
        <w:wordWrap w:val="0"/>
        <w:spacing w:line="360" w:lineRule="auto"/>
        <w:jc w:val="right"/>
        <w:rPr>
          <w:rFonts w:eastAsia="楷体"/>
          <w:bCs/>
          <w:color w:val="000000" w:themeColor="text1"/>
          <w:sz w:val="24"/>
          <w:szCs w:val="24"/>
          <w14:textFill>
            <w14:solidFill>
              <w14:schemeClr w14:val="tx1"/>
            </w14:solidFill>
          </w14:textFill>
        </w:rPr>
      </w:pPr>
      <w:r>
        <w:rPr>
          <w:rFonts w:eastAsia="楷体"/>
          <w:bCs/>
          <w:color w:val="000000" w:themeColor="text1"/>
          <w:position w:val="-60"/>
          <w:sz w:val="24"/>
          <w:szCs w:val="24"/>
          <w14:textFill>
            <w14:solidFill>
              <w14:schemeClr w14:val="tx1"/>
            </w14:solidFill>
          </w14:textFill>
        </w:rPr>
        <w:object>
          <v:shape id="_x0000_i1053" o:spt="75" type="#_x0000_t75" style="height:66.25pt;width:52.4pt;" o:ole="t" filled="f" o:preferrelative="t" stroked="f" coordsize="21600,21600">
            <v:path/>
            <v:fill on="f" focussize="0,0"/>
            <v:stroke on="f" joinstyle="miter"/>
            <v:imagedata r:id="rId67" o:title=""/>
            <o:lock v:ext="edit" aspectratio="t"/>
            <w10:wrap type="none"/>
            <w10:anchorlock/>
          </v:shape>
          <o:OLEObject Type="Embed" ProgID="Equation.DSMT4" ShapeID="_x0000_i1053" DrawAspect="Content" ObjectID="_1468075753" r:id="rId66">
            <o:LockedField>false</o:LockedField>
          </o:OLEObject>
        </w:object>
      </w:r>
      <w:r>
        <w:rPr>
          <w:rFonts w:eastAsia="楷体"/>
          <w:bCs/>
          <w:color w:val="000000" w:themeColor="text1"/>
          <w:sz w:val="24"/>
          <w:szCs w:val="24"/>
          <w14:textFill>
            <w14:solidFill>
              <w14:schemeClr w14:val="tx1"/>
            </w14:solidFill>
          </w14:textFill>
        </w:rPr>
        <w:t xml:space="preserve">                        （4.3.3）</w:t>
      </w:r>
    </w:p>
    <w:p>
      <w:pPr>
        <w:spacing w:line="360" w:lineRule="auto"/>
        <w:rPr>
          <w:rFonts w:eastAsiaTheme="minorEastAsia"/>
          <w:sz w:val="24"/>
          <w:szCs w:val="24"/>
        </w:rPr>
      </w:pPr>
      <w:r>
        <w:rPr>
          <w:rFonts w:eastAsiaTheme="minorEastAsia"/>
          <w:bCs/>
          <w:sz w:val="24"/>
          <w:szCs w:val="24"/>
        </w:rPr>
        <w:t>式中</w:t>
      </w:r>
      <w:r>
        <w:rPr>
          <w:sz w:val="24"/>
          <w:szCs w:val="24"/>
        </w:rPr>
        <w:t>：</w:t>
      </w:r>
      <w:r>
        <w:rPr>
          <w:rFonts w:eastAsiaTheme="minorEastAsia"/>
          <w:bCs/>
          <w:position w:val="-14"/>
          <w:sz w:val="24"/>
          <w:szCs w:val="24"/>
        </w:rPr>
        <w:object>
          <v:shape id="_x0000_i1054" o:spt="75" type="#_x0000_t75" style="height:19.6pt;width:17.3pt;" o:ole="t" filled="f" o:preferrelative="t" stroked="f" coordsize="21600,21600">
            <v:path/>
            <v:fill on="f" focussize="0,0"/>
            <v:stroke on="f" joinstyle="miter"/>
            <v:imagedata r:id="rId69" o:title=""/>
            <o:lock v:ext="edit" aspectratio="t"/>
            <w10:wrap type="none"/>
            <w10:anchorlock/>
          </v:shape>
          <o:OLEObject Type="Embed" ProgID="Equation.DSMT4" ShapeID="_x0000_i1054" DrawAspect="Content" ObjectID="_1468075754" r:id="rId68">
            <o:LockedField>false</o:LockedField>
          </o:OLEObject>
        </w:object>
      </w:r>
      <w:r>
        <w:rPr>
          <w:rFonts w:eastAsiaTheme="minorEastAsia"/>
          <w:bCs/>
          <w:sz w:val="24"/>
          <w:szCs w:val="24"/>
        </w:rPr>
        <w:t>——</w:t>
      </w:r>
      <w:r>
        <w:rPr>
          <w:rFonts w:eastAsiaTheme="minorEastAsia"/>
          <w:sz w:val="24"/>
          <w:szCs w:val="24"/>
        </w:rPr>
        <w:t>第</w:t>
      </w:r>
      <w:r>
        <w:rPr>
          <w:rFonts w:eastAsiaTheme="minorEastAsia"/>
          <w:i/>
          <w:sz w:val="24"/>
          <w:szCs w:val="24"/>
        </w:rPr>
        <w:t>i</w:t>
      </w:r>
      <w:r>
        <w:rPr>
          <w:rFonts w:eastAsiaTheme="minorEastAsia"/>
          <w:sz w:val="24"/>
          <w:szCs w:val="24"/>
        </w:rPr>
        <w:t>个测量区域内粗糙面面积（mm</w:t>
      </w:r>
      <w:r>
        <w:rPr>
          <w:rFonts w:eastAsiaTheme="minorEastAsia"/>
          <w:sz w:val="24"/>
          <w:szCs w:val="24"/>
          <w:vertAlign w:val="superscript"/>
        </w:rPr>
        <w:t>2</w:t>
      </w:r>
      <w:r>
        <w:rPr>
          <w:rFonts w:eastAsiaTheme="minorEastAsia"/>
          <w:sz w:val="24"/>
          <w:szCs w:val="24"/>
        </w:rPr>
        <w:t>）；</w:t>
      </w:r>
    </w:p>
    <w:p>
      <w:pPr>
        <w:spacing w:line="360" w:lineRule="auto"/>
        <w:ind w:firstLine="720" w:firstLineChars="300"/>
        <w:rPr>
          <w:rFonts w:eastAsiaTheme="minorEastAsia"/>
          <w:sz w:val="24"/>
          <w:szCs w:val="24"/>
        </w:rPr>
      </w:pPr>
      <w:r>
        <w:rPr>
          <w:rFonts w:eastAsiaTheme="minorEastAsia"/>
          <w:bCs/>
          <w:position w:val="-12"/>
          <w:sz w:val="24"/>
          <w:szCs w:val="24"/>
        </w:rPr>
        <w:object>
          <v:shape id="_x0000_i1055" o:spt="75" type="#_x0000_t75" style="height:19.6pt;width:17.3pt;" o:ole="t" filled="f" o:preferrelative="t" stroked="f" coordsize="21600,21600">
            <v:path/>
            <v:fill on="f" focussize="0,0"/>
            <v:stroke on="f" joinstyle="miter"/>
            <v:imagedata r:id="rId71" o:title=""/>
            <o:lock v:ext="edit" aspectratio="t"/>
            <w10:wrap type="none"/>
            <w10:anchorlock/>
          </v:shape>
          <o:OLEObject Type="Embed" ProgID="Equation.DSMT4" ShapeID="_x0000_i1055" DrawAspect="Content" ObjectID="_1468075755" r:id="rId70">
            <o:LockedField>false</o:LockedField>
          </o:OLEObject>
        </w:object>
      </w:r>
      <w:r>
        <w:rPr>
          <w:rFonts w:eastAsiaTheme="minorEastAsia"/>
          <w:bCs/>
          <w:sz w:val="24"/>
          <w:szCs w:val="24"/>
        </w:rPr>
        <w:t>——</w:t>
      </w:r>
      <w:r>
        <w:rPr>
          <w:rFonts w:eastAsiaTheme="minorEastAsia"/>
          <w:sz w:val="24"/>
          <w:szCs w:val="24"/>
        </w:rPr>
        <w:t>第</w:t>
      </w:r>
      <w:r>
        <w:rPr>
          <w:rFonts w:eastAsiaTheme="minorEastAsia"/>
          <w:i/>
          <w:sz w:val="24"/>
          <w:szCs w:val="24"/>
        </w:rPr>
        <w:t>i</w:t>
      </w:r>
      <w:r>
        <w:rPr>
          <w:rFonts w:eastAsiaTheme="minorEastAsia"/>
          <w:sz w:val="24"/>
          <w:szCs w:val="24"/>
        </w:rPr>
        <w:t>个测量区域的结合面面积（mm</w:t>
      </w:r>
      <w:r>
        <w:rPr>
          <w:rFonts w:eastAsiaTheme="minorEastAsia"/>
          <w:sz w:val="24"/>
          <w:szCs w:val="24"/>
          <w:vertAlign w:val="superscript"/>
        </w:rPr>
        <w:t>2</w:t>
      </w:r>
      <w:r>
        <w:rPr>
          <w:rFonts w:eastAsiaTheme="minorEastAsia"/>
          <w:sz w:val="24"/>
          <w:szCs w:val="24"/>
        </w:rPr>
        <w:t>）；</w:t>
      </w:r>
    </w:p>
    <w:p>
      <w:pPr>
        <w:spacing w:line="360" w:lineRule="auto"/>
        <w:ind w:firstLine="720" w:firstLineChars="300"/>
        <w:rPr>
          <w:rFonts w:eastAsiaTheme="minorEastAsia"/>
          <w:sz w:val="24"/>
          <w:szCs w:val="24"/>
        </w:rPr>
      </w:pPr>
      <w:r>
        <w:rPr>
          <w:rFonts w:eastAsiaTheme="minorEastAsia"/>
          <w:bCs/>
          <w:position w:val="-10"/>
          <w:sz w:val="24"/>
          <w:szCs w:val="24"/>
        </w:rPr>
        <w:object>
          <v:shape id="_x0000_i1056" o:spt="75" type="#_x0000_t75" style="height:17.3pt;width:13.25pt;" o:ole="t" filled="f" o:preferrelative="t" stroked="f" coordsize="21600,21600">
            <v:path/>
            <v:fill on="f" focussize="0,0"/>
            <v:stroke on="f" joinstyle="miter"/>
            <v:imagedata r:id="rId73" o:title=""/>
            <o:lock v:ext="edit" aspectratio="t"/>
            <w10:wrap type="none"/>
            <w10:anchorlock/>
          </v:shape>
          <o:OLEObject Type="Embed" ProgID="Equation.DSMT4" ShapeID="_x0000_i1056" DrawAspect="Content" ObjectID="_1468075756" r:id="rId72">
            <o:LockedField>false</o:LockedField>
          </o:OLEObject>
        </w:object>
      </w:r>
      <w:r>
        <w:rPr>
          <w:rFonts w:eastAsiaTheme="minorEastAsia"/>
          <w:bCs/>
          <w:sz w:val="24"/>
          <w:szCs w:val="24"/>
        </w:rPr>
        <w:t>——</w:t>
      </w:r>
      <w:r>
        <w:rPr>
          <w:sz w:val="24"/>
          <w:szCs w:val="24"/>
        </w:rPr>
        <w:t>粗糙面与结合面的面积比。</w:t>
      </w:r>
    </w:p>
    <w:p>
      <w:pPr>
        <w:spacing w:line="360" w:lineRule="auto"/>
        <w:rPr>
          <w:bCs/>
          <w:sz w:val="24"/>
          <w:szCs w:val="24"/>
        </w:rPr>
      </w:pPr>
      <w:r>
        <w:rPr>
          <w:b/>
          <w:sz w:val="24"/>
          <w:szCs w:val="24"/>
        </w:rPr>
        <w:t xml:space="preserve">4.3.4  </w:t>
      </w:r>
      <w:r>
        <w:rPr>
          <w:bCs/>
          <w:sz w:val="24"/>
          <w:szCs w:val="24"/>
        </w:rPr>
        <w:t>预制构件混凝土</w:t>
      </w:r>
      <w:r>
        <w:rPr>
          <w:sz w:val="24"/>
          <w:szCs w:val="24"/>
        </w:rPr>
        <w:t>粗糙面的凹凸深度检测</w:t>
      </w:r>
      <w:r>
        <w:rPr>
          <w:bCs/>
          <w:sz w:val="24"/>
          <w:szCs w:val="24"/>
        </w:rPr>
        <w:t>应符合下列规定：</w:t>
      </w:r>
    </w:p>
    <w:p>
      <w:pPr>
        <w:spacing w:line="360" w:lineRule="auto"/>
        <w:ind w:firstLine="481" w:firstLineChars="200"/>
        <w:rPr>
          <w:bCs/>
          <w:color w:val="000000" w:themeColor="text1"/>
          <w:sz w:val="24"/>
          <w:szCs w:val="24"/>
          <w14:textFill>
            <w14:solidFill>
              <w14:schemeClr w14:val="tx1"/>
            </w14:solidFill>
          </w14:textFill>
        </w:rPr>
      </w:pPr>
      <w:r>
        <w:rPr>
          <w:b/>
          <w:sz w:val="24"/>
          <w:szCs w:val="24"/>
        </w:rPr>
        <w:t xml:space="preserve">1  </w:t>
      </w:r>
      <w:r>
        <w:rPr>
          <w:color w:val="000000" w:themeColor="text1"/>
          <w:sz w:val="24"/>
          <w:szCs w:val="24"/>
          <w14:textFill>
            <w14:solidFill>
              <w14:schemeClr w14:val="tx1"/>
            </w14:solidFill>
          </w14:textFill>
        </w:rPr>
        <w:t>混凝土叠合板的预制底板粗糙面凹凸深度宜采用测深尺法检测，也可采用三维扫描法检测；</w:t>
      </w:r>
    </w:p>
    <w:p>
      <w:pPr>
        <w:spacing w:line="360" w:lineRule="auto"/>
        <w:ind w:firstLine="481" w:firstLineChars="200"/>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2  </w:t>
      </w:r>
      <w:r>
        <w:rPr>
          <w:color w:val="000000" w:themeColor="text1"/>
          <w:sz w:val="24"/>
          <w:szCs w:val="24"/>
          <w14:textFill>
            <w14:solidFill>
              <w14:schemeClr w14:val="tx1"/>
            </w14:solidFill>
          </w14:textFill>
        </w:rPr>
        <w:t>预制混凝土梁、柱和墙的粗糙面凹凸深度宜采用三维扫描法检测，也可采用测深尺法检测。</w:t>
      </w:r>
    </w:p>
    <w:p>
      <w:pPr>
        <w:spacing w:line="360" w:lineRule="auto"/>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4.3.5  </w:t>
      </w:r>
      <w:r>
        <w:rPr>
          <w:color w:val="000000" w:themeColor="text1"/>
          <w:sz w:val="24"/>
          <w:szCs w:val="24"/>
          <w14:textFill>
            <w14:solidFill>
              <w14:schemeClr w14:val="tx1"/>
            </w14:solidFill>
          </w14:textFill>
        </w:rPr>
        <w:t>对预制构件混凝土粗糙面的凹凸深度检测应做好下列工作：</w:t>
      </w:r>
    </w:p>
    <w:p>
      <w:pPr>
        <w:spacing w:line="360" w:lineRule="auto"/>
        <w:ind w:firstLine="481" w:firstLineChars="20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1  </w:t>
      </w:r>
      <w:r>
        <w:rPr>
          <w:color w:val="000000" w:themeColor="text1"/>
          <w:sz w:val="24"/>
          <w:szCs w:val="24"/>
          <w14:textFill>
            <w14:solidFill>
              <w14:schemeClr w14:val="tx1"/>
            </w14:solidFill>
          </w14:textFill>
        </w:rPr>
        <w:t>检查检测工具和设备是否正常；</w:t>
      </w:r>
    </w:p>
    <w:p>
      <w:pPr>
        <w:spacing w:line="360" w:lineRule="auto"/>
        <w:ind w:firstLine="481" w:firstLineChars="20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2  </w:t>
      </w:r>
      <w:r>
        <w:rPr>
          <w:color w:val="000000" w:themeColor="text1"/>
          <w:sz w:val="24"/>
          <w:szCs w:val="24"/>
          <w14:textFill>
            <w14:solidFill>
              <w14:schemeClr w14:val="tx1"/>
            </w14:solidFill>
          </w14:textFill>
        </w:rPr>
        <w:t>清理粗糙面表面的颗粒、杂物；</w:t>
      </w:r>
    </w:p>
    <w:p>
      <w:pPr>
        <w:spacing w:line="360" w:lineRule="auto"/>
        <w:ind w:firstLine="481" w:firstLineChars="20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3  </w:t>
      </w:r>
      <w:r>
        <w:rPr>
          <w:color w:val="000000" w:themeColor="text1"/>
          <w:sz w:val="24"/>
          <w:szCs w:val="24"/>
          <w14:textFill>
            <w14:solidFill>
              <w14:schemeClr w14:val="tx1"/>
            </w14:solidFill>
          </w14:textFill>
        </w:rPr>
        <w:t>记录预制构件生产厂家、工程名称、楼号、楼层、构件编号、检测人员等信息。</w:t>
      </w:r>
    </w:p>
    <w:p>
      <w:pPr>
        <w:spacing w:line="360" w:lineRule="auto"/>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4.3.6</w:t>
      </w:r>
      <w:r>
        <w:rPr>
          <w:color w:val="000000" w:themeColor="text1"/>
          <w:sz w:val="24"/>
          <w:szCs w:val="24"/>
          <w14:textFill>
            <w14:solidFill>
              <w14:schemeClr w14:val="tx1"/>
            </w14:solidFill>
          </w14:textFill>
        </w:rPr>
        <w:t xml:space="preserve">  采用测深尺法检测时，应符合现行行业标准《装配式住宅建筑检测技术标准》JGJ/T 485的有关规定。</w:t>
      </w:r>
    </w:p>
    <w:p>
      <w:pPr>
        <w:spacing w:line="360" w:lineRule="auto"/>
        <w:rPr>
          <w:sz w:val="24"/>
          <w:szCs w:val="24"/>
        </w:rPr>
      </w:pPr>
      <w:r>
        <w:rPr>
          <w:b/>
          <w:color w:val="000000" w:themeColor="text1"/>
          <w:sz w:val="24"/>
          <w:szCs w:val="24"/>
          <w14:textFill>
            <w14:solidFill>
              <w14:schemeClr w14:val="tx1"/>
            </w14:solidFill>
          </w14:textFill>
        </w:rPr>
        <w:t xml:space="preserve">4.3.7 </w:t>
      </w:r>
      <w:r>
        <w:rPr>
          <w:b/>
          <w:sz w:val="24"/>
          <w:szCs w:val="24"/>
        </w:rPr>
        <w:t xml:space="preserve"> </w:t>
      </w:r>
      <w:r>
        <w:rPr>
          <w:sz w:val="24"/>
          <w:szCs w:val="24"/>
        </w:rPr>
        <w:t>三维扫描法检测粗糙面凹凸深度的测区布置应符合下列规定：</w:t>
      </w:r>
    </w:p>
    <w:p>
      <w:pPr>
        <w:spacing w:line="360" w:lineRule="auto"/>
        <w:ind w:firstLine="481" w:firstLineChars="20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1  </w:t>
      </w:r>
      <w:r>
        <w:rPr>
          <w:color w:val="000000" w:themeColor="text1"/>
          <w:sz w:val="24"/>
          <w:szCs w:val="24"/>
          <w14:textFill>
            <w14:solidFill>
              <w14:schemeClr w14:val="tx1"/>
            </w14:solidFill>
          </w14:textFill>
        </w:rPr>
        <w:t>测区布置应避开预埋件、预留孔洞、桁架钢筋以及表面有明显凸出区域等容易产生干扰的部位；</w:t>
      </w:r>
    </w:p>
    <w:p>
      <w:pPr>
        <w:spacing w:line="360" w:lineRule="auto"/>
        <w:ind w:firstLine="481" w:firstLineChars="20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 xml:space="preserve">  混凝土梁、柱等杆类构件的两个端面应各布置不少于1个测区，混凝土叠合梁顶面宜布置不少于3个测区，混凝土剪力墙端面宜各布置不少于2个测区，混凝土叠合底板面应布置不少于4个测区；</w:t>
      </w:r>
    </w:p>
    <w:p>
      <w:pPr>
        <w:spacing w:line="360" w:lineRule="auto"/>
        <w:ind w:firstLine="481" w:firstLineChars="20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3  </w:t>
      </w:r>
      <w:r>
        <w:rPr>
          <w:color w:val="000000" w:themeColor="text1"/>
          <w:sz w:val="24"/>
          <w:szCs w:val="24"/>
          <w14:textFill>
            <w14:solidFill>
              <w14:schemeClr w14:val="tx1"/>
            </w14:solidFill>
          </w14:textFill>
        </w:rPr>
        <w:t>对于凹槽形粗糙面，每个测区的长度方向不应小于300mm，宽度方向应至少包含4条连续的凹槽；对于凹坑形粗糙面，当构件宽度小于350mm时，每个测区的面积不宜小于150mm×600mm，当构件宽度不小于350mm时，每个测区的面积不宜小于300mm×300mm；</w:t>
      </w:r>
    </w:p>
    <w:p>
      <w:pPr>
        <w:spacing w:line="360" w:lineRule="auto"/>
        <w:ind w:firstLine="481" w:firstLineChars="20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4  </w:t>
      </w:r>
      <w:r>
        <w:rPr>
          <w:bCs/>
          <w:color w:val="000000" w:themeColor="text1"/>
          <w:sz w:val="24"/>
          <w:szCs w:val="24"/>
          <w14:textFill>
            <w14:solidFill>
              <w14:schemeClr w14:val="tx1"/>
            </w14:solidFill>
          </w14:textFill>
        </w:rPr>
        <w:t>测区应具有代表性</w:t>
      </w:r>
      <w:r>
        <w:rPr>
          <w:b/>
          <w:bCs/>
          <w:color w:val="000000" w:themeColor="text1"/>
          <w:sz w:val="24"/>
          <w:szCs w:val="24"/>
          <w14:textFill>
            <w14:solidFill>
              <w14:schemeClr w14:val="tx1"/>
            </w14:solidFill>
          </w14:textFill>
        </w:rPr>
        <w:t>，</w:t>
      </w:r>
      <w:r>
        <w:rPr>
          <w:bCs/>
          <w:color w:val="000000" w:themeColor="text1"/>
          <w:sz w:val="24"/>
          <w:szCs w:val="24"/>
          <w14:textFill>
            <w14:solidFill>
              <w14:schemeClr w14:val="tx1"/>
            </w14:solidFill>
          </w14:textFill>
        </w:rPr>
        <w:t>当在同一端面或平面上布置多个</w:t>
      </w:r>
      <w:r>
        <w:rPr>
          <w:color w:val="000000" w:themeColor="text1"/>
          <w:sz w:val="24"/>
          <w:szCs w:val="24"/>
          <w14:textFill>
            <w14:solidFill>
              <w14:schemeClr w14:val="tx1"/>
            </w14:solidFill>
          </w14:textFill>
        </w:rPr>
        <w:t>测区时，测区应均匀布置；</w:t>
      </w:r>
    </w:p>
    <w:p>
      <w:pPr>
        <w:spacing w:line="360" w:lineRule="auto"/>
        <w:ind w:firstLine="481" w:firstLineChars="20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5  </w:t>
      </w:r>
      <w:r>
        <w:rPr>
          <w:bCs/>
          <w:color w:val="000000" w:themeColor="text1"/>
          <w:sz w:val="24"/>
          <w:szCs w:val="24"/>
          <w14:textFill>
            <w14:solidFill>
              <w14:schemeClr w14:val="tx1"/>
            </w14:solidFill>
          </w14:textFill>
        </w:rPr>
        <w:t>对</w:t>
      </w:r>
      <w:r>
        <w:rPr>
          <w:color w:val="000000" w:themeColor="text1"/>
          <w:sz w:val="24"/>
          <w:szCs w:val="24"/>
          <w14:textFill>
            <w14:solidFill>
              <w14:schemeClr w14:val="tx1"/>
            </w14:solidFill>
          </w14:textFill>
        </w:rPr>
        <w:t>测区应进行逐一编号，并应记录测区的位置和外观质量状况。</w:t>
      </w:r>
    </w:p>
    <w:p>
      <w:pPr>
        <w:spacing w:line="360" w:lineRule="auto"/>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4.3.8  </w:t>
      </w:r>
      <w:r>
        <w:rPr>
          <w:bCs/>
          <w:color w:val="000000" w:themeColor="text1"/>
          <w:sz w:val="24"/>
          <w:szCs w:val="24"/>
          <w14:textFill>
            <w14:solidFill>
              <w14:schemeClr w14:val="tx1"/>
            </w14:solidFill>
          </w14:textFill>
        </w:rPr>
        <w:t>采用三维扫描法检测预制构件混凝土粗糙</w:t>
      </w:r>
      <w:r>
        <w:rPr>
          <w:color w:val="000000" w:themeColor="text1"/>
          <w:sz w:val="24"/>
          <w:szCs w:val="24"/>
          <w14:textFill>
            <w14:solidFill>
              <w14:schemeClr w14:val="tx1"/>
            </w14:solidFill>
          </w14:textFill>
        </w:rPr>
        <w:t>面凹凸深度时，应符合下列规定：</w:t>
      </w:r>
    </w:p>
    <w:p>
      <w:pPr>
        <w:spacing w:line="360" w:lineRule="auto"/>
        <w:ind w:firstLine="481" w:firstLineChars="20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1  </w:t>
      </w:r>
      <w:bookmarkStart w:id="66" w:name="_Hlk53322050"/>
      <w:r>
        <w:rPr>
          <w:color w:val="000000" w:themeColor="text1"/>
          <w:sz w:val="24"/>
          <w:szCs w:val="24"/>
          <w14:textFill>
            <w14:solidFill>
              <w14:schemeClr w14:val="tx1"/>
            </w14:solidFill>
          </w14:textFill>
        </w:rPr>
        <w:t>三维扫描仪</w:t>
      </w:r>
      <w:bookmarkEnd w:id="66"/>
      <w:r>
        <w:rPr>
          <w:color w:val="000000" w:themeColor="text1"/>
          <w:sz w:val="24"/>
          <w:szCs w:val="24"/>
          <w14:textFill>
            <w14:solidFill>
              <w14:schemeClr w14:val="tx1"/>
            </w14:solidFill>
          </w14:textFill>
        </w:rPr>
        <w:t>应能获取和分析点云的三维空间坐标，分辨力不应低于0.1mm；</w:t>
      </w:r>
    </w:p>
    <w:p>
      <w:pPr>
        <w:spacing w:line="360" w:lineRule="auto"/>
        <w:ind w:firstLine="481" w:firstLineChars="20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2  </w:t>
      </w:r>
      <w:r>
        <w:rPr>
          <w:color w:val="000000" w:themeColor="text1"/>
          <w:sz w:val="24"/>
          <w:szCs w:val="24"/>
          <w14:textFill>
            <w14:solidFill>
              <w14:schemeClr w14:val="tx1"/>
            </w14:solidFill>
          </w14:textFill>
        </w:rPr>
        <w:t>对于凹槽形粗糙面，</w:t>
      </w:r>
      <w:bookmarkStart w:id="67" w:name="_Hlk53314912"/>
      <w:r>
        <w:rPr>
          <w:color w:val="000000" w:themeColor="text1"/>
          <w:sz w:val="24"/>
          <w:szCs w:val="24"/>
          <w14:textFill>
            <w14:solidFill>
              <w14:schemeClr w14:val="tx1"/>
            </w14:solidFill>
          </w14:textFill>
        </w:rPr>
        <w:t>应在测区内截取长度不小于200mm、宽度仅包含4条连续凹槽的选定区，</w:t>
      </w:r>
      <w:bookmarkEnd w:id="67"/>
      <w:r>
        <w:rPr>
          <w:color w:val="000000" w:themeColor="text1"/>
          <w:sz w:val="24"/>
          <w:szCs w:val="24"/>
          <w14:textFill>
            <w14:solidFill>
              <w14:schemeClr w14:val="tx1"/>
            </w14:solidFill>
          </w14:textFill>
        </w:rPr>
        <w:t>垂直于凹槽长度方向宜等间距剖切4条凹槽轮廓线，应以每个凹槽的槽底最低点和槽边最高点的高差作为该凹槽的凹凸深度值</w:t>
      </w:r>
      <w:bookmarkStart w:id="68" w:name="_Hlk53315486"/>
      <w:r>
        <w:rPr>
          <w:color w:val="000000" w:themeColor="text1"/>
          <w:sz w:val="24"/>
          <w:szCs w:val="24"/>
          <w14:textFill>
            <w14:solidFill>
              <w14:schemeClr w14:val="tx1"/>
            </w14:solidFill>
          </w14:textFill>
        </w:rPr>
        <w:t>；</w:t>
      </w:r>
    </w:p>
    <w:bookmarkEnd w:id="68"/>
    <w:p>
      <w:pPr>
        <w:spacing w:line="360" w:lineRule="auto"/>
        <w:ind w:firstLine="481" w:firstLineChars="20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3  </w:t>
      </w:r>
      <w:r>
        <w:rPr>
          <w:color w:val="000000" w:themeColor="text1"/>
          <w:sz w:val="24"/>
          <w:szCs w:val="24"/>
          <w14:textFill>
            <w14:solidFill>
              <w14:schemeClr w14:val="tx1"/>
            </w14:solidFill>
          </w14:textFill>
        </w:rPr>
        <w:t>对于凹坑形粗糙面，</w:t>
      </w:r>
      <w:bookmarkStart w:id="69" w:name="_Hlk53315000"/>
      <w:bookmarkStart w:id="70" w:name="_Hlk53315258"/>
      <w:r>
        <w:rPr>
          <w:color w:val="000000" w:themeColor="text1"/>
          <w:sz w:val="24"/>
          <w:szCs w:val="24"/>
          <w14:textFill>
            <w14:solidFill>
              <w14:schemeClr w14:val="tx1"/>
            </w14:solidFill>
          </w14:textFill>
        </w:rPr>
        <w:t>应在测区内均匀</w:t>
      </w:r>
      <w:bookmarkEnd w:id="69"/>
      <w:r>
        <w:rPr>
          <w:color w:val="000000" w:themeColor="text1"/>
          <w:sz w:val="24"/>
          <w:szCs w:val="24"/>
          <w14:textFill>
            <w14:solidFill>
              <w14:schemeClr w14:val="tx1"/>
            </w14:solidFill>
          </w14:textFill>
        </w:rPr>
        <w:t>划分16个正方形单元格，单元格距测区边缘不宜小于25mm，单元格边长</w:t>
      </w:r>
      <w:r>
        <w:rPr>
          <w:rFonts w:hint="eastAsia"/>
          <w:color w:val="000000" w:themeColor="text1"/>
          <w:sz w:val="24"/>
          <w:szCs w:val="24"/>
          <w14:textFill>
            <w14:solidFill>
              <w14:schemeClr w14:val="tx1"/>
            </w14:solidFill>
          </w14:textFill>
        </w:rPr>
        <w:t>宜为</w:t>
      </w:r>
      <w:r>
        <w:rPr>
          <w:color w:val="000000" w:themeColor="text1"/>
          <w:sz w:val="24"/>
          <w:szCs w:val="24"/>
          <w14:textFill>
            <w14:solidFill>
              <w14:schemeClr w14:val="tx1"/>
            </w14:solidFill>
          </w14:textFill>
        </w:rPr>
        <w:t>50mm，</w:t>
      </w:r>
      <w:bookmarkEnd w:id="70"/>
      <w:r>
        <w:rPr>
          <w:color w:val="000000" w:themeColor="text1"/>
          <w:sz w:val="24"/>
          <w:szCs w:val="24"/>
          <w14:textFill>
            <w14:solidFill>
              <w14:schemeClr w14:val="tx1"/>
            </w14:solidFill>
          </w14:textFill>
        </w:rPr>
        <w:t>应以单元格中最高点和最低点的高差作为该单元格的凹凸深度值；</w:t>
      </w:r>
    </w:p>
    <w:p>
      <w:pPr>
        <w:spacing w:line="360" w:lineRule="auto"/>
        <w:ind w:firstLine="481" w:firstLineChars="200"/>
        <w:rPr>
          <w:rFonts w:eastAsia="楷体"/>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4  </w:t>
      </w:r>
      <w:r>
        <w:rPr>
          <w:bCs/>
          <w:color w:val="000000" w:themeColor="text1"/>
          <w:sz w:val="24"/>
          <w:szCs w:val="24"/>
          <w14:textFill>
            <w14:solidFill>
              <w14:schemeClr w14:val="tx1"/>
            </w14:solidFill>
          </w14:textFill>
        </w:rPr>
        <w:t>每个测区应获得16个凹凸深度值，应</w:t>
      </w:r>
      <w:r>
        <w:rPr>
          <w:color w:val="000000" w:themeColor="text1"/>
          <w:sz w:val="24"/>
          <w:szCs w:val="24"/>
          <w14:textFill>
            <w14:solidFill>
              <w14:schemeClr w14:val="tx1"/>
            </w14:solidFill>
          </w14:textFill>
        </w:rPr>
        <w:t>剔除3个最大值和3个最小值，应将剩余10个深度值作为该测区的有效凹凸深度值。</w:t>
      </w:r>
    </w:p>
    <w:p>
      <w:pPr>
        <w:tabs>
          <w:tab w:val="left" w:pos="0"/>
          <w:tab w:val="left" w:pos="840"/>
        </w:tabs>
        <w:spacing w:line="360" w:lineRule="auto"/>
        <w:rPr>
          <w:sz w:val="24"/>
          <w:szCs w:val="24"/>
        </w:rPr>
      </w:pPr>
      <w:r>
        <w:rPr>
          <w:b/>
          <w:sz w:val="24"/>
          <w:szCs w:val="24"/>
        </w:rPr>
        <w:t xml:space="preserve">4.3.9  </w:t>
      </w:r>
      <w:r>
        <w:rPr>
          <w:rFonts w:eastAsiaTheme="minorEastAsia"/>
          <w:sz w:val="24"/>
          <w:szCs w:val="24"/>
        </w:rPr>
        <w:t>混凝土粗糙面凹凸深度评价指标宜包括平均值和变异系数，并应按下列公式计算：</w:t>
      </w:r>
    </w:p>
    <w:p>
      <w:pPr>
        <w:wordWrap w:val="0"/>
        <w:ind w:firstLine="480" w:firstLineChars="200"/>
        <w:jc w:val="right"/>
        <w:rPr>
          <w:rFonts w:eastAsiaTheme="minorEastAsia"/>
          <w:color w:val="000000" w:themeColor="text1"/>
          <w:sz w:val="24"/>
          <w:szCs w:val="24"/>
          <w14:textFill>
            <w14:solidFill>
              <w14:schemeClr w14:val="tx1"/>
            </w14:solidFill>
          </w14:textFill>
        </w:rPr>
      </w:pPr>
      <w:r>
        <w:rPr>
          <w:color w:val="000000" w:themeColor="text1"/>
          <w:position w:val="-24"/>
          <w:sz w:val="24"/>
          <w:szCs w:val="24"/>
          <w14:textFill>
            <w14:solidFill>
              <w14:schemeClr w14:val="tx1"/>
            </w14:solidFill>
          </w14:textFill>
        </w:rPr>
        <w:object>
          <v:shape id="_x0000_i1057" o:spt="75" type="#_x0000_t75" style="height:47.8pt;width:52.4pt;" o:ole="t" filled="f" o:preferrelative="t" stroked="f" coordsize="21600,21600">
            <v:path/>
            <v:fill on="f" focussize="0,0"/>
            <v:stroke on="f" joinstyle="miter"/>
            <v:imagedata r:id="rId75" o:title=""/>
            <o:lock v:ext="edit" aspectratio="t"/>
            <w10:wrap type="none"/>
            <w10:anchorlock/>
          </v:shape>
          <o:OLEObject Type="Embed" ProgID="Equation.DSMT4" ShapeID="_x0000_i1057" DrawAspect="Content" ObjectID="_1468075757" r:id="rId74">
            <o:LockedField>false</o:LockedField>
          </o:OLEObject>
        </w:object>
      </w:r>
      <w:r>
        <w:rPr>
          <w:color w:val="000000" w:themeColor="text1"/>
          <w:sz w:val="24"/>
          <w:szCs w:val="24"/>
          <w14:textFill>
            <w14:solidFill>
              <w14:schemeClr w14:val="tx1"/>
            </w14:solidFill>
          </w14:textFill>
        </w:rPr>
        <w:t xml:space="preserve">                    （4.3.9-1）</w:t>
      </w:r>
    </w:p>
    <w:p>
      <w:pPr>
        <w:ind w:firstLine="480" w:firstLineChars="200"/>
        <w:jc w:val="right"/>
        <w:rPr>
          <w:rFonts w:eastAsiaTheme="minorEastAsia"/>
          <w:color w:val="000000" w:themeColor="text1"/>
          <w:sz w:val="24"/>
          <w:szCs w:val="24"/>
          <w14:textFill>
            <w14:solidFill>
              <w14:schemeClr w14:val="tx1"/>
            </w14:solidFill>
          </w14:textFill>
        </w:rPr>
      </w:pPr>
      <w:r>
        <w:rPr>
          <w:color w:val="000000" w:themeColor="text1"/>
          <w:position w:val="-28"/>
          <w:sz w:val="24"/>
          <w:szCs w:val="24"/>
          <w14:textFill>
            <w14:solidFill>
              <w14:schemeClr w14:val="tx1"/>
            </w14:solidFill>
          </w14:textFill>
        </w:rPr>
        <w:object>
          <v:shape id="_x0000_i1058" o:spt="75" type="#_x0000_t75" style="height:52.4pt;width:109.45pt;" o:ole="t" filled="f" o:preferrelative="t" stroked="f" coordsize="21600,21600">
            <v:path/>
            <v:fill on="f" focussize="0,0"/>
            <v:stroke on="f" joinstyle="miter"/>
            <v:imagedata r:id="rId77" o:title=""/>
            <o:lock v:ext="edit" aspectratio="t"/>
            <w10:wrap type="none"/>
            <w10:anchorlock/>
          </v:shape>
          <o:OLEObject Type="Embed" ProgID="Equation.DSMT4" ShapeID="_x0000_i1058" DrawAspect="Content" ObjectID="_1468075758" r:id="rId76">
            <o:LockedField>false</o:LockedField>
          </o:OLEObject>
        </w:object>
      </w:r>
      <w:r>
        <w:rPr>
          <w:color w:val="000000" w:themeColor="text1"/>
          <w:sz w:val="24"/>
          <w:szCs w:val="24"/>
          <w14:textFill>
            <w14:solidFill>
              <w14:schemeClr w14:val="tx1"/>
            </w14:solidFill>
          </w14:textFill>
        </w:rPr>
        <w:t xml:space="preserve">               （4.3.9-2）</w:t>
      </w:r>
    </w:p>
    <w:p>
      <w:pPr>
        <w:spacing w:line="360" w:lineRule="auto"/>
        <w:rPr>
          <w:sz w:val="24"/>
          <w:szCs w:val="24"/>
        </w:rPr>
      </w:pPr>
      <w:r>
        <w:rPr>
          <w:sz w:val="24"/>
          <w:szCs w:val="24"/>
        </w:rPr>
        <w:t>式中：</w:t>
      </w:r>
      <w:r>
        <w:rPr>
          <w:i/>
          <w:iCs/>
          <w:sz w:val="24"/>
          <w:szCs w:val="24"/>
        </w:rPr>
        <w:t>μ</w:t>
      </w:r>
      <w:r>
        <w:rPr>
          <w:bCs/>
          <w:sz w:val="24"/>
          <w:szCs w:val="24"/>
        </w:rPr>
        <w:t>——粗糙面凹凸深度</w:t>
      </w:r>
      <w:r>
        <w:rPr>
          <w:sz w:val="24"/>
          <w:szCs w:val="24"/>
        </w:rPr>
        <w:t>平均值(mm)，应精确至0.1mm；</w:t>
      </w:r>
    </w:p>
    <w:p>
      <w:pPr>
        <w:spacing w:line="360" w:lineRule="auto"/>
        <w:ind w:firstLine="720" w:firstLineChars="300"/>
        <w:rPr>
          <w:sz w:val="24"/>
          <w:szCs w:val="24"/>
        </w:rPr>
      </w:pPr>
      <w:r>
        <w:rPr>
          <w:i/>
          <w:iCs/>
          <w:sz w:val="24"/>
          <w:szCs w:val="24"/>
        </w:rPr>
        <w:t>δ</w:t>
      </w:r>
      <w:r>
        <w:rPr>
          <w:bCs/>
          <w:sz w:val="24"/>
          <w:szCs w:val="24"/>
        </w:rPr>
        <w:t>——粗糙面凹凸深度</w:t>
      </w:r>
      <w:r>
        <w:rPr>
          <w:sz w:val="24"/>
          <w:szCs w:val="24"/>
        </w:rPr>
        <w:t>变异系数，应精确至0.01；</w:t>
      </w:r>
    </w:p>
    <w:p>
      <w:pPr>
        <w:spacing w:line="360" w:lineRule="auto"/>
        <w:ind w:firstLine="720" w:firstLineChars="300"/>
        <w:rPr>
          <w:color w:val="000000" w:themeColor="text1"/>
          <w:sz w:val="24"/>
          <w:szCs w:val="24"/>
          <w14:textFill>
            <w14:solidFill>
              <w14:schemeClr w14:val="tx1"/>
            </w14:solidFill>
          </w14:textFill>
        </w:rPr>
      </w:pPr>
      <w:r>
        <w:rPr>
          <w:i/>
          <w:iCs/>
          <w:sz w:val="24"/>
          <w:szCs w:val="24"/>
        </w:rPr>
        <w:t>x</w:t>
      </w:r>
      <w:r>
        <w:rPr>
          <w:i/>
          <w:iCs/>
          <w:sz w:val="24"/>
          <w:szCs w:val="24"/>
          <w:vertAlign w:val="subscript"/>
        </w:rPr>
        <w:t>i</w:t>
      </w:r>
      <w:r>
        <w:rPr>
          <w:bCs/>
          <w:sz w:val="24"/>
          <w:szCs w:val="24"/>
        </w:rPr>
        <w:t>——粗糙面测点第</w:t>
      </w:r>
      <w:r>
        <w:rPr>
          <w:bCs/>
          <w:i/>
          <w:sz w:val="24"/>
          <w:szCs w:val="24"/>
        </w:rPr>
        <w:t>i</w:t>
      </w:r>
      <w:r>
        <w:rPr>
          <w:bCs/>
          <w:sz w:val="24"/>
          <w:szCs w:val="24"/>
        </w:rPr>
        <w:t>个</w:t>
      </w:r>
      <w:r>
        <w:rPr>
          <w:sz w:val="24"/>
          <w:szCs w:val="24"/>
        </w:rPr>
        <w:t>有效凹凸深度</w:t>
      </w:r>
      <w:r>
        <w:rPr>
          <w:color w:val="000000" w:themeColor="text1"/>
          <w:sz w:val="24"/>
          <w:szCs w:val="24"/>
          <w14:textFill>
            <w14:solidFill>
              <w14:schemeClr w14:val="tx1"/>
            </w14:solidFill>
          </w14:textFill>
        </w:rPr>
        <w:t>值（mm）；</w:t>
      </w:r>
    </w:p>
    <w:p>
      <w:pPr>
        <w:spacing w:line="360" w:lineRule="auto"/>
        <w:ind w:left="1366" w:leftChars="342" w:hanging="648" w:hangingChars="270"/>
        <w:rPr>
          <w:color w:val="000000" w:themeColor="text1"/>
          <w:sz w:val="24"/>
          <w:szCs w:val="24"/>
          <w14:textFill>
            <w14:solidFill>
              <w14:schemeClr w14:val="tx1"/>
            </w14:solidFill>
          </w14:textFill>
        </w:rPr>
      </w:pPr>
      <w:r>
        <w:rPr>
          <w:bCs/>
          <w:iCs/>
          <w:color w:val="000000" w:themeColor="text1"/>
          <w:sz w:val="24"/>
          <w:szCs w:val="24"/>
          <w14:textFill>
            <w14:solidFill>
              <w14:schemeClr w14:val="tx1"/>
            </w14:solidFill>
          </w14:textFill>
        </w:rPr>
        <w:t>n</w:t>
      </w:r>
      <w:r>
        <w:rPr>
          <w:b/>
          <w:bCs/>
          <w:color w:val="000000" w:themeColor="text1"/>
          <w:sz w:val="24"/>
          <w:szCs w:val="24"/>
          <w14:textFill>
            <w14:solidFill>
              <w14:schemeClr w14:val="tx1"/>
            </w14:solidFill>
          </w14:textFill>
        </w:rPr>
        <w:t>——</w:t>
      </w:r>
      <w:r>
        <w:rPr>
          <w:bCs/>
          <w:color w:val="000000" w:themeColor="text1"/>
          <w:sz w:val="24"/>
          <w:szCs w:val="24"/>
          <w14:textFill>
            <w14:solidFill>
              <w14:schemeClr w14:val="tx1"/>
            </w14:solidFill>
          </w14:textFill>
        </w:rPr>
        <w:t>粗糙面</w:t>
      </w:r>
      <w:r>
        <w:rPr>
          <w:color w:val="000000" w:themeColor="text1"/>
          <w:sz w:val="24"/>
          <w:szCs w:val="24"/>
          <w14:textFill>
            <w14:solidFill>
              <w14:schemeClr w14:val="tx1"/>
            </w14:solidFill>
          </w14:textFill>
        </w:rPr>
        <w:t>有效凹凸深度值的总数，即测区数量乘以每一测区内有效凹凸深度值的数量。</w:t>
      </w:r>
    </w:p>
    <w:p>
      <w:pPr>
        <w:keepNext/>
        <w:keepLines/>
        <w:spacing w:before="120" w:beforeLines="50" w:after="120" w:afterLines="50" w:line="400" w:lineRule="exact"/>
        <w:jc w:val="center"/>
        <w:outlineLvl w:val="1"/>
        <w:rPr>
          <w:b/>
          <w:kern w:val="0"/>
          <w:sz w:val="24"/>
          <w:szCs w:val="24"/>
        </w:rPr>
      </w:pPr>
      <w:bookmarkStart w:id="71" w:name="_Toc120020283"/>
      <w:bookmarkStart w:id="72" w:name="_Hlk48581177"/>
      <w:r>
        <w:rPr>
          <w:b/>
          <w:kern w:val="0"/>
          <w:sz w:val="24"/>
          <w:szCs w:val="24"/>
        </w:rPr>
        <w:t>4.4  预埋保温拉结件锚固承载力</w:t>
      </w:r>
      <w:bookmarkEnd w:id="71"/>
      <w:r>
        <w:rPr>
          <w:rFonts w:eastAsia="黑体"/>
          <w:b/>
          <w:kern w:val="0"/>
          <w:sz w:val="28"/>
        </w:rPr>
        <w:fldChar w:fldCharType="begin"/>
      </w:r>
      <w:r>
        <w:rPr>
          <w:rFonts w:eastAsia="黑体"/>
          <w:b/>
          <w:kern w:val="0"/>
          <w:sz w:val="28"/>
        </w:rPr>
        <w:instrText xml:space="preserve"> TC  "</w:instrText>
      </w:r>
      <w:bookmarkStart w:id="73" w:name="_Toc108470227"/>
      <w:bookmarkStart w:id="74" w:name="_Toc135038267"/>
      <w:r>
        <w:rPr>
          <w:rFonts w:eastAsia="黑体"/>
          <w:b/>
          <w:kern w:val="0"/>
          <w:sz w:val="28"/>
        </w:rPr>
        <w:instrText xml:space="preserve">4.4  </w:instrText>
      </w:r>
      <w:bookmarkEnd w:id="73"/>
      <w:r>
        <w:rPr>
          <w:rFonts w:eastAsia="黑体"/>
          <w:b/>
          <w:kern w:val="0"/>
          <w:sz w:val="28"/>
        </w:rPr>
        <w:instrText xml:space="preserve">Anchorage bearing capacity of connector using in sandwich insulation walls</w:instrText>
      </w:r>
      <w:bookmarkEnd w:id="74"/>
      <w:r>
        <w:rPr>
          <w:rFonts w:eastAsia="黑体"/>
          <w:b/>
          <w:kern w:val="0"/>
          <w:sz w:val="28"/>
        </w:rPr>
        <w:instrText xml:space="preserve">" \l 2 </w:instrText>
      </w:r>
      <w:r>
        <w:rPr>
          <w:rFonts w:eastAsia="黑体"/>
          <w:b/>
          <w:kern w:val="0"/>
          <w:sz w:val="28"/>
        </w:rPr>
        <w:fldChar w:fldCharType="end"/>
      </w:r>
    </w:p>
    <w:p>
      <w:pPr>
        <w:spacing w:line="360" w:lineRule="auto"/>
        <w:rPr>
          <w:bCs/>
          <w:color w:val="000000" w:themeColor="text1"/>
          <w:sz w:val="24"/>
          <w:szCs w:val="24"/>
          <w14:textFill>
            <w14:solidFill>
              <w14:schemeClr w14:val="tx1"/>
            </w14:solidFill>
          </w14:textFill>
        </w:rPr>
      </w:pPr>
      <w:r>
        <w:rPr>
          <w:b/>
          <w:sz w:val="24"/>
          <w:szCs w:val="24"/>
        </w:rPr>
        <w:t xml:space="preserve">4.4.1  </w:t>
      </w:r>
      <w:r>
        <w:rPr>
          <w:bCs/>
          <w:sz w:val="24"/>
          <w:szCs w:val="24"/>
        </w:rPr>
        <w:t>预制夹心保温混凝土墙体中，预埋保温拉结件的锚固承载力检测项目可包括</w:t>
      </w:r>
      <w:r>
        <w:rPr>
          <w:bCs/>
          <w:color w:val="000000" w:themeColor="text1"/>
          <w:sz w:val="24"/>
          <w:szCs w:val="24"/>
          <w14:textFill>
            <w14:solidFill>
              <w14:schemeClr w14:val="tx1"/>
            </w14:solidFill>
          </w14:textFill>
        </w:rPr>
        <w:t>单个拉结件的抗拔承载力和多个拉结件的群锚整体抗剪承载力。</w:t>
      </w:r>
    </w:p>
    <w:p>
      <w:pPr>
        <w:spacing w:line="360" w:lineRule="auto"/>
        <w:rPr>
          <w:bCs/>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4.4.2  </w:t>
      </w:r>
      <w:r>
        <w:rPr>
          <w:color w:val="000000" w:themeColor="text1"/>
          <w:sz w:val="24"/>
          <w:szCs w:val="24"/>
          <w14:textFill>
            <w14:solidFill>
              <w14:schemeClr w14:val="tx1"/>
            </w14:solidFill>
          </w14:textFill>
        </w:rPr>
        <w:t>预埋保温拉结件锚固承载力检测的</w:t>
      </w:r>
      <w:r>
        <w:rPr>
          <w:bCs/>
          <w:color w:val="000000" w:themeColor="text1"/>
          <w:sz w:val="24"/>
          <w:szCs w:val="24"/>
          <w14:textFill>
            <w14:solidFill>
              <w14:schemeClr w14:val="tx1"/>
            </w14:solidFill>
          </w14:textFill>
        </w:rPr>
        <w:t>抽样规则应符合下列规定：</w:t>
      </w:r>
    </w:p>
    <w:p>
      <w:pPr>
        <w:spacing w:line="360" w:lineRule="auto"/>
        <w:ind w:firstLine="481" w:firstLineChars="200"/>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1  </w:t>
      </w:r>
      <w:r>
        <w:rPr>
          <w:color w:val="000000" w:themeColor="text1"/>
          <w:sz w:val="24"/>
          <w:szCs w:val="24"/>
          <w14:textFill>
            <w14:solidFill>
              <w14:schemeClr w14:val="tx1"/>
            </w14:solidFill>
          </w14:textFill>
        </w:rPr>
        <w:t>拉结件规格型号相同、锚固条件基本相同以及混凝土强度等级相同的同类构件可作为一个检测批，每个检测批宜抽取不少于2块墙板；</w:t>
      </w:r>
    </w:p>
    <w:p>
      <w:pPr>
        <w:spacing w:line="360" w:lineRule="auto"/>
        <w:ind w:firstLine="481" w:firstLineChars="20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2  </w:t>
      </w:r>
      <w:r>
        <w:rPr>
          <w:bCs/>
          <w:color w:val="000000" w:themeColor="text1"/>
          <w:sz w:val="24"/>
          <w:szCs w:val="24"/>
          <w14:textFill>
            <w14:solidFill>
              <w14:schemeClr w14:val="tx1"/>
            </w14:solidFill>
          </w14:textFill>
        </w:rPr>
        <w:t>对单个拉结件的抗拔承载力检测</w:t>
      </w:r>
      <w:r>
        <w:rPr>
          <w:color w:val="000000" w:themeColor="text1"/>
          <w:sz w:val="24"/>
          <w:szCs w:val="24"/>
          <w14:textFill>
            <w14:solidFill>
              <w14:schemeClr w14:val="tx1"/>
            </w14:solidFill>
          </w14:textFill>
        </w:rPr>
        <w:t>时，每块墙板宜抽取不少于3个拉结件，且同一检验批的拉结件抽检总数不应少于5个；</w:t>
      </w:r>
    </w:p>
    <w:p>
      <w:pPr>
        <w:spacing w:line="360" w:lineRule="auto"/>
        <w:ind w:firstLine="481" w:firstLineChars="200"/>
        <w:rPr>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3  </w:t>
      </w:r>
      <w:r>
        <w:rPr>
          <w:color w:val="000000" w:themeColor="text1"/>
          <w:sz w:val="24"/>
          <w:szCs w:val="24"/>
          <w14:textFill>
            <w14:solidFill>
              <w14:schemeClr w14:val="tx1"/>
            </w14:solidFill>
          </w14:textFill>
        </w:rPr>
        <w:t>墙板应在检测批中随机抽取。</w:t>
      </w:r>
    </w:p>
    <w:p>
      <w:pPr>
        <w:spacing w:line="360" w:lineRule="auto"/>
        <w:rPr>
          <w:bCs/>
          <w:sz w:val="24"/>
          <w:szCs w:val="24"/>
        </w:rPr>
      </w:pPr>
      <w:r>
        <w:rPr>
          <w:b/>
          <w:sz w:val="24"/>
          <w:szCs w:val="24"/>
        </w:rPr>
        <w:t xml:space="preserve">4.4.3  </w:t>
      </w:r>
      <w:r>
        <w:rPr>
          <w:bCs/>
          <w:sz w:val="24"/>
          <w:szCs w:val="24"/>
        </w:rPr>
        <w:t>预制夹心保温混凝土墙体中，单个预埋保温拉结件的抗拔承载力检测应符合下列规定：</w:t>
      </w:r>
    </w:p>
    <w:p>
      <w:pPr>
        <w:spacing w:line="360" w:lineRule="auto"/>
        <w:ind w:firstLine="481" w:firstLineChars="200"/>
        <w:rPr>
          <w:b/>
          <w:sz w:val="24"/>
          <w:szCs w:val="24"/>
        </w:rPr>
      </w:pPr>
      <w:r>
        <w:rPr>
          <w:b/>
          <w:sz w:val="24"/>
          <w:szCs w:val="24"/>
        </w:rPr>
        <w:t xml:space="preserve">1  </w:t>
      </w:r>
      <w:r>
        <w:rPr>
          <w:bCs/>
          <w:sz w:val="24"/>
          <w:szCs w:val="24"/>
        </w:rPr>
        <w:t>纤维增强复合材料保温拉结件和针式不锈钢材料保温拉结件应进行单个拉结件的抗拔承载力检测；</w:t>
      </w:r>
    </w:p>
    <w:p>
      <w:pPr>
        <w:spacing w:line="360" w:lineRule="auto"/>
        <w:ind w:firstLine="481" w:firstLineChars="200"/>
        <w:rPr>
          <w:bCs/>
          <w:color w:val="FF0000"/>
          <w:sz w:val="24"/>
          <w:szCs w:val="24"/>
        </w:rPr>
      </w:pPr>
      <w:r>
        <w:rPr>
          <w:b/>
          <w:sz w:val="24"/>
          <w:szCs w:val="24"/>
        </w:rPr>
        <w:t xml:space="preserve">2  </w:t>
      </w:r>
      <w:r>
        <w:rPr>
          <w:sz w:val="24"/>
          <w:szCs w:val="24"/>
        </w:rPr>
        <w:t>在进行单个保温拉结件的抗拔承载力检测时，混凝土抗压强度应达到设计要求；</w:t>
      </w:r>
    </w:p>
    <w:p>
      <w:pPr>
        <w:spacing w:line="360" w:lineRule="auto"/>
        <w:ind w:firstLine="481" w:firstLineChars="200"/>
        <w:rPr>
          <w:bCs/>
          <w:sz w:val="24"/>
          <w:szCs w:val="24"/>
        </w:rPr>
      </w:pPr>
      <w:r>
        <w:rPr>
          <w:b/>
          <w:bCs/>
          <w:sz w:val="24"/>
          <w:szCs w:val="24"/>
        </w:rPr>
        <w:t xml:space="preserve">3  </w:t>
      </w:r>
      <w:r>
        <w:rPr>
          <w:bCs/>
          <w:sz w:val="24"/>
          <w:szCs w:val="24"/>
        </w:rPr>
        <w:t>应以保温拉结件所在位置作为圆柱体的轴心，钻取直径不宜小于150mm的</w:t>
      </w:r>
      <w:r>
        <w:rPr>
          <w:rFonts w:hint="eastAsia"/>
          <w:bCs/>
          <w:sz w:val="24"/>
          <w:szCs w:val="24"/>
        </w:rPr>
        <w:t>混凝土</w:t>
      </w:r>
      <w:r>
        <w:rPr>
          <w:bCs/>
          <w:sz w:val="24"/>
          <w:szCs w:val="24"/>
        </w:rPr>
        <w:t>圆柱体试件，应沿墙体厚度方向钻透，获得含有内叶板、保温材料、外叶板和保温拉结件的组合体试件；</w:t>
      </w:r>
    </w:p>
    <w:p>
      <w:pPr>
        <w:spacing w:line="360" w:lineRule="auto"/>
        <w:ind w:firstLine="481" w:firstLineChars="200"/>
        <w:rPr>
          <w:bCs/>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4  </w:t>
      </w:r>
      <w:r>
        <w:rPr>
          <w:bCs/>
          <w:color w:val="000000" w:themeColor="text1"/>
          <w:sz w:val="24"/>
          <w:szCs w:val="24"/>
          <w14:textFill>
            <w14:solidFill>
              <w14:schemeClr w14:val="tx1"/>
            </w14:solidFill>
          </w14:textFill>
        </w:rPr>
        <w:t>试件内不宜含有钢筋，拉结件的位置距圆柱体侧面的最小距离不应小于45mm，钻芯过程对拉结件的锚固性能应无明显扰动；</w:t>
      </w:r>
    </w:p>
    <w:p>
      <w:pPr>
        <w:spacing w:line="360" w:lineRule="auto"/>
        <w:ind w:firstLine="481" w:firstLineChars="200"/>
        <w:rPr>
          <w:bCs/>
          <w:sz w:val="24"/>
          <w:szCs w:val="24"/>
        </w:rPr>
      </w:pPr>
      <w:r>
        <w:rPr>
          <w:b/>
          <w:sz w:val="24"/>
          <w:szCs w:val="24"/>
        </w:rPr>
        <w:t xml:space="preserve">5  </w:t>
      </w:r>
      <w:r>
        <w:rPr>
          <w:sz w:val="24"/>
          <w:szCs w:val="24"/>
        </w:rPr>
        <w:t>应</w:t>
      </w:r>
      <w:r>
        <w:rPr>
          <w:bCs/>
          <w:sz w:val="24"/>
          <w:szCs w:val="24"/>
        </w:rPr>
        <w:t>将试件的内叶板混凝土固定，加载的作用力方向应沿着保温拉结件的轴</w:t>
      </w:r>
      <w:r>
        <w:rPr>
          <w:bCs/>
          <w:color w:val="000000" w:themeColor="text1"/>
          <w:sz w:val="24"/>
          <w:szCs w:val="24"/>
          <w14:textFill>
            <w14:solidFill>
              <w14:schemeClr w14:val="tx1"/>
            </w14:solidFill>
          </w14:textFill>
        </w:rPr>
        <w:t>向（图4.4.3），</w:t>
      </w:r>
      <w:r>
        <w:rPr>
          <w:bCs/>
          <w:sz w:val="24"/>
          <w:szCs w:val="24"/>
        </w:rPr>
        <w:t>应</w:t>
      </w:r>
      <w:r>
        <w:rPr>
          <w:bCs/>
          <w:color w:val="000000" w:themeColor="text1"/>
          <w:sz w:val="24"/>
          <w:szCs w:val="24"/>
          <w14:textFill>
            <w14:solidFill>
              <w14:schemeClr w14:val="tx1"/>
            </w14:solidFill>
          </w14:textFill>
        </w:rPr>
        <w:t>对外叶板混凝土施加连续荷载直至锚固破坏，加载速率宜控制在</w:t>
      </w:r>
      <w:r>
        <w:rPr>
          <w:bCs/>
          <w:sz w:val="24"/>
          <w:szCs w:val="24"/>
        </w:rPr>
        <w:t>1kN/min~3kN/min之间；</w:t>
      </w:r>
    </w:p>
    <w:p>
      <w:pPr>
        <w:spacing w:line="360" w:lineRule="auto"/>
        <w:ind w:firstLine="481" w:firstLineChars="200"/>
        <w:rPr>
          <w:bCs/>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6  </w:t>
      </w:r>
      <w:r>
        <w:rPr>
          <w:bCs/>
          <w:color w:val="000000" w:themeColor="text1"/>
          <w:sz w:val="24"/>
          <w:szCs w:val="24"/>
          <w14:textFill>
            <w14:solidFill>
              <w14:schemeClr w14:val="tx1"/>
            </w14:solidFill>
          </w14:textFill>
        </w:rPr>
        <w:t>检测批保温拉结件的抗拔承载力标准值可按下列公式计算：</w:t>
      </w:r>
    </w:p>
    <w:p>
      <w:pPr>
        <w:wordWrap w:val="0"/>
        <w:spacing w:line="360" w:lineRule="auto"/>
        <w:ind w:firstLine="480" w:firstLineChars="200"/>
        <w:jc w:val="right"/>
        <w:rPr>
          <w:bCs/>
          <w:color w:val="000000" w:themeColor="text1"/>
          <w:sz w:val="24"/>
          <w:szCs w:val="24"/>
          <w14:textFill>
            <w14:solidFill>
              <w14:schemeClr w14:val="tx1"/>
            </w14:solidFill>
          </w14:textFill>
        </w:rPr>
      </w:pPr>
      <w:bookmarkStart w:id="75" w:name="_Hlk119936847"/>
      <w:r>
        <w:rPr>
          <w:bCs/>
          <w:color w:val="000000" w:themeColor="text1"/>
          <w:position w:val="-12"/>
          <w:sz w:val="24"/>
          <w:szCs w:val="24"/>
          <w14:textFill>
            <w14:solidFill>
              <w14:schemeClr w14:val="tx1"/>
            </w14:solidFill>
          </w14:textFill>
        </w:rPr>
        <w:object>
          <v:shape id="_x0000_i1059" o:spt="75" type="#_x0000_t75" style="height:19pt;width:85.8pt;" o:ole="t" filled="f" o:preferrelative="t" stroked="f" coordsize="21600,21600">
            <v:path/>
            <v:fill on="f" focussize="0,0"/>
            <v:stroke on="f" joinstyle="miter"/>
            <v:imagedata r:id="rId79" o:title=""/>
            <o:lock v:ext="edit" aspectratio="t"/>
            <w10:wrap type="none"/>
            <w10:anchorlock/>
          </v:shape>
          <o:OLEObject Type="Embed" ProgID="Equation.DSMT4" ShapeID="_x0000_i1059" DrawAspect="Content" ObjectID="_1468075759" r:id="rId78">
            <o:LockedField>false</o:LockedField>
          </o:OLEObject>
        </w:object>
      </w:r>
      <w:r>
        <w:rPr>
          <w:bCs/>
          <w:color w:val="000000" w:themeColor="text1"/>
          <w:sz w:val="24"/>
          <w:szCs w:val="24"/>
          <w14:textFill>
            <w14:solidFill>
              <w14:schemeClr w14:val="tx1"/>
            </w14:solidFill>
          </w14:textFill>
        </w:rPr>
        <w:t xml:space="preserve">                   （4.4.3-1）</w:t>
      </w:r>
    </w:p>
    <w:p>
      <w:pPr>
        <w:wordWrap w:val="0"/>
        <w:spacing w:line="360" w:lineRule="auto"/>
        <w:ind w:firstLine="480" w:firstLineChars="200"/>
        <w:jc w:val="right"/>
        <w:rPr>
          <w:bCs/>
          <w:color w:val="000000" w:themeColor="text1"/>
          <w:sz w:val="24"/>
          <w:szCs w:val="24"/>
          <w14:textFill>
            <w14:solidFill>
              <w14:schemeClr w14:val="tx1"/>
            </w14:solidFill>
          </w14:textFill>
        </w:rPr>
      </w:pPr>
      <w:r>
        <w:rPr>
          <w:bCs/>
          <w:color w:val="000000" w:themeColor="text1"/>
          <w:position w:val="-28"/>
          <w:sz w:val="24"/>
          <w:szCs w:val="24"/>
          <w14:textFill>
            <w14:solidFill>
              <w14:schemeClr w14:val="tx1"/>
            </w14:solidFill>
          </w14:textFill>
        </w:rPr>
        <w:object>
          <v:shape id="_x0000_i1060" o:spt="75" type="#_x0000_t75" style="height:34.55pt;width:70.25pt;" o:ole="t" filled="f" o:preferrelative="t" stroked="f" coordsize="21600,21600">
            <v:path/>
            <v:fill on="f" focussize="0,0"/>
            <v:stroke on="f" joinstyle="miter"/>
            <v:imagedata r:id="rId81" o:title=""/>
            <o:lock v:ext="edit" aspectratio="t"/>
            <w10:wrap type="none"/>
            <w10:anchorlock/>
          </v:shape>
          <o:OLEObject Type="Embed" ProgID="Equation.DSMT4" ShapeID="_x0000_i1060" DrawAspect="Content" ObjectID="_1468075760" r:id="rId80">
            <o:LockedField>false</o:LockedField>
          </o:OLEObject>
        </w:object>
      </w:r>
      <w:r>
        <w:rPr>
          <w:bCs/>
          <w:color w:val="000000" w:themeColor="text1"/>
          <w:sz w:val="24"/>
          <w:szCs w:val="24"/>
          <w14:textFill>
            <w14:solidFill>
              <w14:schemeClr w14:val="tx1"/>
            </w14:solidFill>
          </w14:textFill>
        </w:rPr>
        <w:t xml:space="preserve">                     （4.4.3-2）</w:t>
      </w:r>
    </w:p>
    <w:p>
      <w:pPr>
        <w:wordWrap w:val="0"/>
        <w:spacing w:line="360" w:lineRule="auto"/>
        <w:ind w:firstLine="480" w:firstLineChars="200"/>
        <w:jc w:val="right"/>
        <w:rPr>
          <w:bCs/>
          <w:color w:val="000000" w:themeColor="text1"/>
          <w:sz w:val="24"/>
          <w:szCs w:val="24"/>
          <w14:textFill>
            <w14:solidFill>
              <w14:schemeClr w14:val="tx1"/>
            </w14:solidFill>
          </w14:textFill>
        </w:rPr>
      </w:pPr>
      <w:r>
        <w:rPr>
          <w:bCs/>
          <w:color w:val="000000" w:themeColor="text1"/>
          <w:position w:val="-26"/>
          <w:sz w:val="24"/>
          <w:szCs w:val="24"/>
          <w14:textFill>
            <w14:solidFill>
              <w14:schemeClr w14:val="tx1"/>
            </w14:solidFill>
          </w14:textFill>
        </w:rPr>
        <w:object>
          <v:shape id="_x0000_i1061" o:spt="75" type="#_x0000_t75" style="height:52.4pt;width:106.55pt;" o:ole="t" filled="f" o:preferrelative="t" stroked="f" coordsize="21600,21600">
            <v:path/>
            <v:fill on="f" focussize="0,0"/>
            <v:stroke on="f" joinstyle="miter"/>
            <v:imagedata r:id="rId83" o:title=""/>
            <o:lock v:ext="edit" aspectratio="t"/>
            <w10:wrap type="none"/>
            <w10:anchorlock/>
          </v:shape>
          <o:OLEObject Type="Embed" ProgID="Equation.DSMT4" ShapeID="_x0000_i1061" DrawAspect="Content" ObjectID="_1468075761" r:id="rId82">
            <o:LockedField>false</o:LockedField>
          </o:OLEObject>
        </w:object>
      </w:r>
      <w:r>
        <w:rPr>
          <w:bCs/>
          <w:color w:val="000000" w:themeColor="text1"/>
          <w:sz w:val="24"/>
          <w:szCs w:val="24"/>
          <w14:textFill>
            <w14:solidFill>
              <w14:schemeClr w14:val="tx1"/>
            </w14:solidFill>
          </w14:textFill>
        </w:rPr>
        <w:t xml:space="preserve">                   （4.4.3-3）</w:t>
      </w:r>
    </w:p>
    <w:p>
      <w:pPr>
        <w:spacing w:line="360" w:lineRule="auto"/>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式中：</w:t>
      </w:r>
      <w:r>
        <w:rPr>
          <w:color w:val="000000" w:themeColor="text1"/>
          <w:position w:val="-12"/>
          <w:sz w:val="24"/>
          <w14:textFill>
            <w14:solidFill>
              <w14:schemeClr w14:val="tx1"/>
            </w14:solidFill>
          </w14:textFill>
        </w:rPr>
        <w:object>
          <v:shape id="_x0000_i1062" o:spt="75" type="#_x0000_t75" style="height:19pt;width:17.3pt;" o:ole="t" filled="f" o:preferrelative="t" stroked="f" coordsize="21600,21600">
            <v:path/>
            <v:fill on="f" focussize="0,0"/>
            <v:stroke on="f" joinstyle="miter"/>
            <v:imagedata r:id="rId49" o:title=""/>
            <o:lock v:ext="edit" aspectratio="t"/>
            <w10:wrap type="none"/>
            <w10:anchorlock/>
          </v:shape>
          <o:OLEObject Type="Embed" ProgID="Equation.DSMT4" ShapeID="_x0000_i1062" DrawAspect="Content" ObjectID="_1468075762" r:id="rId84">
            <o:LockedField>false</o:LockedField>
          </o:OLEObject>
        </w:object>
      </w:r>
      <w:r>
        <w:rPr>
          <w:bCs/>
          <w:color w:val="000000" w:themeColor="text1"/>
          <w:sz w:val="24"/>
          <w:szCs w:val="24"/>
          <w14:textFill>
            <w14:solidFill>
              <w14:schemeClr w14:val="tx1"/>
            </w14:solidFill>
          </w14:textFill>
        </w:rPr>
        <w:t>——保温拉结件抗拔承载力标准值（kN），可精确至0.1kN；</w:t>
      </w:r>
    </w:p>
    <w:p>
      <w:pPr>
        <w:spacing w:line="360" w:lineRule="auto"/>
        <w:ind w:firstLine="720" w:firstLineChars="300"/>
        <w:rPr>
          <w:bCs/>
          <w:color w:val="000000" w:themeColor="text1"/>
          <w:sz w:val="24"/>
          <w:szCs w:val="24"/>
          <w14:textFill>
            <w14:solidFill>
              <w14:schemeClr w14:val="tx1"/>
            </w14:solidFill>
          </w14:textFill>
        </w:rPr>
      </w:pPr>
      <w:r>
        <w:rPr>
          <w:color w:val="000000" w:themeColor="text1"/>
          <w:position w:val="-12"/>
          <w:sz w:val="24"/>
          <w14:textFill>
            <w14:solidFill>
              <w14:schemeClr w14:val="tx1"/>
            </w14:solidFill>
          </w14:textFill>
        </w:rPr>
        <w:object>
          <v:shape id="_x0000_i1063" o:spt="75" type="#_x0000_t75" style="height:19pt;width:19.6pt;" o:ole="t" filled="f" o:preferrelative="t" stroked="f" coordsize="21600,21600">
            <v:path/>
            <v:fill on="f" focussize="0,0"/>
            <v:stroke on="f" joinstyle="miter"/>
            <v:imagedata r:id="rId47" o:title=""/>
            <o:lock v:ext="edit" aspectratio="t"/>
            <w10:wrap type="none"/>
            <w10:anchorlock/>
          </v:shape>
          <o:OLEObject Type="Embed" ProgID="Equation.DSMT4" ShapeID="_x0000_i1063" DrawAspect="Content" ObjectID="_1468075763" r:id="rId85">
            <o:LockedField>false</o:LockedField>
          </o:OLEObject>
        </w:object>
      </w:r>
      <w:r>
        <w:rPr>
          <w:bCs/>
          <w:color w:val="000000" w:themeColor="text1"/>
          <w:sz w:val="24"/>
          <w:szCs w:val="24"/>
          <w14:textFill>
            <w14:solidFill>
              <w14:schemeClr w14:val="tx1"/>
            </w14:solidFill>
          </w14:textFill>
        </w:rPr>
        <w:t>——保温拉结件抗拔承载力平均值（kN），可精确至0.1kN；</w:t>
      </w:r>
    </w:p>
    <w:p>
      <w:pPr>
        <w:spacing w:line="360" w:lineRule="auto"/>
        <w:ind w:firstLine="708" w:firstLineChars="295"/>
        <w:rPr>
          <w:bCs/>
          <w:color w:val="000000" w:themeColor="text1"/>
          <w:sz w:val="24"/>
          <w:szCs w:val="24"/>
          <w14:textFill>
            <w14:solidFill>
              <w14:schemeClr w14:val="tx1"/>
            </w14:solidFill>
          </w14:textFill>
        </w:rPr>
      </w:pPr>
      <w:r>
        <w:rPr>
          <w:color w:val="000000" w:themeColor="text1"/>
          <w:position w:val="-14"/>
          <w:sz w:val="24"/>
          <w14:textFill>
            <w14:solidFill>
              <w14:schemeClr w14:val="tx1"/>
            </w14:solidFill>
          </w14:textFill>
        </w:rPr>
        <w:object>
          <v:shape id="_x0000_i1064" o:spt="75" type="#_x0000_t75" style="height:19.6pt;width:17.3pt;" o:ole="t" filled="f" o:preferrelative="t" stroked="f" coordsize="21600,21600">
            <v:path/>
            <v:fill on="f" focussize="0,0"/>
            <v:stroke on="f" joinstyle="miter"/>
            <v:imagedata r:id="rId87" o:title=""/>
            <o:lock v:ext="edit" aspectratio="t"/>
            <w10:wrap type="none"/>
            <w10:anchorlock/>
          </v:shape>
          <o:OLEObject Type="Embed" ProgID="Equation.DSMT4" ShapeID="_x0000_i1064" DrawAspect="Content" ObjectID="_1468075764" r:id="rId86">
            <o:LockedField>false</o:LockedField>
          </o:OLEObject>
        </w:object>
      </w:r>
      <w:r>
        <w:rPr>
          <w:bCs/>
          <w:color w:val="000000" w:themeColor="text1"/>
          <w:sz w:val="24"/>
          <w:szCs w:val="24"/>
          <w14:textFill>
            <w14:solidFill>
              <w14:schemeClr w14:val="tx1"/>
            </w14:solidFill>
          </w14:textFill>
        </w:rPr>
        <w:t>——第i个试件抗拔承载力实测值（kN），可精确至0.1kN；</w:t>
      </w:r>
    </w:p>
    <w:p>
      <w:pPr>
        <w:spacing w:line="360" w:lineRule="auto"/>
        <w:ind w:firstLine="708" w:firstLineChars="295"/>
        <w:rPr>
          <w:bCs/>
          <w:color w:val="000000" w:themeColor="text1"/>
          <w:sz w:val="24"/>
          <w:szCs w:val="24"/>
          <w14:textFill>
            <w14:solidFill>
              <w14:schemeClr w14:val="tx1"/>
            </w14:solidFill>
          </w14:textFill>
        </w:rPr>
      </w:pPr>
      <w:r>
        <w:rPr>
          <w:color w:val="000000" w:themeColor="text1"/>
          <w:position w:val="-12"/>
          <w:sz w:val="24"/>
          <w14:textFill>
            <w14:solidFill>
              <w14:schemeClr w14:val="tx1"/>
            </w14:solidFill>
          </w14:textFill>
        </w:rPr>
        <w:object>
          <v:shape id="_x0000_i1065" o:spt="75" type="#_x0000_t75" style="height:19pt;width:13.25pt;" o:ole="t" filled="f" o:preferrelative="t" stroked="f" coordsize="21600,21600">
            <v:path/>
            <v:fill on="f" focussize="0,0"/>
            <v:stroke on="f" joinstyle="miter"/>
            <v:imagedata r:id="rId53" o:title=""/>
            <o:lock v:ext="edit" aspectratio="t"/>
            <w10:wrap type="none"/>
            <w10:anchorlock/>
          </v:shape>
          <o:OLEObject Type="Embed" ProgID="Equation.DSMT4" ShapeID="_x0000_i1065" DrawAspect="Content" ObjectID="_1468075765" r:id="rId88">
            <o:LockedField>false</o:LockedField>
          </o:OLEObject>
        </w:object>
      </w:r>
      <w:r>
        <w:rPr>
          <w:bCs/>
          <w:color w:val="000000" w:themeColor="text1"/>
          <w:sz w:val="24"/>
          <w:szCs w:val="24"/>
          <w14:textFill>
            <w14:solidFill>
              <w14:schemeClr w14:val="tx1"/>
            </w14:solidFill>
          </w14:textFill>
        </w:rPr>
        <w:t>——保温拉结件抗拔承载力标准差（kN），可精确至0.01kN；</w:t>
      </w:r>
    </w:p>
    <w:p>
      <w:pPr>
        <w:spacing w:line="360" w:lineRule="auto"/>
        <w:ind w:firstLine="720" w:firstLineChars="300"/>
        <w:rPr>
          <w:bCs/>
          <w:color w:val="000000" w:themeColor="text1"/>
          <w:sz w:val="24"/>
          <w:szCs w:val="24"/>
          <w14:textFill>
            <w14:solidFill>
              <w14:schemeClr w14:val="tx1"/>
            </w14:solidFill>
          </w14:textFill>
        </w:rPr>
      </w:pPr>
      <w:r>
        <w:rPr>
          <w:bCs/>
          <w:iCs/>
          <w:color w:val="000000" w:themeColor="text1"/>
          <w:sz w:val="24"/>
          <w:szCs w:val="24"/>
          <w14:textFill>
            <w14:solidFill>
              <w14:schemeClr w14:val="tx1"/>
            </w14:solidFill>
          </w14:textFill>
        </w:rPr>
        <w:t>n</w:t>
      </w:r>
      <w:r>
        <w:rPr>
          <w:bCs/>
          <w:color w:val="000000" w:themeColor="text1"/>
          <w:sz w:val="24"/>
          <w:szCs w:val="24"/>
          <w14:textFill>
            <w14:solidFill>
              <w14:schemeClr w14:val="tx1"/>
            </w14:solidFill>
          </w14:textFill>
        </w:rPr>
        <w:t>——试件数量；</w:t>
      </w:r>
    </w:p>
    <w:p>
      <w:pPr>
        <w:spacing w:line="360" w:lineRule="auto"/>
        <w:ind w:firstLine="708" w:firstLineChars="295"/>
        <w:rPr>
          <w:bCs/>
          <w:color w:val="000000" w:themeColor="text1"/>
          <w:sz w:val="24"/>
          <w:szCs w:val="24"/>
          <w14:textFill>
            <w14:solidFill>
              <w14:schemeClr w14:val="tx1"/>
            </w14:solidFill>
          </w14:textFill>
        </w:rPr>
      </w:pPr>
      <m:oMath>
        <m:r>
          <m:rPr>
            <m:sty m:val="p"/>
          </m:rPr>
          <w:rPr>
            <w:rFonts w:ascii="Cambria Math" w:hAnsi="Cambria Math"/>
            <w:color w:val="000000" w:themeColor="text1"/>
            <w:sz w:val="24"/>
            <w:szCs w:val="24"/>
            <w14:textFill>
              <w14:solidFill>
                <w14:schemeClr w14:val="tx1"/>
              </w14:solidFill>
            </w14:textFill>
          </w:rPr>
          <m:t>k</m:t>
        </m:r>
      </m:oMath>
      <w:r>
        <w:rPr>
          <w:rFonts w:hint="eastAsia"/>
          <w:color w:val="000000" w:themeColor="text1"/>
          <w:sz w:val="24"/>
          <w:szCs w:val="24"/>
          <w:vertAlign w:val="subscript"/>
          <w14:textFill>
            <w14:solidFill>
              <w14:schemeClr w14:val="tx1"/>
            </w14:solidFill>
          </w14:textFill>
        </w:rPr>
        <w:t>2</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推定系数，可按本标准附录B</w:t>
      </w:r>
      <w:r>
        <w:rPr>
          <w:bCs/>
          <w:color w:val="000000" w:themeColor="text1"/>
          <w:sz w:val="24"/>
          <w:szCs w:val="24"/>
          <w14:textFill>
            <w14:solidFill>
              <w14:schemeClr w14:val="tx1"/>
            </w14:solidFill>
          </w14:textFill>
        </w:rPr>
        <w:t>.0.1</w:t>
      </w:r>
      <w:r>
        <w:rPr>
          <w:rFonts w:hint="eastAsia"/>
          <w:bCs/>
          <w:color w:val="000000" w:themeColor="text1"/>
          <w:sz w:val="24"/>
          <w:szCs w:val="24"/>
          <w14:textFill>
            <w14:solidFill>
              <w14:schemeClr w14:val="tx1"/>
            </w14:solidFill>
          </w14:textFill>
        </w:rPr>
        <w:t>条的规定取值，漏判概率宜取0</w:t>
      </w:r>
      <w:r>
        <w:rPr>
          <w:bCs/>
          <w:color w:val="000000" w:themeColor="text1"/>
          <w:sz w:val="24"/>
          <w:szCs w:val="24"/>
          <w14:textFill>
            <w14:solidFill>
              <w14:schemeClr w14:val="tx1"/>
            </w14:solidFill>
          </w14:textFill>
        </w:rPr>
        <w:t>.10</w:t>
      </w:r>
      <w:r>
        <w:rPr>
          <w:rFonts w:hint="eastAsia"/>
          <w:bCs/>
          <w:color w:val="000000" w:themeColor="text1"/>
          <w:sz w:val="24"/>
          <w:szCs w:val="24"/>
          <w14:textFill>
            <w14:solidFill>
              <w14:schemeClr w14:val="tx1"/>
            </w14:solidFill>
          </w14:textFill>
        </w:rPr>
        <w:t>。</w:t>
      </w:r>
    </w:p>
    <w:bookmarkEnd w:id="75"/>
    <w:p>
      <w:pPr>
        <w:spacing w:line="360" w:lineRule="auto"/>
        <w:jc w:val="center"/>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drawing>
          <wp:inline distT="0" distB="0" distL="0" distR="0">
            <wp:extent cx="956310" cy="2076450"/>
            <wp:effectExtent l="0" t="0" r="0" b="0"/>
            <wp:docPr id="6"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true" noChangeArrowheads="true"/>
                    </pic:cNvPicPr>
                  </pic:nvPicPr>
                  <pic:blipFill>
                    <a:blip r:embed="rId89" cstate="print">
                      <a:extLst>
                        <a:ext uri="{28A0092B-C50C-407E-A947-70E740481C1C}">
                          <a14:useLocalDpi xmlns:a14="http://schemas.microsoft.com/office/drawing/2010/main" val="false"/>
                        </a:ext>
                      </a:extLst>
                    </a:blip>
                    <a:srcRect/>
                    <a:stretch>
                      <a:fillRect/>
                    </a:stretch>
                  </pic:blipFill>
                  <pic:spPr>
                    <a:xfrm>
                      <a:off x="0" y="0"/>
                      <a:ext cx="960902" cy="2085643"/>
                    </a:xfrm>
                    <a:prstGeom prst="rect">
                      <a:avLst/>
                    </a:prstGeom>
                    <a:noFill/>
                    <a:ln>
                      <a:noFill/>
                    </a:ln>
                  </pic:spPr>
                </pic:pic>
              </a:graphicData>
            </a:graphic>
          </wp:inline>
        </w:drawing>
      </w:r>
    </w:p>
    <w:p>
      <w:pPr>
        <w:pStyle w:val="66"/>
        <w:numPr>
          <w:ilvl w:val="0"/>
          <w:numId w:val="2"/>
        </w:numPr>
        <w:spacing w:line="360" w:lineRule="auto"/>
        <w:ind w:firstLineChars="0"/>
        <w:jc w:val="center"/>
        <w:rPr>
          <w:rFonts w:ascii="Times New Roman" w:hAnsi="Times New Roman"/>
          <w:bCs/>
          <w:sz w:val="21"/>
          <w:szCs w:val="21"/>
        </w:rPr>
      </w:pPr>
      <w:r>
        <w:rPr>
          <w:rFonts w:ascii="Times New Roman" w:hAnsi="Times New Roman"/>
          <w:bCs/>
          <w:sz w:val="21"/>
          <w:szCs w:val="21"/>
        </w:rPr>
        <w:t>外叶板混凝土；2—保温拉结件；3—内叶板混凝土</w:t>
      </w:r>
    </w:p>
    <w:p>
      <w:pPr>
        <w:spacing w:line="360" w:lineRule="auto"/>
        <w:jc w:val="center"/>
        <w:rPr>
          <w:b/>
          <w:szCs w:val="24"/>
        </w:rPr>
      </w:pPr>
      <w:r>
        <w:rPr>
          <w:b/>
          <w:szCs w:val="24"/>
        </w:rPr>
        <w:t>图4.4.3  单个保温拉结件抗拔承载力加载示意图</w:t>
      </w:r>
    </w:p>
    <w:p>
      <w:pPr>
        <w:spacing w:line="360" w:lineRule="auto"/>
        <w:rPr>
          <w:b/>
          <w:sz w:val="24"/>
          <w:szCs w:val="24"/>
        </w:rPr>
      </w:pPr>
      <w:r>
        <w:rPr>
          <w:b/>
          <w:sz w:val="24"/>
          <w:szCs w:val="24"/>
        </w:rPr>
        <w:t xml:space="preserve">4.4.4  </w:t>
      </w:r>
      <w:r>
        <w:rPr>
          <w:bCs/>
          <w:sz w:val="24"/>
          <w:szCs w:val="24"/>
        </w:rPr>
        <w:t>预制夹心保温混凝土墙体中，预埋保温拉结件的群锚整体抗剪承载力检测应符合下列规定：</w:t>
      </w:r>
    </w:p>
    <w:p>
      <w:pPr>
        <w:spacing w:line="360" w:lineRule="auto"/>
        <w:ind w:firstLine="481" w:firstLineChars="200"/>
        <w:rPr>
          <w:bCs/>
          <w:sz w:val="24"/>
          <w:szCs w:val="24"/>
        </w:rPr>
      </w:pPr>
      <w:r>
        <w:rPr>
          <w:b/>
          <w:sz w:val="24"/>
          <w:szCs w:val="24"/>
        </w:rPr>
        <w:t xml:space="preserve">1  </w:t>
      </w:r>
      <w:r>
        <w:rPr>
          <w:sz w:val="24"/>
          <w:szCs w:val="24"/>
        </w:rPr>
        <w:t>板式</w:t>
      </w:r>
      <w:r>
        <w:rPr>
          <w:bCs/>
          <w:sz w:val="24"/>
          <w:szCs w:val="24"/>
        </w:rPr>
        <w:t>不锈钢保温拉结件和钢筋桁架式保温拉结件应进行群锚整体抗剪承载力检测；</w:t>
      </w:r>
    </w:p>
    <w:p>
      <w:pPr>
        <w:spacing w:line="360" w:lineRule="auto"/>
        <w:ind w:firstLine="481" w:firstLineChars="200"/>
        <w:rPr>
          <w:bCs/>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2 </w:t>
      </w:r>
      <w:r>
        <w:rPr>
          <w:bCs/>
          <w:color w:val="000000" w:themeColor="text1"/>
          <w:sz w:val="24"/>
          <w:szCs w:val="24"/>
          <w14:textFill>
            <w14:solidFill>
              <w14:schemeClr w14:val="tx1"/>
            </w14:solidFill>
          </w14:textFill>
        </w:rPr>
        <w:t xml:space="preserve"> 宜在墙体平面内沿两个方向分别进行</w:t>
      </w:r>
      <w:r>
        <w:rPr>
          <w:bCs/>
          <w:sz w:val="24"/>
          <w:szCs w:val="24"/>
        </w:rPr>
        <w:t>抗剪承载力</w:t>
      </w:r>
      <w:r>
        <w:rPr>
          <w:bCs/>
          <w:color w:val="000000" w:themeColor="text1"/>
          <w:sz w:val="24"/>
          <w:szCs w:val="24"/>
          <w14:textFill>
            <w14:solidFill>
              <w14:schemeClr w14:val="tx1"/>
            </w14:solidFill>
          </w14:textFill>
        </w:rPr>
        <w:t>检测；</w:t>
      </w:r>
    </w:p>
    <w:p>
      <w:pPr>
        <w:spacing w:line="360" w:lineRule="auto"/>
        <w:ind w:firstLine="481" w:firstLineChars="200"/>
        <w:rPr>
          <w:rFonts w:eastAsia="楷体"/>
          <w:bCs/>
          <w:color w:val="FF0000"/>
          <w:sz w:val="24"/>
          <w:szCs w:val="24"/>
        </w:rPr>
      </w:pPr>
      <w:r>
        <w:rPr>
          <w:b/>
          <w:sz w:val="24"/>
          <w:szCs w:val="24"/>
        </w:rPr>
        <w:t xml:space="preserve">3  </w:t>
      </w:r>
      <w:r>
        <w:rPr>
          <w:sz w:val="24"/>
          <w:szCs w:val="24"/>
        </w:rPr>
        <w:t>在进行群锚整体抗剪承载力检测时，混凝土抗压强度应达到设计要求；</w:t>
      </w:r>
    </w:p>
    <w:p>
      <w:pPr>
        <w:spacing w:line="360" w:lineRule="auto"/>
        <w:ind w:firstLine="481" w:firstLineChars="200"/>
        <w:rPr>
          <w:bCs/>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4  </w:t>
      </w:r>
      <w:r>
        <w:rPr>
          <w:bCs/>
          <w:color w:val="000000" w:themeColor="text1"/>
          <w:sz w:val="24"/>
          <w:szCs w:val="24"/>
          <w14:textFill>
            <w14:solidFill>
              <w14:schemeClr w14:val="tx1"/>
            </w14:solidFill>
          </w14:textFill>
        </w:rPr>
        <w:t>群锚整体抗剪承载力检测装置的分配梁应具有足够的刚度（图4.4.4）；</w:t>
      </w:r>
    </w:p>
    <w:p>
      <w:pPr>
        <w:spacing w:line="360" w:lineRule="auto"/>
        <w:jc w:val="center"/>
        <w:rPr>
          <w:bCs/>
          <w:sz w:val="24"/>
          <w:szCs w:val="24"/>
        </w:rPr>
      </w:pPr>
      <w:r>
        <w:rPr>
          <w:bCs/>
          <w:sz w:val="24"/>
          <w:szCs w:val="24"/>
        </w:rPr>
        <w:drawing>
          <wp:inline distT="0" distB="0" distL="0" distR="0">
            <wp:extent cx="3371850" cy="1787525"/>
            <wp:effectExtent l="0" t="0" r="0" b="3175"/>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noChangeArrowheads="true"/>
                    </pic:cNvPicPr>
                  </pic:nvPicPr>
                  <pic:blipFill>
                    <a:blip r:embed="rId90" cstate="print">
                      <a:extLst>
                        <a:ext uri="{28A0092B-C50C-407E-A947-70E740481C1C}">
                          <a14:useLocalDpi xmlns:a14="http://schemas.microsoft.com/office/drawing/2010/main" val="false"/>
                        </a:ext>
                      </a:extLst>
                    </a:blip>
                    <a:srcRect/>
                    <a:stretch>
                      <a:fillRect/>
                    </a:stretch>
                  </pic:blipFill>
                  <pic:spPr>
                    <a:xfrm>
                      <a:off x="0" y="0"/>
                      <a:ext cx="3401323" cy="1803520"/>
                    </a:xfrm>
                    <a:prstGeom prst="rect">
                      <a:avLst/>
                    </a:prstGeom>
                    <a:noFill/>
                    <a:ln>
                      <a:noFill/>
                    </a:ln>
                  </pic:spPr>
                </pic:pic>
              </a:graphicData>
            </a:graphic>
          </wp:inline>
        </w:drawing>
      </w:r>
    </w:p>
    <w:p>
      <w:pPr>
        <w:spacing w:line="360" w:lineRule="auto"/>
        <w:ind w:firstLine="420" w:firstLineChars="200"/>
        <w:jc w:val="center"/>
        <w:rPr>
          <w:bCs/>
          <w:szCs w:val="21"/>
        </w:rPr>
      </w:pPr>
      <w:r>
        <w:rPr>
          <w:bCs/>
          <w:szCs w:val="21"/>
        </w:rPr>
        <w:t>（a）俯视图</w:t>
      </w:r>
    </w:p>
    <w:p>
      <w:pPr>
        <w:spacing w:line="360" w:lineRule="auto"/>
        <w:jc w:val="center"/>
        <w:rPr>
          <w:bCs/>
          <w:sz w:val="24"/>
          <w:szCs w:val="24"/>
        </w:rPr>
      </w:pPr>
      <w:r>
        <w:rPr>
          <w:bCs/>
          <w:sz w:val="24"/>
          <w:szCs w:val="24"/>
        </w:rPr>
        <w:drawing>
          <wp:inline distT="0" distB="0" distL="0" distR="0">
            <wp:extent cx="3205480" cy="996315"/>
            <wp:effectExtent l="0" t="0" r="0" b="0"/>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noChangeArrowheads="true"/>
                    </pic:cNvPicPr>
                  </pic:nvPicPr>
                  <pic:blipFill>
                    <a:blip r:embed="rId91" cstate="print">
                      <a:extLst>
                        <a:ext uri="{28A0092B-C50C-407E-A947-70E740481C1C}">
                          <a14:useLocalDpi xmlns:a14="http://schemas.microsoft.com/office/drawing/2010/main" val="false"/>
                        </a:ext>
                      </a:extLst>
                    </a:blip>
                    <a:srcRect/>
                    <a:stretch>
                      <a:fillRect/>
                    </a:stretch>
                  </pic:blipFill>
                  <pic:spPr>
                    <a:xfrm>
                      <a:off x="0" y="0"/>
                      <a:ext cx="3232671" cy="1005028"/>
                    </a:xfrm>
                    <a:prstGeom prst="rect">
                      <a:avLst/>
                    </a:prstGeom>
                    <a:noFill/>
                    <a:ln>
                      <a:noFill/>
                    </a:ln>
                  </pic:spPr>
                </pic:pic>
              </a:graphicData>
            </a:graphic>
          </wp:inline>
        </w:drawing>
      </w:r>
    </w:p>
    <w:p>
      <w:pPr>
        <w:spacing w:line="360" w:lineRule="auto"/>
        <w:ind w:firstLine="420" w:firstLineChars="200"/>
        <w:jc w:val="center"/>
        <w:rPr>
          <w:bCs/>
          <w:szCs w:val="21"/>
        </w:rPr>
      </w:pPr>
      <w:r>
        <w:rPr>
          <w:bCs/>
          <w:szCs w:val="21"/>
        </w:rPr>
        <w:t>（b）侧视图</w:t>
      </w:r>
    </w:p>
    <w:p>
      <w:pPr>
        <w:spacing w:line="360" w:lineRule="auto"/>
        <w:jc w:val="center"/>
        <w:rPr>
          <w:bCs/>
          <w:szCs w:val="24"/>
        </w:rPr>
      </w:pPr>
      <w:r>
        <w:rPr>
          <w:bCs/>
          <w:szCs w:val="24"/>
        </w:rPr>
        <w:t>1—千斤顶；2—荷载传感器；3—分配梁；4—外叶板；5—保温层；6—内叶板</w:t>
      </w:r>
    </w:p>
    <w:p>
      <w:pPr>
        <w:spacing w:line="360" w:lineRule="auto"/>
        <w:jc w:val="center"/>
        <w:rPr>
          <w:b/>
          <w:bCs/>
          <w:szCs w:val="21"/>
        </w:rPr>
      </w:pPr>
      <w:r>
        <w:rPr>
          <w:b/>
          <w:bCs/>
          <w:szCs w:val="21"/>
        </w:rPr>
        <w:t>图4.4.4 预埋保温拉结件的群锚整体抗剪承载力加载示意图</w:t>
      </w:r>
    </w:p>
    <w:p>
      <w:pPr>
        <w:spacing w:line="360" w:lineRule="auto"/>
        <w:ind w:firstLine="481" w:firstLineChars="200"/>
        <w:rPr>
          <w:bCs/>
          <w:color w:val="000000" w:themeColor="text1"/>
          <w:sz w:val="24"/>
          <w:szCs w:val="24"/>
          <w14:textFill>
            <w14:solidFill>
              <w14:schemeClr w14:val="tx1"/>
            </w14:solidFill>
          </w14:textFill>
        </w:rPr>
      </w:pPr>
      <w:r>
        <w:rPr>
          <w:b/>
          <w:sz w:val="24"/>
          <w:szCs w:val="24"/>
        </w:rPr>
        <w:t xml:space="preserve">5  </w:t>
      </w:r>
      <w:r>
        <w:rPr>
          <w:sz w:val="24"/>
          <w:szCs w:val="24"/>
        </w:rPr>
        <w:t>应</w:t>
      </w:r>
      <w:r>
        <w:rPr>
          <w:bCs/>
          <w:sz w:val="24"/>
          <w:szCs w:val="24"/>
        </w:rPr>
        <w:t>对外叶板端面施加与墙板平面平行的均匀连续荷载，</w:t>
      </w:r>
      <w:r>
        <w:rPr>
          <w:bCs/>
          <w:color w:val="000000" w:themeColor="text1"/>
          <w:sz w:val="24"/>
          <w:szCs w:val="24"/>
          <w14:textFill>
            <w14:solidFill>
              <w14:schemeClr w14:val="tx1"/>
            </w14:solidFill>
          </w14:textFill>
        </w:rPr>
        <w:t>加载速率宜控制在1kN/min~15kN/min</w:t>
      </w:r>
      <w:r>
        <w:rPr>
          <w:bCs/>
          <w:sz w:val="24"/>
          <w:szCs w:val="24"/>
        </w:rPr>
        <w:t>，并应测量内外叶板相对位移，加载至极限荷载或外叶板与内叶板相对位移达</w:t>
      </w:r>
      <w:r>
        <w:rPr>
          <w:bCs/>
          <w:color w:val="000000" w:themeColor="text1"/>
          <w:sz w:val="24"/>
          <w:szCs w:val="24"/>
          <w14:textFill>
            <w14:solidFill>
              <w14:schemeClr w14:val="tx1"/>
            </w14:solidFill>
          </w14:textFill>
        </w:rPr>
        <w:t>到允许值时应停止试验，加载过程中内叶板不应有平面外位移，并应记录荷载</w:t>
      </w:r>
      <w:r>
        <w:rPr>
          <w:rFonts w:hint="eastAsia"/>
          <w:bCs/>
          <w:color w:val="000000" w:themeColor="text1"/>
          <w:sz w:val="24"/>
          <w:szCs w:val="24"/>
          <w14:textFill>
            <w14:solidFill>
              <w14:schemeClr w14:val="tx1"/>
            </w14:solidFill>
          </w14:textFill>
        </w:rPr>
        <w:t>-</w:t>
      </w:r>
      <w:r>
        <w:rPr>
          <w:bCs/>
          <w:color w:val="000000" w:themeColor="text1"/>
          <w:sz w:val="24"/>
          <w:szCs w:val="24"/>
          <w14:textFill>
            <w14:solidFill>
              <w14:schemeClr w14:val="tx1"/>
            </w14:solidFill>
          </w14:textFill>
        </w:rPr>
        <w:t>位移曲线；</w:t>
      </w:r>
    </w:p>
    <w:p>
      <w:pPr>
        <w:spacing w:line="360" w:lineRule="auto"/>
        <w:ind w:firstLine="481" w:firstLineChars="200"/>
        <w:rPr>
          <w:bCs/>
          <w:color w:val="FF0000"/>
          <w:sz w:val="24"/>
          <w:szCs w:val="24"/>
        </w:rPr>
      </w:pPr>
      <w:r>
        <w:rPr>
          <w:b/>
          <w:color w:val="000000" w:themeColor="text1"/>
          <w:sz w:val="24"/>
          <w:szCs w:val="24"/>
          <w14:textFill>
            <w14:solidFill>
              <w14:schemeClr w14:val="tx1"/>
            </w14:solidFill>
          </w14:textFill>
        </w:rPr>
        <w:t xml:space="preserve">6  </w:t>
      </w:r>
      <w:r>
        <w:rPr>
          <w:color w:val="000000" w:themeColor="text1"/>
          <w:sz w:val="24"/>
          <w:szCs w:val="24"/>
          <w14:textFill>
            <w14:solidFill>
              <w14:schemeClr w14:val="tx1"/>
            </w14:solidFill>
          </w14:textFill>
        </w:rPr>
        <w:t>在极限荷载下</w:t>
      </w:r>
      <w:r>
        <w:rPr>
          <w:bCs/>
          <w:color w:val="000000" w:themeColor="text1"/>
          <w:sz w:val="24"/>
          <w:szCs w:val="24"/>
          <w14:textFill>
            <w14:solidFill>
              <w14:schemeClr w14:val="tx1"/>
            </w14:solidFill>
          </w14:textFill>
        </w:rPr>
        <w:t>，若外叶板与内叶板的相对位移不大于允许值时，试件的抗剪承载力应取极限荷载值；若外叶板与内叶板的相对位移大于允许值时，试件的抗剪承载力应取相对位移达到允许值时的荷载值。</w:t>
      </w:r>
    </w:p>
    <w:p>
      <w:pPr>
        <w:keepNext/>
        <w:keepLines/>
        <w:spacing w:before="120" w:beforeLines="50" w:after="120" w:afterLines="50" w:line="400" w:lineRule="exact"/>
        <w:jc w:val="center"/>
        <w:outlineLvl w:val="1"/>
        <w:rPr>
          <w:b/>
          <w:kern w:val="0"/>
          <w:sz w:val="24"/>
          <w:szCs w:val="24"/>
        </w:rPr>
      </w:pPr>
      <w:bookmarkStart w:id="76" w:name="_Toc120020284"/>
      <w:r>
        <w:rPr>
          <w:b/>
          <w:kern w:val="0"/>
          <w:sz w:val="24"/>
          <w:szCs w:val="24"/>
        </w:rPr>
        <w:t>4.5  预埋吊件锚固承载力</w:t>
      </w:r>
      <w:bookmarkEnd w:id="76"/>
      <w:r>
        <w:rPr>
          <w:rFonts w:eastAsia="黑体"/>
          <w:b/>
          <w:kern w:val="0"/>
          <w:sz w:val="28"/>
        </w:rPr>
        <w:fldChar w:fldCharType="begin"/>
      </w:r>
      <w:r>
        <w:rPr>
          <w:rFonts w:eastAsia="黑体"/>
          <w:b/>
          <w:kern w:val="0"/>
          <w:sz w:val="28"/>
        </w:rPr>
        <w:instrText xml:space="preserve"> TC  "</w:instrText>
      </w:r>
      <w:bookmarkStart w:id="77" w:name="_Toc108470228"/>
      <w:bookmarkStart w:id="78" w:name="_Toc135038268"/>
      <w:r>
        <w:rPr>
          <w:rFonts w:eastAsia="黑体"/>
          <w:b/>
          <w:kern w:val="0"/>
          <w:sz w:val="28"/>
        </w:rPr>
        <w:instrText xml:space="preserve">4.5  Anchorage bearing capacity of </w:instrText>
      </w:r>
      <w:bookmarkEnd w:id="77"/>
      <w:r>
        <w:rPr>
          <w:rFonts w:eastAsia="黑体"/>
          <w:b/>
          <w:kern w:val="0"/>
          <w:sz w:val="28"/>
        </w:rPr>
        <w:instrText xml:space="preserve">embedded hoisting part</w:instrText>
      </w:r>
      <w:bookmarkEnd w:id="78"/>
      <w:r>
        <w:rPr>
          <w:rFonts w:eastAsia="黑体"/>
          <w:b/>
          <w:kern w:val="0"/>
          <w:sz w:val="28"/>
        </w:rPr>
        <w:instrText xml:space="preserve">" \l 2 </w:instrText>
      </w:r>
      <w:r>
        <w:rPr>
          <w:rFonts w:eastAsia="黑体"/>
          <w:b/>
          <w:kern w:val="0"/>
          <w:sz w:val="28"/>
        </w:rPr>
        <w:fldChar w:fldCharType="end"/>
      </w:r>
    </w:p>
    <w:p>
      <w:pPr>
        <w:spacing w:line="360" w:lineRule="auto"/>
        <w:rPr>
          <w:color w:val="000000" w:themeColor="text1"/>
          <w:sz w:val="22"/>
          <w14:textFill>
            <w14:solidFill>
              <w14:schemeClr w14:val="tx1"/>
            </w14:solidFill>
          </w14:textFill>
        </w:rPr>
      </w:pPr>
      <w:r>
        <w:rPr>
          <w:b/>
          <w:color w:val="000000" w:themeColor="text1"/>
          <w:sz w:val="24"/>
          <w:szCs w:val="24"/>
          <w14:textFill>
            <w14:solidFill>
              <w14:schemeClr w14:val="tx1"/>
            </w14:solidFill>
          </w14:textFill>
        </w:rPr>
        <w:t xml:space="preserve">4.5.1  </w:t>
      </w:r>
      <w:r>
        <w:rPr>
          <w:color w:val="000000" w:themeColor="text1"/>
          <w:sz w:val="24"/>
          <w:szCs w:val="24"/>
          <w14:textFill>
            <w14:solidFill>
              <w14:schemeClr w14:val="tx1"/>
            </w14:solidFill>
          </w14:textFill>
        </w:rPr>
        <w:t>预埋吊件的锚固承载力可按抗拔承载力进行检测。</w:t>
      </w:r>
    </w:p>
    <w:p>
      <w:pPr>
        <w:spacing w:line="360" w:lineRule="auto"/>
        <w:rPr>
          <w:sz w:val="24"/>
          <w:szCs w:val="24"/>
        </w:rPr>
      </w:pPr>
      <w:r>
        <w:rPr>
          <w:b/>
          <w:sz w:val="24"/>
          <w:szCs w:val="24"/>
        </w:rPr>
        <w:t xml:space="preserve">4.5.2  </w:t>
      </w:r>
      <w:r>
        <w:rPr>
          <w:sz w:val="24"/>
          <w:szCs w:val="24"/>
        </w:rPr>
        <w:t>预埋吊件锚固承载力检测可分为非破损性检测和破损性检测，并应符合下列规定：</w:t>
      </w:r>
    </w:p>
    <w:p>
      <w:pPr>
        <w:spacing w:line="360" w:lineRule="auto"/>
        <w:ind w:firstLine="481" w:firstLineChars="200"/>
        <w:rPr>
          <w:b/>
          <w:sz w:val="24"/>
          <w:szCs w:val="24"/>
        </w:rPr>
      </w:pPr>
      <w:r>
        <w:rPr>
          <w:b/>
          <w:sz w:val="24"/>
          <w:szCs w:val="24"/>
        </w:rPr>
        <w:t xml:space="preserve">1  </w:t>
      </w:r>
      <w:r>
        <w:rPr>
          <w:sz w:val="24"/>
          <w:szCs w:val="24"/>
        </w:rPr>
        <w:t>当要求检测后不影响预制构件的使用时，应采用非破损性检测；</w:t>
      </w:r>
    </w:p>
    <w:p>
      <w:pPr>
        <w:spacing w:line="360" w:lineRule="auto"/>
        <w:ind w:firstLine="481" w:firstLineChars="200"/>
        <w:rPr>
          <w:sz w:val="24"/>
          <w:szCs w:val="24"/>
        </w:rPr>
      </w:pPr>
      <w:r>
        <w:rPr>
          <w:b/>
          <w:sz w:val="24"/>
          <w:szCs w:val="24"/>
        </w:rPr>
        <w:t xml:space="preserve">2  </w:t>
      </w:r>
      <w:r>
        <w:rPr>
          <w:sz w:val="24"/>
          <w:szCs w:val="24"/>
        </w:rPr>
        <w:t>当要求确定预埋吊件的极限锚固承载力时，应采用破损性检测；</w:t>
      </w:r>
    </w:p>
    <w:p>
      <w:pPr>
        <w:spacing w:line="360" w:lineRule="auto"/>
        <w:ind w:firstLine="481" w:firstLineChars="200"/>
        <w:rPr>
          <w:sz w:val="24"/>
          <w:szCs w:val="24"/>
        </w:rPr>
      </w:pPr>
      <w:r>
        <w:rPr>
          <w:b/>
          <w:sz w:val="24"/>
          <w:szCs w:val="24"/>
        </w:rPr>
        <w:t xml:space="preserve">3  </w:t>
      </w:r>
      <w:r>
        <w:rPr>
          <w:sz w:val="24"/>
          <w:szCs w:val="24"/>
        </w:rPr>
        <w:t>采用非破损性检测时，检测荷载值应根据设计图纸或产品技术手册确定</w:t>
      </w:r>
      <w:r>
        <w:rPr>
          <w:rFonts w:hint="eastAsia"/>
          <w:sz w:val="24"/>
          <w:szCs w:val="24"/>
        </w:rPr>
        <w:t>；</w:t>
      </w:r>
    </w:p>
    <w:p>
      <w:pPr>
        <w:spacing w:line="360" w:lineRule="auto"/>
        <w:ind w:firstLine="481" w:firstLineChars="200"/>
        <w:rPr>
          <w:sz w:val="24"/>
          <w:szCs w:val="24"/>
        </w:rPr>
      </w:pPr>
      <w:r>
        <w:rPr>
          <w:rFonts w:hint="eastAsia"/>
          <w:b/>
          <w:bCs/>
          <w:sz w:val="24"/>
          <w:szCs w:val="24"/>
        </w:rPr>
        <w:t>4</w:t>
      </w:r>
      <w:r>
        <w:rPr>
          <w:sz w:val="24"/>
          <w:szCs w:val="24"/>
        </w:rPr>
        <w:t xml:space="preserve">  </w:t>
      </w:r>
      <w:r>
        <w:rPr>
          <w:rFonts w:hint="eastAsia"/>
          <w:sz w:val="24"/>
          <w:szCs w:val="24"/>
        </w:rPr>
        <w:t>采用破损性检测时，可采用与预制构件同时制作的平行试件进行检测，并应保证锚固条件一致。</w:t>
      </w:r>
    </w:p>
    <w:p>
      <w:pPr>
        <w:spacing w:line="360" w:lineRule="auto"/>
        <w:rPr>
          <w:bCs/>
          <w:sz w:val="24"/>
          <w:szCs w:val="24"/>
        </w:rPr>
      </w:pPr>
      <w:r>
        <w:rPr>
          <w:b/>
          <w:sz w:val="24"/>
          <w:szCs w:val="24"/>
        </w:rPr>
        <w:t xml:space="preserve">4.5.3  </w:t>
      </w:r>
      <w:r>
        <w:rPr>
          <w:sz w:val="24"/>
          <w:szCs w:val="24"/>
        </w:rPr>
        <w:t>预埋吊件锚固承载力检测的</w:t>
      </w:r>
      <w:r>
        <w:rPr>
          <w:bCs/>
          <w:sz w:val="24"/>
          <w:szCs w:val="24"/>
        </w:rPr>
        <w:t>抽样规则应符合下列规定：</w:t>
      </w:r>
    </w:p>
    <w:p>
      <w:pPr>
        <w:spacing w:line="360" w:lineRule="auto"/>
        <w:ind w:firstLine="481" w:firstLineChars="200"/>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1  </w:t>
      </w:r>
      <w:r>
        <w:rPr>
          <w:color w:val="000000" w:themeColor="text1"/>
          <w:sz w:val="24"/>
          <w:szCs w:val="24"/>
          <w14:textFill>
            <w14:solidFill>
              <w14:schemeClr w14:val="tx1"/>
            </w14:solidFill>
          </w14:textFill>
        </w:rPr>
        <w:t>吊件规格型号相同、安装锚固部位基本相同以及混凝土强度等级相同的同类构件可作为一个检测批；</w:t>
      </w:r>
    </w:p>
    <w:p>
      <w:pPr>
        <w:spacing w:line="360" w:lineRule="auto"/>
        <w:ind w:firstLine="481" w:firstLineChars="200"/>
        <w:rPr>
          <w:sz w:val="24"/>
          <w:szCs w:val="24"/>
        </w:rPr>
      </w:pPr>
      <w:r>
        <w:rPr>
          <w:b/>
          <w:bCs/>
          <w:sz w:val="24"/>
          <w:szCs w:val="24"/>
        </w:rPr>
        <w:t xml:space="preserve">2  </w:t>
      </w:r>
      <w:r>
        <w:rPr>
          <w:sz w:val="24"/>
          <w:szCs w:val="24"/>
        </w:rPr>
        <w:t>进行极限承载力检测时，检测批容量不宜大于1000个，每一检测批应抽取不少于5个吊件；</w:t>
      </w:r>
    </w:p>
    <w:p>
      <w:pPr>
        <w:spacing w:line="360" w:lineRule="auto"/>
        <w:ind w:firstLine="481" w:firstLineChars="200"/>
        <w:rPr>
          <w:sz w:val="24"/>
          <w:szCs w:val="24"/>
        </w:rPr>
      </w:pPr>
      <w:r>
        <w:rPr>
          <w:b/>
          <w:bCs/>
          <w:sz w:val="24"/>
          <w:szCs w:val="24"/>
        </w:rPr>
        <w:t xml:space="preserve">3  </w:t>
      </w:r>
      <w:r>
        <w:rPr>
          <w:sz w:val="24"/>
          <w:szCs w:val="24"/>
        </w:rPr>
        <w:t>进行非破损性检测时，吊件</w:t>
      </w:r>
      <w:r>
        <w:rPr>
          <w:color w:val="000000" w:themeColor="text1"/>
          <w:sz w:val="24"/>
          <w:szCs w:val="24"/>
          <w14:textFill>
            <w14:solidFill>
              <w14:schemeClr w14:val="tx1"/>
            </w14:solidFill>
          </w14:textFill>
        </w:rPr>
        <w:t>的抽样数量应符合</w:t>
      </w:r>
      <w:r>
        <w:rPr>
          <w:sz w:val="24"/>
          <w:szCs w:val="24"/>
        </w:rPr>
        <w:t>表4.5.3的规定，当预埋吊件的总数量介于表4.5.3中两栏的数量之间时，可按线性内插法确定抽样数量；</w:t>
      </w:r>
    </w:p>
    <w:p>
      <w:pPr>
        <w:spacing w:line="360" w:lineRule="auto"/>
        <w:ind w:firstLine="481" w:firstLineChars="200"/>
        <w:rPr>
          <w:sz w:val="24"/>
          <w:szCs w:val="24"/>
        </w:rPr>
      </w:pPr>
      <w:r>
        <w:rPr>
          <w:b/>
          <w:bCs/>
          <w:sz w:val="24"/>
          <w:szCs w:val="24"/>
        </w:rPr>
        <w:t xml:space="preserve">4  </w:t>
      </w:r>
      <w:r>
        <w:rPr>
          <w:sz w:val="24"/>
          <w:szCs w:val="24"/>
        </w:rPr>
        <w:t>吊件应在检测批中随机抽取。</w:t>
      </w:r>
    </w:p>
    <w:p>
      <w:pPr>
        <w:adjustRightInd w:val="0"/>
        <w:snapToGrid w:val="0"/>
        <w:spacing w:before="120" w:beforeLines="50"/>
        <w:jc w:val="center"/>
        <w:rPr>
          <w:b/>
          <w:bCs/>
          <w:szCs w:val="24"/>
        </w:rPr>
      </w:pPr>
      <w:r>
        <w:rPr>
          <w:b/>
          <w:bCs/>
          <w:szCs w:val="24"/>
        </w:rPr>
        <w:t>表4.5.3  非破损性检测吊件的抽样数量</w:t>
      </w:r>
    </w:p>
    <w:tbl>
      <w:tblPr>
        <w:tblStyle w:val="25"/>
        <w:tblW w:w="79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0"/>
        <w:gridCol w:w="851"/>
        <w:gridCol w:w="851"/>
        <w:gridCol w:w="851"/>
        <w:gridCol w:w="851"/>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3690" w:type="dxa"/>
            <w:vAlign w:val="center"/>
          </w:tcPr>
          <w:p>
            <w:pPr>
              <w:pStyle w:val="86"/>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检测批容量</w:t>
            </w:r>
          </w:p>
        </w:tc>
        <w:tc>
          <w:tcPr>
            <w:tcW w:w="851" w:type="dxa"/>
            <w:vAlign w:val="center"/>
          </w:tcPr>
          <w:p>
            <w:pPr>
              <w:pStyle w:val="86"/>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≤100</w:t>
            </w:r>
          </w:p>
        </w:tc>
        <w:tc>
          <w:tcPr>
            <w:tcW w:w="851" w:type="dxa"/>
            <w:vAlign w:val="center"/>
          </w:tcPr>
          <w:p>
            <w:pPr>
              <w:jc w:val="center"/>
              <w:rPr>
                <w:rFonts w:eastAsiaTheme="minorEastAsia"/>
                <w:kern w:val="0"/>
                <w:szCs w:val="21"/>
              </w:rPr>
            </w:pPr>
            <w:r>
              <w:rPr>
                <w:rFonts w:eastAsiaTheme="minorEastAsia"/>
                <w:kern w:val="0"/>
                <w:szCs w:val="21"/>
              </w:rPr>
              <w:t>500</w:t>
            </w:r>
          </w:p>
        </w:tc>
        <w:tc>
          <w:tcPr>
            <w:tcW w:w="851" w:type="dxa"/>
            <w:vAlign w:val="center"/>
          </w:tcPr>
          <w:p>
            <w:pPr>
              <w:jc w:val="center"/>
              <w:rPr>
                <w:rFonts w:eastAsiaTheme="minorEastAsia"/>
                <w:kern w:val="0"/>
                <w:szCs w:val="21"/>
              </w:rPr>
            </w:pPr>
            <w:r>
              <w:rPr>
                <w:rFonts w:eastAsiaTheme="minorEastAsia"/>
                <w:kern w:val="0"/>
                <w:szCs w:val="21"/>
              </w:rPr>
              <w:t>1000</w:t>
            </w:r>
          </w:p>
        </w:tc>
        <w:tc>
          <w:tcPr>
            <w:tcW w:w="851" w:type="dxa"/>
            <w:vAlign w:val="center"/>
          </w:tcPr>
          <w:p>
            <w:pPr>
              <w:jc w:val="center"/>
              <w:rPr>
                <w:rFonts w:eastAsiaTheme="minorEastAsia"/>
                <w:kern w:val="0"/>
                <w:szCs w:val="21"/>
              </w:rPr>
            </w:pPr>
            <w:r>
              <w:rPr>
                <w:rFonts w:eastAsiaTheme="minorEastAsia"/>
                <w:kern w:val="0"/>
                <w:szCs w:val="21"/>
              </w:rPr>
              <w:t>2500</w:t>
            </w:r>
          </w:p>
        </w:tc>
        <w:tc>
          <w:tcPr>
            <w:tcW w:w="851" w:type="dxa"/>
            <w:vAlign w:val="center"/>
          </w:tcPr>
          <w:p>
            <w:pPr>
              <w:pStyle w:val="86"/>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3690" w:type="dxa"/>
            <w:vAlign w:val="center"/>
          </w:tcPr>
          <w:p>
            <w:pPr>
              <w:pStyle w:val="86"/>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最小抽样数量</w:t>
            </w:r>
          </w:p>
        </w:tc>
        <w:tc>
          <w:tcPr>
            <w:tcW w:w="851" w:type="dxa"/>
            <w:vAlign w:val="center"/>
          </w:tcPr>
          <w:p>
            <w:pPr>
              <w:jc w:val="center"/>
              <w:rPr>
                <w:rFonts w:eastAsiaTheme="minorEastAsia"/>
                <w:kern w:val="0"/>
                <w:szCs w:val="21"/>
              </w:rPr>
            </w:pPr>
            <w:r>
              <w:rPr>
                <w:rFonts w:eastAsiaTheme="minorEastAsia"/>
                <w:kern w:val="0"/>
                <w:szCs w:val="21"/>
              </w:rPr>
              <w:t>5</w:t>
            </w:r>
          </w:p>
        </w:tc>
        <w:tc>
          <w:tcPr>
            <w:tcW w:w="851" w:type="dxa"/>
            <w:vAlign w:val="center"/>
          </w:tcPr>
          <w:p>
            <w:pPr>
              <w:jc w:val="center"/>
              <w:rPr>
                <w:rFonts w:eastAsiaTheme="minorEastAsia"/>
                <w:kern w:val="0"/>
                <w:szCs w:val="21"/>
              </w:rPr>
            </w:pPr>
            <w:r>
              <w:rPr>
                <w:rFonts w:eastAsiaTheme="minorEastAsia"/>
                <w:kern w:val="0"/>
                <w:szCs w:val="21"/>
              </w:rPr>
              <w:t>10</w:t>
            </w:r>
          </w:p>
        </w:tc>
        <w:tc>
          <w:tcPr>
            <w:tcW w:w="851" w:type="dxa"/>
            <w:vAlign w:val="center"/>
          </w:tcPr>
          <w:p>
            <w:pPr>
              <w:jc w:val="center"/>
              <w:rPr>
                <w:rFonts w:eastAsiaTheme="minorEastAsia"/>
                <w:kern w:val="0"/>
                <w:szCs w:val="21"/>
              </w:rPr>
            </w:pPr>
            <w:r>
              <w:rPr>
                <w:rFonts w:eastAsiaTheme="minorEastAsia"/>
                <w:kern w:val="0"/>
                <w:szCs w:val="21"/>
              </w:rPr>
              <w:t>15</w:t>
            </w:r>
          </w:p>
        </w:tc>
        <w:tc>
          <w:tcPr>
            <w:tcW w:w="851" w:type="dxa"/>
            <w:vAlign w:val="center"/>
          </w:tcPr>
          <w:p>
            <w:pPr>
              <w:jc w:val="center"/>
              <w:rPr>
                <w:rFonts w:eastAsiaTheme="minorEastAsia"/>
                <w:kern w:val="0"/>
                <w:szCs w:val="21"/>
              </w:rPr>
            </w:pPr>
            <w:r>
              <w:rPr>
                <w:rFonts w:eastAsiaTheme="minorEastAsia"/>
                <w:kern w:val="0"/>
                <w:szCs w:val="21"/>
              </w:rPr>
              <w:t>20</w:t>
            </w:r>
          </w:p>
        </w:tc>
        <w:tc>
          <w:tcPr>
            <w:tcW w:w="851" w:type="dxa"/>
            <w:vAlign w:val="center"/>
          </w:tcPr>
          <w:p>
            <w:pPr>
              <w:jc w:val="center"/>
              <w:rPr>
                <w:rFonts w:eastAsiaTheme="minorEastAsia"/>
                <w:kern w:val="0"/>
                <w:szCs w:val="21"/>
              </w:rPr>
            </w:pPr>
            <w:r>
              <w:rPr>
                <w:rFonts w:eastAsiaTheme="minorEastAsia"/>
                <w:kern w:val="0"/>
                <w:szCs w:val="21"/>
              </w:rPr>
              <w:t>25</w:t>
            </w:r>
          </w:p>
        </w:tc>
      </w:tr>
    </w:tbl>
    <w:p>
      <w:pPr>
        <w:spacing w:before="120" w:beforeLines="50" w:line="360" w:lineRule="auto"/>
        <w:rPr>
          <w:color w:val="000000" w:themeColor="text1"/>
          <w:sz w:val="24"/>
          <w:szCs w:val="24"/>
          <w14:textFill>
            <w14:solidFill>
              <w14:schemeClr w14:val="tx1"/>
            </w14:solidFill>
          </w14:textFill>
        </w:rPr>
      </w:pPr>
      <w:r>
        <w:rPr>
          <w:b/>
          <w:sz w:val="24"/>
        </w:rPr>
        <w:t>4.5.4</w:t>
      </w:r>
      <w:r>
        <w:rPr>
          <w:b/>
          <w:sz w:val="22"/>
        </w:rPr>
        <w:t xml:space="preserve">  </w:t>
      </w:r>
      <w:r>
        <w:rPr>
          <w:sz w:val="24"/>
          <w:szCs w:val="24"/>
        </w:rPr>
        <w:t>预埋吊件抗拔承载力检测的试验装置、加载设备与加载方式</w:t>
      </w:r>
      <w:r>
        <w:rPr>
          <w:rFonts w:hint="eastAsia"/>
          <w:sz w:val="24"/>
          <w:szCs w:val="24"/>
        </w:rPr>
        <w:t>应符合下列规</w:t>
      </w:r>
      <w:r>
        <w:rPr>
          <w:rFonts w:hint="eastAsia"/>
          <w:color w:val="000000" w:themeColor="text1"/>
          <w:sz w:val="24"/>
          <w:szCs w:val="24"/>
          <w14:textFill>
            <w14:solidFill>
              <w14:schemeClr w14:val="tx1"/>
            </w14:solidFill>
          </w14:textFill>
        </w:rPr>
        <w:t>定：</w:t>
      </w:r>
    </w:p>
    <w:p>
      <w:pPr>
        <w:spacing w:line="360" w:lineRule="auto"/>
        <w:ind w:firstLine="481" w:firstLineChars="200"/>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1</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加载设备应能够按照规定的速度加载，测力系统整机允许偏差为全量程的±2%，加载设备液压加荷系统持荷时间不超过5min时，其降荷值不应大于5%；</w:t>
      </w:r>
    </w:p>
    <w:p>
      <w:pPr>
        <w:spacing w:line="360" w:lineRule="auto"/>
        <w:ind w:firstLine="481" w:firstLineChars="200"/>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加载设备的加载能力应大于预计检验荷载值的20%，且不应大于检验荷载值的2.5倍，应能连续、平稳、速度可控地进行加载；</w:t>
      </w:r>
    </w:p>
    <w:p>
      <w:pPr>
        <w:spacing w:line="360" w:lineRule="auto"/>
        <w:ind w:firstLine="481" w:firstLineChars="200"/>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3</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加载设备支撑环的内径不应小于4倍预埋吊件有效锚固深度，加载设备应能保证所施加的拉伸荷载始终与预埋吊件的轴线保持一致；</w:t>
      </w:r>
    </w:p>
    <w:p>
      <w:pPr>
        <w:spacing w:line="360" w:lineRule="auto"/>
        <w:ind w:firstLine="481" w:firstLineChars="200"/>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4</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非破损性检测时，应以均匀速率在2min～3min时间内加载至设定的检验荷载，并持荷2min，检验荷载应取产品标准或厂家给定的允许荷载标准值；</w:t>
      </w:r>
    </w:p>
    <w:p>
      <w:pPr>
        <w:spacing w:line="360" w:lineRule="auto"/>
        <w:ind w:firstLine="481" w:firstLineChars="200"/>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5</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破损性检测时，应以均匀速率在2min~3min时间内加荷至锚固破坏。</w:t>
      </w:r>
    </w:p>
    <w:p>
      <w:pPr>
        <w:spacing w:line="360" w:lineRule="auto"/>
        <w:rPr>
          <w:szCs w:val="21"/>
        </w:rPr>
      </w:pPr>
      <w:r>
        <w:rPr>
          <w:b/>
          <w:sz w:val="24"/>
        </w:rPr>
        <w:t>4.5.5</w:t>
      </w:r>
      <w:r>
        <w:rPr>
          <w:b/>
          <w:sz w:val="22"/>
        </w:rPr>
        <w:t xml:space="preserve">  </w:t>
      </w:r>
      <w:r>
        <w:rPr>
          <w:sz w:val="24"/>
          <w:szCs w:val="24"/>
        </w:rPr>
        <w:t>对于非破损性检测，加载至检验荷载值后，当全部试件的试验结果均符合下列规定时，应判定为合格：</w:t>
      </w:r>
    </w:p>
    <w:p>
      <w:pPr>
        <w:spacing w:line="360" w:lineRule="auto"/>
        <w:ind w:firstLine="481" w:firstLineChars="200"/>
        <w:rPr>
          <w:sz w:val="24"/>
          <w:szCs w:val="24"/>
        </w:rPr>
      </w:pPr>
      <w:r>
        <w:rPr>
          <w:b/>
          <w:sz w:val="24"/>
          <w:szCs w:val="24"/>
        </w:rPr>
        <w:t xml:space="preserve">1  </w:t>
      </w:r>
      <w:r>
        <w:rPr>
          <w:sz w:val="24"/>
          <w:szCs w:val="24"/>
        </w:rPr>
        <w:t>在持荷期间，试件无滑移、基材混凝土无裂缝或其他局部损坏迹象出现；</w:t>
      </w:r>
    </w:p>
    <w:p>
      <w:pPr>
        <w:spacing w:line="360" w:lineRule="auto"/>
        <w:ind w:firstLine="481" w:firstLineChars="200"/>
        <w:rPr>
          <w:sz w:val="24"/>
          <w:szCs w:val="24"/>
        </w:rPr>
      </w:pPr>
      <w:r>
        <w:rPr>
          <w:b/>
          <w:bCs/>
          <w:sz w:val="24"/>
          <w:szCs w:val="24"/>
        </w:rPr>
        <w:t xml:space="preserve">2  </w:t>
      </w:r>
      <w:r>
        <w:rPr>
          <w:bCs/>
          <w:sz w:val="24"/>
          <w:szCs w:val="24"/>
        </w:rPr>
        <w:t>加载装置的荷载</w:t>
      </w:r>
      <w:r>
        <w:rPr>
          <w:sz w:val="24"/>
          <w:szCs w:val="24"/>
        </w:rPr>
        <w:t>示值在2min内无下降或下降幅度不超过5%的检验荷载。</w:t>
      </w:r>
    </w:p>
    <w:p>
      <w:pPr>
        <w:spacing w:line="360" w:lineRule="auto"/>
        <w:rPr>
          <w:color w:val="000000" w:themeColor="text1"/>
          <w:sz w:val="24"/>
          <w:szCs w:val="24"/>
          <w14:textFill>
            <w14:solidFill>
              <w14:schemeClr w14:val="tx1"/>
            </w14:solidFill>
          </w14:textFill>
        </w:rPr>
      </w:pPr>
      <w:r>
        <w:rPr>
          <w:b/>
          <w:color w:val="000000" w:themeColor="text1"/>
          <w:sz w:val="24"/>
          <w14:textFill>
            <w14:solidFill>
              <w14:schemeClr w14:val="tx1"/>
            </w14:solidFill>
          </w14:textFill>
        </w:rPr>
        <w:t>4.5.6</w:t>
      </w:r>
      <w:r>
        <w:rPr>
          <w:b/>
          <w:color w:val="000000" w:themeColor="text1"/>
          <w:sz w:val="22"/>
          <w14:textFill>
            <w14:solidFill>
              <w14:schemeClr w14:val="tx1"/>
            </w14:solidFill>
          </w14:textFill>
        </w:rPr>
        <w:t xml:space="preserve">  </w:t>
      </w:r>
      <w:r>
        <w:rPr>
          <w:color w:val="000000" w:themeColor="text1"/>
          <w:sz w:val="24"/>
          <w:szCs w:val="24"/>
          <w14:textFill>
            <w14:solidFill>
              <w14:schemeClr w14:val="tx1"/>
            </w14:solidFill>
          </w14:textFill>
        </w:rPr>
        <w:t>对于破损性检测，预埋吊件极限抗拔承载力标准值应按下列公式计算：</w:t>
      </w:r>
    </w:p>
    <w:p>
      <w:pPr>
        <w:spacing w:line="360" w:lineRule="auto"/>
        <w:jc w:val="right"/>
        <w:rPr>
          <w:color w:val="000000" w:themeColor="text1"/>
          <w:sz w:val="24"/>
          <w14:textFill>
            <w14:solidFill>
              <w14:schemeClr w14:val="tx1"/>
            </w14:solidFill>
          </w14:textFill>
        </w:rPr>
      </w:pPr>
      <w:bookmarkStart w:id="79" w:name="_Hlk119936871"/>
      <w:r>
        <w:rPr>
          <w:bCs/>
          <w:color w:val="000000" w:themeColor="text1"/>
          <w:position w:val="-12"/>
          <w:sz w:val="24"/>
          <w:szCs w:val="24"/>
          <w14:textFill>
            <w14:solidFill>
              <w14:schemeClr w14:val="tx1"/>
            </w14:solidFill>
          </w14:textFill>
        </w:rPr>
        <w:object>
          <v:shape id="_x0000_i1066" o:spt="75" type="#_x0000_t75" style="height:19pt;width:85.25pt;" o:ole="t" filled="f" o:preferrelative="t" stroked="f" coordsize="21600,21600">
            <v:path/>
            <v:fill on="f" focussize="0,0"/>
            <v:stroke on="f" joinstyle="miter"/>
            <v:imagedata r:id="rId93" o:title=""/>
            <o:lock v:ext="edit" aspectratio="t"/>
            <w10:wrap type="none"/>
            <w10:anchorlock/>
          </v:shape>
          <o:OLEObject Type="Embed" ProgID="Equation.DSMT4" ShapeID="_x0000_i1066" DrawAspect="Content" ObjectID="_1468075766" r:id="rId92">
            <o:LockedField>false</o:LockedField>
          </o:OLEObject>
        </w:object>
      </w:r>
      <w:r>
        <w:rPr>
          <w:color w:val="000000" w:themeColor="text1"/>
          <w:sz w:val="24"/>
          <w:szCs w:val="24"/>
          <w14:textFill>
            <w14:solidFill>
              <w14:schemeClr w14:val="tx1"/>
            </w14:solidFill>
          </w14:textFill>
        </w:rPr>
        <w:t xml:space="preserve">               </w:t>
      </w:r>
      <w:r>
        <w:rPr>
          <w:color w:val="000000" w:themeColor="text1"/>
          <w:sz w:val="24"/>
          <w14:textFill>
            <w14:solidFill>
              <w14:schemeClr w14:val="tx1"/>
            </w14:solidFill>
          </w14:textFill>
        </w:rPr>
        <w:t>（4.5.6-1）</w:t>
      </w:r>
    </w:p>
    <w:p>
      <w:pPr>
        <w:wordWrap w:val="0"/>
        <w:spacing w:line="360" w:lineRule="auto"/>
        <w:ind w:firstLine="480" w:firstLineChars="200"/>
        <w:jc w:val="right"/>
        <w:rPr>
          <w:bCs/>
          <w:color w:val="000000" w:themeColor="text1"/>
          <w:sz w:val="24"/>
          <w:szCs w:val="24"/>
          <w14:textFill>
            <w14:solidFill>
              <w14:schemeClr w14:val="tx1"/>
            </w14:solidFill>
          </w14:textFill>
        </w:rPr>
      </w:pPr>
      <w:r>
        <w:rPr>
          <w:bCs/>
          <w:color w:val="000000" w:themeColor="text1"/>
          <w:position w:val="-28"/>
          <w:sz w:val="24"/>
          <w:szCs w:val="24"/>
          <w14:textFill>
            <w14:solidFill>
              <w14:schemeClr w14:val="tx1"/>
            </w14:solidFill>
          </w14:textFill>
        </w:rPr>
        <w:object>
          <v:shape id="_x0000_i1067" o:spt="75" type="#_x0000_t75" style="height:34.55pt;width:76.6pt;" o:ole="t" filled="f" o:preferrelative="t" stroked="f" coordsize="21600,21600">
            <v:path/>
            <v:fill on="f" focussize="0,0"/>
            <v:stroke on="f" joinstyle="miter"/>
            <v:imagedata r:id="rId95" o:title=""/>
            <o:lock v:ext="edit" aspectratio="t"/>
            <w10:wrap type="none"/>
            <w10:anchorlock/>
          </v:shape>
          <o:OLEObject Type="Embed" ProgID="Equation.DSMT4" ShapeID="_x0000_i1067" DrawAspect="Content" ObjectID="_1468075767" r:id="rId94">
            <o:LockedField>false</o:LockedField>
          </o:OLEObject>
        </w:object>
      </w:r>
      <w:r>
        <w:rPr>
          <w:bCs/>
          <w:color w:val="000000" w:themeColor="text1"/>
          <w:sz w:val="24"/>
          <w:szCs w:val="24"/>
          <w14:textFill>
            <w14:solidFill>
              <w14:schemeClr w14:val="tx1"/>
            </w14:solidFill>
          </w14:textFill>
        </w:rPr>
        <w:t xml:space="preserve">                （4.5.6-2）</w:t>
      </w:r>
    </w:p>
    <w:p>
      <w:pPr>
        <w:wordWrap w:val="0"/>
        <w:spacing w:line="360" w:lineRule="auto"/>
        <w:ind w:firstLine="480" w:firstLineChars="200"/>
        <w:jc w:val="right"/>
        <w:rPr>
          <w:bCs/>
          <w:color w:val="000000" w:themeColor="text1"/>
          <w:sz w:val="24"/>
          <w:szCs w:val="24"/>
          <w14:textFill>
            <w14:solidFill>
              <w14:schemeClr w14:val="tx1"/>
            </w14:solidFill>
          </w14:textFill>
        </w:rPr>
      </w:pPr>
      <w:r>
        <w:rPr>
          <w:bCs/>
          <w:color w:val="000000" w:themeColor="text1"/>
          <w:position w:val="-26"/>
          <w:sz w:val="24"/>
          <w:szCs w:val="24"/>
          <w14:textFill>
            <w14:solidFill>
              <w14:schemeClr w14:val="tx1"/>
            </w14:solidFill>
          </w14:textFill>
        </w:rPr>
        <w:object>
          <v:shape id="_x0000_i1068" o:spt="75" type="#_x0000_t75" style="height:52.4pt;width:113.45pt;" o:ole="t" filled="f" o:preferrelative="t" stroked="f" coordsize="21600,21600">
            <v:path/>
            <v:fill on="f" focussize="0,0"/>
            <v:stroke on="f" joinstyle="miter"/>
            <v:imagedata r:id="rId97" o:title=""/>
            <o:lock v:ext="edit" aspectratio="t"/>
            <w10:wrap type="none"/>
            <w10:anchorlock/>
          </v:shape>
          <o:OLEObject Type="Embed" ProgID="Equation.DSMT4" ShapeID="_x0000_i1068" DrawAspect="Content" ObjectID="_1468075768" r:id="rId96">
            <o:LockedField>false</o:LockedField>
          </o:OLEObject>
        </w:object>
      </w:r>
      <w:r>
        <w:rPr>
          <w:bCs/>
          <w:color w:val="000000" w:themeColor="text1"/>
          <w:sz w:val="24"/>
          <w:szCs w:val="24"/>
          <w14:textFill>
            <w14:solidFill>
              <w14:schemeClr w14:val="tx1"/>
            </w14:solidFill>
          </w14:textFill>
        </w:rPr>
        <w:t xml:space="preserve">              （4.5.6-3）</w:t>
      </w:r>
    </w:p>
    <w:p>
      <w:pPr>
        <w:spacing w:line="360" w:lineRule="auto"/>
        <w:rPr>
          <w:color w:val="000000" w:themeColor="text1"/>
          <w:sz w:val="24"/>
          <w:szCs w:val="24"/>
          <w14:textFill>
            <w14:solidFill>
              <w14:schemeClr w14:val="tx1"/>
            </w14:solidFill>
          </w14:textFill>
        </w:rPr>
      </w:pPr>
      <w:r>
        <w:rPr>
          <w:sz w:val="24"/>
          <w:szCs w:val="24"/>
        </w:rPr>
        <w:t>式中：</w:t>
      </w:r>
      <w:r>
        <w:rPr>
          <w:color w:val="FF0000"/>
          <w:position w:val="-12"/>
          <w:sz w:val="24"/>
        </w:rPr>
        <w:object>
          <v:shape id="_x0000_i1069" o:spt="75" type="#_x0000_t75" style="height:19pt;width:19.6pt;" o:ole="t" filled="f" o:preferrelative="t" stroked="f" coordsize="21600,21600">
            <v:path/>
            <v:fill on="f" focussize="0,0"/>
            <v:stroke on="f" joinstyle="miter"/>
            <v:imagedata r:id="rId41" o:title=""/>
            <o:lock v:ext="edit" aspectratio="t"/>
            <w10:wrap type="none"/>
            <w10:anchorlock/>
          </v:shape>
          <o:OLEObject Type="Embed" ProgID="Equation.DSMT4" ShapeID="_x0000_i1069" DrawAspect="Content" ObjectID="_1468075769" r:id="rId98">
            <o:LockedField>false</o:LockedField>
          </o:OLEObject>
        </w:object>
      </w:r>
      <w:r>
        <w:rPr>
          <w:sz w:val="24"/>
          <w:szCs w:val="24"/>
        </w:rPr>
        <w:t>——预埋吊件极限抗拔承载力</w:t>
      </w:r>
      <w:r>
        <w:rPr>
          <w:color w:val="000000" w:themeColor="text1"/>
          <w:sz w:val="24"/>
          <w:szCs w:val="24"/>
          <w14:textFill>
            <w14:solidFill>
              <w14:schemeClr w14:val="tx1"/>
            </w14:solidFill>
          </w14:textFill>
        </w:rPr>
        <w:t>标准值</w:t>
      </w:r>
      <w:r>
        <w:rPr>
          <w:bCs/>
          <w:color w:val="000000" w:themeColor="text1"/>
          <w:sz w:val="24"/>
          <w:szCs w:val="24"/>
          <w14:textFill>
            <w14:solidFill>
              <w14:schemeClr w14:val="tx1"/>
            </w14:solidFill>
          </w14:textFill>
        </w:rPr>
        <w:t>（kN）</w:t>
      </w:r>
      <w:r>
        <w:rPr>
          <w:color w:val="000000" w:themeColor="text1"/>
          <w:sz w:val="24"/>
          <w:szCs w:val="24"/>
          <w14:textFill>
            <w14:solidFill>
              <w14:schemeClr w14:val="tx1"/>
            </w14:solidFill>
          </w14:textFill>
        </w:rPr>
        <w:t>，应精确至0.1kN；</w:t>
      </w:r>
    </w:p>
    <w:p>
      <w:pPr>
        <w:spacing w:line="360" w:lineRule="auto"/>
        <w:ind w:firstLine="720" w:firstLineChars="300"/>
        <w:rPr>
          <w:color w:val="000000" w:themeColor="text1"/>
          <w:sz w:val="24"/>
          <w:szCs w:val="24"/>
          <w14:textFill>
            <w14:solidFill>
              <w14:schemeClr w14:val="tx1"/>
            </w14:solidFill>
          </w14:textFill>
        </w:rPr>
      </w:pPr>
      <w:r>
        <w:rPr>
          <w:color w:val="FF0000"/>
          <w:position w:val="-12"/>
          <w:sz w:val="24"/>
        </w:rPr>
        <w:object>
          <v:shape id="_x0000_i1070" o:spt="75" type="#_x0000_t75" style="height:19pt;width:22.45pt;" o:ole="t" filled="f" o:preferrelative="t" stroked="f" coordsize="21600,21600">
            <v:path/>
            <v:fill on="f" focussize="0,0"/>
            <v:stroke on="f" joinstyle="miter"/>
            <v:imagedata r:id="rId43" o:title=""/>
            <o:lock v:ext="edit" aspectratio="t"/>
            <w10:wrap type="none"/>
            <w10:anchorlock/>
          </v:shape>
          <o:OLEObject Type="Embed" ProgID="Equation.DSMT4" ShapeID="_x0000_i1070" DrawAspect="Content" ObjectID="_1468075770" r:id="rId99">
            <o:LockedField>false</o:LockedField>
          </o:OLEObject>
        </w:object>
      </w:r>
      <w:r>
        <w:rPr>
          <w:color w:val="000000" w:themeColor="text1"/>
          <w:sz w:val="24"/>
          <w:szCs w:val="24"/>
          <w14:textFill>
            <w14:solidFill>
              <w14:schemeClr w14:val="tx1"/>
            </w14:solidFill>
          </w14:textFill>
        </w:rPr>
        <w:t>——</w:t>
      </w:r>
      <w:r>
        <w:rPr>
          <w:sz w:val="24"/>
          <w:szCs w:val="24"/>
        </w:rPr>
        <w:t>预埋吊件</w:t>
      </w:r>
      <w:r>
        <w:rPr>
          <w:color w:val="000000" w:themeColor="text1"/>
          <w:sz w:val="24"/>
          <w:szCs w:val="24"/>
          <w14:textFill>
            <w14:solidFill>
              <w14:schemeClr w14:val="tx1"/>
            </w14:solidFill>
          </w14:textFill>
        </w:rPr>
        <w:t>极限抗拔承载力平均值</w:t>
      </w:r>
      <w:r>
        <w:rPr>
          <w:bCs/>
          <w:color w:val="000000" w:themeColor="text1"/>
          <w:sz w:val="24"/>
          <w:szCs w:val="24"/>
          <w14:textFill>
            <w14:solidFill>
              <w14:schemeClr w14:val="tx1"/>
            </w14:solidFill>
          </w14:textFill>
        </w:rPr>
        <w:t>（kN）</w:t>
      </w:r>
      <w:r>
        <w:rPr>
          <w:color w:val="000000" w:themeColor="text1"/>
          <w:sz w:val="24"/>
          <w:szCs w:val="24"/>
          <w14:textFill>
            <w14:solidFill>
              <w14:schemeClr w14:val="tx1"/>
            </w14:solidFill>
          </w14:textFill>
        </w:rPr>
        <w:t>，应精确至0.1kN；</w:t>
      </w:r>
    </w:p>
    <w:p>
      <w:pPr>
        <w:spacing w:line="360" w:lineRule="auto"/>
        <w:ind w:firstLine="720" w:firstLineChars="300"/>
        <w:rPr>
          <w:bCs/>
          <w:color w:val="000000" w:themeColor="text1"/>
          <w:sz w:val="24"/>
          <w:szCs w:val="24"/>
          <w14:textFill>
            <w14:solidFill>
              <w14:schemeClr w14:val="tx1"/>
            </w14:solidFill>
          </w14:textFill>
        </w:rPr>
      </w:pPr>
      <w:r>
        <w:rPr>
          <w:color w:val="000000" w:themeColor="text1"/>
          <w:position w:val="-14"/>
          <w:sz w:val="24"/>
          <w14:textFill>
            <w14:solidFill>
              <w14:schemeClr w14:val="tx1"/>
            </w14:solidFill>
          </w14:textFill>
        </w:rPr>
        <w:object>
          <v:shape id="_x0000_i1071" o:spt="75" type="#_x0000_t75" style="height:19.6pt;width:19.6pt;" o:ole="t" filled="f" o:preferrelative="t" stroked="f" coordsize="21600,21600">
            <v:path/>
            <v:fill on="f" focussize="0,0"/>
            <v:stroke on="f" joinstyle="miter"/>
            <v:imagedata r:id="rId101" o:title=""/>
            <o:lock v:ext="edit" aspectratio="t"/>
            <w10:wrap type="none"/>
            <w10:anchorlock/>
          </v:shape>
          <o:OLEObject Type="Embed" ProgID="Equation.DSMT4" ShapeID="_x0000_i1071" DrawAspect="Content" ObjectID="_1468075771" r:id="rId100">
            <o:LockedField>false</o:LockedField>
          </o:OLEObject>
        </w:object>
      </w:r>
      <w:r>
        <w:rPr>
          <w:bCs/>
          <w:color w:val="000000" w:themeColor="text1"/>
          <w:sz w:val="24"/>
          <w:szCs w:val="24"/>
          <w14:textFill>
            <w14:solidFill>
              <w14:schemeClr w14:val="tx1"/>
            </w14:solidFill>
          </w14:textFill>
        </w:rPr>
        <w:t>——第i个</w:t>
      </w:r>
      <w:r>
        <w:rPr>
          <w:color w:val="000000" w:themeColor="text1"/>
          <w:sz w:val="24"/>
          <w:szCs w:val="24"/>
          <w14:textFill>
            <w14:solidFill>
              <w14:schemeClr w14:val="tx1"/>
            </w14:solidFill>
          </w14:textFill>
        </w:rPr>
        <w:t>预埋吊件</w:t>
      </w:r>
      <w:r>
        <w:rPr>
          <w:bCs/>
          <w:color w:val="000000" w:themeColor="text1"/>
          <w:sz w:val="24"/>
          <w:szCs w:val="24"/>
          <w14:textFill>
            <w14:solidFill>
              <w14:schemeClr w14:val="tx1"/>
            </w14:solidFill>
          </w14:textFill>
        </w:rPr>
        <w:t>极限抗拔承载力实测值（kN），</w:t>
      </w:r>
      <w:r>
        <w:rPr>
          <w:color w:val="000000" w:themeColor="text1"/>
          <w:sz w:val="24"/>
          <w:szCs w:val="24"/>
          <w14:textFill>
            <w14:solidFill>
              <w14:schemeClr w14:val="tx1"/>
            </w14:solidFill>
          </w14:textFill>
        </w:rPr>
        <w:t>应</w:t>
      </w:r>
      <w:r>
        <w:rPr>
          <w:bCs/>
          <w:color w:val="000000" w:themeColor="text1"/>
          <w:sz w:val="24"/>
          <w:szCs w:val="24"/>
          <w14:textFill>
            <w14:solidFill>
              <w14:schemeClr w14:val="tx1"/>
            </w14:solidFill>
          </w14:textFill>
        </w:rPr>
        <w:t>精确至0.1kN；</w:t>
      </w:r>
    </w:p>
    <w:p>
      <w:pPr>
        <w:spacing w:line="360" w:lineRule="auto"/>
        <w:ind w:firstLine="720" w:firstLineChars="300"/>
        <w:rPr>
          <w:color w:val="000000" w:themeColor="text1"/>
          <w:sz w:val="24"/>
          <w:szCs w:val="24"/>
          <w14:textFill>
            <w14:solidFill>
              <w14:schemeClr w14:val="tx1"/>
            </w14:solidFill>
          </w14:textFill>
        </w:rPr>
      </w:pPr>
      <w:r>
        <w:rPr>
          <w:color w:val="FF0000"/>
          <w:position w:val="-6"/>
          <w:sz w:val="24"/>
        </w:rPr>
        <w:object>
          <v:shape id="_x0000_i1072" o:spt="75" type="#_x0000_t75" style="height:11.5pt;width:9.8pt;" o:ole="t" filled="f" o:preferrelative="t" stroked="f" coordsize="21600,21600">
            <v:path/>
            <v:fill on="f" focussize="0,0"/>
            <v:stroke on="f" joinstyle="miter"/>
            <v:imagedata r:id="rId103" o:title=""/>
            <o:lock v:ext="edit" aspectratio="t"/>
            <w10:wrap type="none"/>
            <w10:anchorlock/>
          </v:shape>
          <o:OLEObject Type="Embed" ProgID="Equation.DSMT4" ShapeID="_x0000_i1072" DrawAspect="Content" ObjectID="_1468075772" r:id="rId102">
            <o:LockedField>false</o:LockedField>
          </o:OLEObject>
        </w:object>
      </w:r>
      <w:r>
        <w:rPr>
          <w:color w:val="000000" w:themeColor="text1"/>
          <w:sz w:val="24"/>
          <w:szCs w:val="24"/>
          <w14:textFill>
            <w14:solidFill>
              <w14:schemeClr w14:val="tx1"/>
            </w14:solidFill>
          </w14:textFill>
        </w:rPr>
        <w:t>——</w:t>
      </w:r>
      <w:r>
        <w:rPr>
          <w:sz w:val="24"/>
          <w:szCs w:val="24"/>
        </w:rPr>
        <w:t>预埋吊件</w:t>
      </w:r>
      <w:r>
        <w:rPr>
          <w:color w:val="000000" w:themeColor="text1"/>
          <w:sz w:val="24"/>
          <w:szCs w:val="24"/>
          <w14:textFill>
            <w14:solidFill>
              <w14:schemeClr w14:val="tx1"/>
            </w14:solidFill>
          </w14:textFill>
        </w:rPr>
        <w:t>极限抗拔承载力标准差</w:t>
      </w:r>
      <w:r>
        <w:rPr>
          <w:bCs/>
          <w:color w:val="000000" w:themeColor="text1"/>
          <w:sz w:val="24"/>
          <w:szCs w:val="24"/>
          <w14:textFill>
            <w14:solidFill>
              <w14:schemeClr w14:val="tx1"/>
            </w14:solidFill>
          </w14:textFill>
        </w:rPr>
        <w:t>（kN）</w:t>
      </w:r>
      <w:r>
        <w:rPr>
          <w:color w:val="000000" w:themeColor="text1"/>
          <w:sz w:val="24"/>
          <w:szCs w:val="24"/>
          <w14:textFill>
            <w14:solidFill>
              <w14:schemeClr w14:val="tx1"/>
            </w14:solidFill>
          </w14:textFill>
        </w:rPr>
        <w:t>，应精确至0.01kN；</w:t>
      </w:r>
    </w:p>
    <w:p>
      <w:pPr>
        <w:spacing w:line="360" w:lineRule="auto"/>
        <w:ind w:firstLine="720" w:firstLineChars="300"/>
        <w:rPr>
          <w:bCs/>
          <w:sz w:val="24"/>
          <w:szCs w:val="24"/>
        </w:rPr>
      </w:pPr>
      <w:r>
        <w:rPr>
          <w:bCs/>
          <w:iCs/>
          <w:sz w:val="24"/>
          <w:szCs w:val="24"/>
        </w:rPr>
        <w:t>n</w:t>
      </w:r>
      <w:r>
        <w:rPr>
          <w:bCs/>
          <w:sz w:val="24"/>
          <w:szCs w:val="24"/>
        </w:rPr>
        <w:t>——试件数量；</w:t>
      </w:r>
    </w:p>
    <w:p>
      <w:pPr>
        <w:spacing w:line="360" w:lineRule="auto"/>
        <w:ind w:firstLine="720" w:firstLineChars="300"/>
        <w:rPr>
          <w:b/>
          <w:bCs/>
          <w:kern w:val="44"/>
          <w:sz w:val="32"/>
          <w:szCs w:val="32"/>
        </w:rPr>
      </w:pPr>
      <m:oMath>
        <m:r>
          <m:rPr>
            <m:sty m:val="p"/>
          </m:rPr>
          <w:rPr>
            <w:rFonts w:ascii="Cambria Math" w:hAnsi="Cambria Math"/>
            <w:color w:val="000000" w:themeColor="text1"/>
            <w:sz w:val="24"/>
            <w:szCs w:val="24"/>
            <w14:textFill>
              <w14:solidFill>
                <w14:schemeClr w14:val="tx1"/>
              </w14:solidFill>
            </w14:textFill>
          </w:rPr>
          <m:t>k</m:t>
        </m:r>
      </m:oMath>
      <w:r>
        <w:rPr>
          <w:rFonts w:hint="eastAsia"/>
          <w:color w:val="000000" w:themeColor="text1"/>
          <w:sz w:val="24"/>
          <w:szCs w:val="24"/>
          <w:vertAlign w:val="subscript"/>
          <w14:textFill>
            <w14:solidFill>
              <w14:schemeClr w14:val="tx1"/>
            </w14:solidFill>
          </w14:textFill>
        </w:rPr>
        <w:t>2</w:t>
      </w:r>
      <w:r>
        <w:rPr>
          <w:color w:val="000000" w:themeColor="text1"/>
          <w:sz w:val="24"/>
          <w:szCs w:val="24"/>
          <w14:textFill>
            <w14:solidFill>
              <w14:schemeClr w14:val="tx1"/>
            </w14:solidFill>
          </w14:textFill>
        </w:rPr>
        <w:t>——推定系数，</w:t>
      </w:r>
      <w:r>
        <w:rPr>
          <w:rFonts w:hint="eastAsia"/>
          <w:bCs/>
          <w:color w:val="000000" w:themeColor="text1"/>
          <w:sz w:val="24"/>
          <w:szCs w:val="24"/>
          <w14:textFill>
            <w14:solidFill>
              <w14:schemeClr w14:val="tx1"/>
            </w14:solidFill>
          </w14:textFill>
        </w:rPr>
        <w:t>可按本标准附录B</w:t>
      </w:r>
      <w:r>
        <w:rPr>
          <w:bCs/>
          <w:color w:val="000000" w:themeColor="text1"/>
          <w:sz w:val="24"/>
          <w:szCs w:val="24"/>
          <w14:textFill>
            <w14:solidFill>
              <w14:schemeClr w14:val="tx1"/>
            </w14:solidFill>
          </w14:textFill>
        </w:rPr>
        <w:t>.0.1</w:t>
      </w:r>
      <w:r>
        <w:rPr>
          <w:rFonts w:hint="eastAsia"/>
          <w:bCs/>
          <w:color w:val="000000" w:themeColor="text1"/>
          <w:sz w:val="24"/>
          <w:szCs w:val="24"/>
          <w14:textFill>
            <w14:solidFill>
              <w14:schemeClr w14:val="tx1"/>
            </w14:solidFill>
          </w14:textFill>
        </w:rPr>
        <w:t>条的规定取值，漏判概率宜取0</w:t>
      </w:r>
      <w:r>
        <w:rPr>
          <w:bCs/>
          <w:color w:val="000000" w:themeColor="text1"/>
          <w:sz w:val="24"/>
          <w:szCs w:val="24"/>
          <w14:textFill>
            <w14:solidFill>
              <w14:schemeClr w14:val="tx1"/>
            </w14:solidFill>
          </w14:textFill>
        </w:rPr>
        <w:t>.10</w:t>
      </w:r>
      <w:r>
        <w:rPr>
          <w:color w:val="000000" w:themeColor="text1"/>
          <w:sz w:val="24"/>
          <w:szCs w:val="24"/>
          <w14:textFill>
            <w14:solidFill>
              <w14:schemeClr w14:val="tx1"/>
            </w14:solidFill>
          </w14:textFill>
        </w:rPr>
        <w:t>。</w:t>
      </w:r>
      <w:bookmarkEnd w:id="72"/>
      <w:bookmarkEnd w:id="79"/>
      <w:r>
        <w:rPr>
          <w:b/>
          <w:bCs/>
          <w:kern w:val="44"/>
          <w:sz w:val="32"/>
          <w:szCs w:val="32"/>
        </w:rPr>
        <w:br w:type="page"/>
      </w:r>
    </w:p>
    <w:p>
      <w:pPr>
        <w:keepNext/>
        <w:keepLines/>
        <w:spacing w:before="240" w:beforeLines="100" w:after="120" w:afterLines="50" w:line="400" w:lineRule="exact"/>
        <w:jc w:val="center"/>
        <w:outlineLvl w:val="0"/>
        <w:rPr>
          <w:b/>
          <w:kern w:val="44"/>
          <w:sz w:val="28"/>
          <w:szCs w:val="28"/>
        </w:rPr>
      </w:pPr>
      <w:bookmarkStart w:id="80" w:name="_Toc120020285"/>
      <w:r>
        <w:rPr>
          <w:b/>
          <w:kern w:val="44"/>
          <w:sz w:val="28"/>
          <w:szCs w:val="28"/>
        </w:rPr>
        <w:t>5  混凝土结合面连接</w:t>
      </w:r>
      <w:bookmarkEnd w:id="80"/>
      <w:r>
        <w:rPr>
          <w:b/>
          <w:kern w:val="44"/>
          <w:sz w:val="30"/>
          <w:szCs w:val="30"/>
        </w:rPr>
        <w:fldChar w:fldCharType="begin"/>
      </w:r>
      <w:r>
        <w:rPr>
          <w:b/>
          <w:kern w:val="44"/>
          <w:sz w:val="30"/>
          <w:szCs w:val="30"/>
        </w:rPr>
        <w:instrText xml:space="preserve"> TC  "</w:instrText>
      </w:r>
      <w:bookmarkStart w:id="81" w:name="_Toc108470229"/>
      <w:bookmarkStart w:id="82" w:name="_Toc135038269"/>
      <w:r>
        <w:rPr>
          <w:b/>
          <w:kern w:val="44"/>
          <w:sz w:val="30"/>
          <w:szCs w:val="30"/>
        </w:rPr>
        <w:instrText xml:space="preserve">5  </w:instrText>
      </w:r>
      <w:bookmarkEnd w:id="81"/>
      <w:r>
        <w:rPr>
          <w:b/>
          <w:kern w:val="44"/>
          <w:sz w:val="30"/>
          <w:szCs w:val="30"/>
        </w:rPr>
        <w:instrText xml:space="preserve">Concrete joint surface</w:instrText>
      </w:r>
      <w:bookmarkEnd w:id="82"/>
      <w:r>
        <w:rPr>
          <w:b/>
          <w:kern w:val="44"/>
          <w:sz w:val="30"/>
          <w:szCs w:val="30"/>
        </w:rPr>
        <w:instrText xml:space="preserve"> " \l 1 </w:instrText>
      </w:r>
      <w:r>
        <w:rPr>
          <w:b/>
          <w:kern w:val="44"/>
          <w:sz w:val="30"/>
          <w:szCs w:val="30"/>
        </w:rPr>
        <w:fldChar w:fldCharType="end"/>
      </w:r>
    </w:p>
    <w:p>
      <w:pPr>
        <w:keepNext/>
        <w:keepLines/>
        <w:spacing w:before="120" w:beforeLines="50" w:after="120" w:afterLines="50" w:line="400" w:lineRule="exact"/>
        <w:jc w:val="center"/>
        <w:outlineLvl w:val="1"/>
        <w:rPr>
          <w:b/>
          <w:kern w:val="0"/>
          <w:sz w:val="24"/>
          <w:szCs w:val="24"/>
        </w:rPr>
      </w:pPr>
      <w:bookmarkStart w:id="83" w:name="_Toc120020286"/>
      <w:r>
        <w:rPr>
          <w:b/>
          <w:kern w:val="0"/>
          <w:sz w:val="24"/>
          <w:szCs w:val="24"/>
        </w:rPr>
        <w:t>5.1  一般规定</w:t>
      </w:r>
      <w:bookmarkEnd w:id="83"/>
      <w:r>
        <w:rPr>
          <w:rFonts w:eastAsia="黑体"/>
          <w:b/>
          <w:kern w:val="0"/>
          <w:sz w:val="28"/>
        </w:rPr>
        <w:fldChar w:fldCharType="begin"/>
      </w:r>
      <w:r>
        <w:rPr>
          <w:rFonts w:eastAsia="黑体"/>
          <w:b/>
          <w:kern w:val="0"/>
          <w:sz w:val="28"/>
        </w:rPr>
        <w:instrText xml:space="preserve"> TC  "</w:instrText>
      </w:r>
      <w:bookmarkStart w:id="84" w:name="_Toc108470230"/>
      <w:bookmarkStart w:id="85" w:name="_Toc135038270"/>
      <w:r>
        <w:rPr>
          <w:rFonts w:eastAsia="黑体"/>
          <w:b/>
          <w:kern w:val="0"/>
          <w:sz w:val="28"/>
        </w:rPr>
        <w:instrText xml:space="preserve">5.1  General requirements</w:instrText>
      </w:r>
      <w:bookmarkEnd w:id="84"/>
      <w:bookmarkEnd w:id="85"/>
      <w:r>
        <w:rPr>
          <w:rFonts w:eastAsia="黑体"/>
          <w:b/>
          <w:kern w:val="0"/>
          <w:sz w:val="28"/>
        </w:rPr>
        <w:instrText xml:space="preserve">" \l 2 </w:instrText>
      </w:r>
      <w:r>
        <w:rPr>
          <w:rFonts w:eastAsia="黑体"/>
          <w:b/>
          <w:kern w:val="0"/>
          <w:sz w:val="28"/>
        </w:rPr>
        <w:fldChar w:fldCharType="end"/>
      </w:r>
    </w:p>
    <w:p>
      <w:pPr>
        <w:spacing w:line="360" w:lineRule="auto"/>
        <w:rPr>
          <w:bCs/>
          <w:color w:val="FF0000"/>
          <w:sz w:val="24"/>
          <w:szCs w:val="24"/>
        </w:rPr>
      </w:pPr>
      <w:r>
        <w:rPr>
          <w:b/>
          <w:bCs/>
          <w:sz w:val="24"/>
          <w:szCs w:val="24"/>
        </w:rPr>
        <w:t xml:space="preserve">5.1.1  </w:t>
      </w:r>
      <w:r>
        <w:rPr>
          <w:sz w:val="24"/>
          <w:szCs w:val="24"/>
        </w:rPr>
        <w:t>混凝土结合面连接的检测项目可包括结合面混凝土正拉粘结强度、混凝土内部结合面连接缺陷和竖向构件底部接缝内部缺陷。</w:t>
      </w:r>
    </w:p>
    <w:p>
      <w:pPr>
        <w:spacing w:line="360" w:lineRule="auto"/>
        <w:rPr>
          <w:bCs/>
          <w:sz w:val="24"/>
          <w:szCs w:val="24"/>
        </w:rPr>
      </w:pPr>
      <w:r>
        <w:rPr>
          <w:b/>
          <w:bCs/>
          <w:sz w:val="24"/>
          <w:szCs w:val="24"/>
        </w:rPr>
        <w:t xml:space="preserve">5.1.2  </w:t>
      </w:r>
      <w:r>
        <w:rPr>
          <w:sz w:val="24"/>
          <w:szCs w:val="24"/>
        </w:rPr>
        <w:t>对混凝土内部结合面连接缺陷进行无损检测时，混凝土测试表面应平整、清洁、干燥，且不应有蜂窝、孔洞、疏松、浮浆、凸起等外观质量缺陷。</w:t>
      </w:r>
    </w:p>
    <w:p>
      <w:pPr>
        <w:spacing w:line="360" w:lineRule="auto"/>
        <w:rPr>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5.1.3  </w:t>
      </w:r>
      <w:r>
        <w:rPr>
          <w:bCs/>
          <w:color w:val="000000" w:themeColor="text1"/>
          <w:sz w:val="24"/>
          <w:szCs w:val="24"/>
          <w14:textFill>
            <w14:solidFill>
              <w14:schemeClr w14:val="tx1"/>
            </w14:solidFill>
          </w14:textFill>
        </w:rPr>
        <w:t>对混凝土内部结合面连接缺陷和</w:t>
      </w:r>
      <w:r>
        <w:rPr>
          <w:color w:val="000000" w:themeColor="text1"/>
          <w:sz w:val="24"/>
          <w:szCs w:val="24"/>
          <w14:textFill>
            <w14:solidFill>
              <w14:schemeClr w14:val="tx1"/>
            </w14:solidFill>
          </w14:textFill>
        </w:rPr>
        <w:t>竖向构件底部接缝内部缺陷</w:t>
      </w:r>
      <w:r>
        <w:rPr>
          <w:bCs/>
          <w:color w:val="000000" w:themeColor="text1"/>
          <w:sz w:val="24"/>
          <w:szCs w:val="24"/>
          <w14:textFill>
            <w14:solidFill>
              <w14:schemeClr w14:val="tx1"/>
            </w14:solidFill>
          </w14:textFill>
        </w:rPr>
        <w:t>进行检测时，可将同一楼层、同一施工条件、同类构件或同类部位划分为一个检测批，检测批的最小样本容量应符合本标准第3.3.5条的规定。</w:t>
      </w:r>
    </w:p>
    <w:p>
      <w:pPr>
        <w:keepNext/>
        <w:keepLines/>
        <w:spacing w:before="120" w:beforeLines="50" w:after="120" w:afterLines="50" w:line="400" w:lineRule="exact"/>
        <w:jc w:val="center"/>
        <w:outlineLvl w:val="1"/>
        <w:rPr>
          <w:b/>
          <w:kern w:val="0"/>
          <w:sz w:val="24"/>
          <w:szCs w:val="24"/>
        </w:rPr>
      </w:pPr>
      <w:bookmarkStart w:id="86" w:name="_Toc120020287"/>
      <w:r>
        <w:rPr>
          <w:b/>
          <w:kern w:val="0"/>
          <w:sz w:val="24"/>
          <w:szCs w:val="24"/>
        </w:rPr>
        <w:t>5.2  结合面混凝土正拉粘结强度</w:t>
      </w:r>
      <w:bookmarkEnd w:id="86"/>
      <w:r>
        <w:rPr>
          <w:rFonts w:eastAsia="黑体"/>
          <w:b/>
          <w:kern w:val="0"/>
          <w:sz w:val="28"/>
        </w:rPr>
        <w:fldChar w:fldCharType="begin"/>
      </w:r>
      <w:r>
        <w:rPr>
          <w:rFonts w:eastAsia="黑体"/>
          <w:b/>
          <w:kern w:val="0"/>
          <w:sz w:val="28"/>
        </w:rPr>
        <w:instrText xml:space="preserve"> TC  "</w:instrText>
      </w:r>
      <w:bookmarkStart w:id="87" w:name="_Toc108470231"/>
      <w:bookmarkStart w:id="88" w:name="_Toc135038271"/>
      <w:r>
        <w:rPr>
          <w:rFonts w:eastAsia="黑体"/>
          <w:b/>
          <w:kern w:val="0"/>
          <w:sz w:val="28"/>
        </w:rPr>
        <w:instrText xml:space="preserve">5.2  Normal tensile bond strength of joint surface</w:instrText>
      </w:r>
      <w:bookmarkEnd w:id="87"/>
      <w:bookmarkEnd w:id="88"/>
      <w:r>
        <w:rPr>
          <w:rFonts w:eastAsia="黑体"/>
          <w:b/>
          <w:kern w:val="0"/>
          <w:sz w:val="28"/>
        </w:rPr>
        <w:instrText xml:space="preserve">" \l 2 </w:instrText>
      </w:r>
      <w:r>
        <w:rPr>
          <w:rFonts w:eastAsia="黑体"/>
          <w:b/>
          <w:kern w:val="0"/>
          <w:sz w:val="28"/>
        </w:rPr>
        <w:fldChar w:fldCharType="end"/>
      </w:r>
    </w:p>
    <w:p>
      <w:pPr>
        <w:spacing w:line="360" w:lineRule="auto"/>
        <w:jc w:val="left"/>
        <w:rPr>
          <w:bCs/>
          <w:sz w:val="24"/>
          <w:szCs w:val="24"/>
        </w:rPr>
      </w:pPr>
      <w:r>
        <w:rPr>
          <w:b/>
          <w:bCs/>
          <w:sz w:val="24"/>
          <w:szCs w:val="24"/>
        </w:rPr>
        <w:t xml:space="preserve">5.2.1  </w:t>
      </w:r>
      <w:r>
        <w:rPr>
          <w:bCs/>
          <w:sz w:val="24"/>
          <w:szCs w:val="24"/>
        </w:rPr>
        <w:t>结合面混凝土正拉粘结强度现场检测时，应选择结合面与检测面平行的构件或结构部位。</w:t>
      </w:r>
    </w:p>
    <w:p>
      <w:pPr>
        <w:spacing w:line="360" w:lineRule="auto"/>
        <w:jc w:val="left"/>
        <w:rPr>
          <w:sz w:val="24"/>
          <w:szCs w:val="24"/>
        </w:rPr>
      </w:pPr>
      <w:r>
        <w:rPr>
          <w:b/>
          <w:bCs/>
          <w:sz w:val="24"/>
          <w:szCs w:val="24"/>
        </w:rPr>
        <w:t xml:space="preserve">5.2.2  </w:t>
      </w:r>
      <w:r>
        <w:rPr>
          <w:sz w:val="24"/>
          <w:szCs w:val="24"/>
        </w:rPr>
        <w:t>现场检测宜在二次浇筑混凝</w:t>
      </w:r>
      <w:r>
        <w:rPr>
          <w:color w:val="000000" w:themeColor="text1"/>
          <w:sz w:val="24"/>
          <w:szCs w:val="24"/>
          <w14:textFill>
            <w14:solidFill>
              <w14:schemeClr w14:val="tx1"/>
            </w14:solidFill>
          </w14:textFill>
        </w:rPr>
        <w:t>土养护的等效龄期大于</w:t>
      </w:r>
      <w:r>
        <w:rPr>
          <w:bCs/>
          <w:color w:val="000000" w:themeColor="text1"/>
          <w:sz w:val="24"/>
          <w:szCs w:val="24"/>
          <w14:textFill>
            <w14:solidFill>
              <w14:schemeClr w14:val="tx1"/>
            </w14:solidFill>
          </w14:textFill>
        </w:rPr>
        <w:t>600</w:t>
      </w:r>
      <w:r>
        <w:rPr>
          <w:rFonts w:hint="eastAsia" w:ascii="宋体" w:hAnsi="宋体" w:cs="宋体"/>
          <w:bCs/>
          <w:color w:val="000000" w:themeColor="text1"/>
          <w:sz w:val="24"/>
          <w:szCs w:val="24"/>
          <w14:textFill>
            <w14:solidFill>
              <w14:schemeClr w14:val="tx1"/>
            </w14:solidFill>
          </w14:textFill>
        </w:rPr>
        <w:t>℃</w:t>
      </w:r>
      <w:r>
        <w:rPr>
          <w:rFonts w:eastAsiaTheme="minorEastAsia"/>
          <w:bCs/>
          <w:color w:val="000000" w:themeColor="text1"/>
          <w:sz w:val="24"/>
          <w:szCs w:val="24"/>
          <w14:textFill>
            <w14:solidFill>
              <w14:schemeClr w14:val="tx1"/>
            </w14:solidFill>
          </w14:textFill>
        </w:rPr>
        <w:t>·</w:t>
      </w:r>
      <w:r>
        <w:rPr>
          <w:bCs/>
          <w:color w:val="000000" w:themeColor="text1"/>
          <w:sz w:val="24"/>
          <w:szCs w:val="24"/>
          <w14:textFill>
            <w14:solidFill>
              <w14:schemeClr w14:val="tx1"/>
            </w14:solidFill>
          </w14:textFill>
        </w:rPr>
        <w:t>d</w:t>
      </w:r>
      <w:r>
        <w:rPr>
          <w:color w:val="000000" w:themeColor="text1"/>
          <w:sz w:val="24"/>
          <w:szCs w:val="24"/>
          <w14:textFill>
            <w14:solidFill>
              <w14:schemeClr w14:val="tx1"/>
            </w14:solidFill>
          </w14:textFill>
        </w:rPr>
        <w:t>后进行。</w:t>
      </w:r>
    </w:p>
    <w:p>
      <w:pPr>
        <w:spacing w:line="360" w:lineRule="auto"/>
        <w:jc w:val="left"/>
        <w:rPr>
          <w:b/>
          <w:bCs/>
          <w:color w:val="FF0000"/>
          <w:sz w:val="24"/>
          <w:szCs w:val="24"/>
        </w:rPr>
      </w:pPr>
      <w:r>
        <w:rPr>
          <w:b/>
          <w:bCs/>
          <w:sz w:val="24"/>
          <w:szCs w:val="24"/>
        </w:rPr>
        <w:t>5.2.3</w:t>
      </w:r>
      <w:r>
        <w:rPr>
          <w:sz w:val="24"/>
          <w:szCs w:val="24"/>
        </w:rPr>
        <w:t xml:space="preserve">  </w:t>
      </w:r>
      <w:r>
        <w:rPr>
          <w:bCs/>
          <w:sz w:val="24"/>
          <w:szCs w:val="24"/>
        </w:rPr>
        <w:t>结合面混凝土正拉粘结强度的检测设备</w:t>
      </w:r>
      <w:r>
        <w:rPr>
          <w:sz w:val="24"/>
          <w:szCs w:val="24"/>
        </w:rPr>
        <w:t>可包括钻芯机、钻头和拉拔仪等，</w:t>
      </w:r>
      <w:r>
        <w:rPr>
          <w:color w:val="000000" w:themeColor="text1"/>
          <w:sz w:val="24"/>
          <w:szCs w:val="24"/>
          <w14:textFill>
            <w14:solidFill>
              <w14:schemeClr w14:val="tx1"/>
            </w14:solidFill>
          </w14:textFill>
        </w:rPr>
        <w:t>钻芯机及钻头应符合现行行业标准《钻芯法检测混凝土强度技术规程》JGJ/T 384的有关规定，拉拔仪应符合下列规定：</w:t>
      </w:r>
    </w:p>
    <w:p>
      <w:pPr>
        <w:spacing w:line="360" w:lineRule="auto"/>
        <w:ind w:firstLine="481" w:firstLineChars="20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1 </w:t>
      </w:r>
      <w:r>
        <w:rPr>
          <w:color w:val="000000" w:themeColor="text1"/>
          <w:sz w:val="24"/>
          <w:szCs w:val="24"/>
          <w14:textFill>
            <w14:solidFill>
              <w14:schemeClr w14:val="tx1"/>
            </w14:solidFill>
          </w14:textFill>
        </w:rPr>
        <w:t xml:space="preserve"> 应具有轴向连接试件的传力装置或径向夹持试件的功能，且</w:t>
      </w:r>
      <w:r>
        <w:rPr>
          <w:rFonts w:eastAsiaTheme="minorEastAsia"/>
          <w:color w:val="000000" w:themeColor="text1"/>
          <w:sz w:val="24"/>
          <w:szCs w:val="24"/>
          <w14:textFill>
            <w14:solidFill>
              <w14:schemeClr w14:val="tx1"/>
            </w14:solidFill>
          </w14:textFill>
        </w:rPr>
        <w:t>连接装置或夹紧装置不应先于试件破坏而与试件脱开；</w:t>
      </w:r>
    </w:p>
    <w:p>
      <w:pPr>
        <w:spacing w:line="360" w:lineRule="auto"/>
        <w:ind w:firstLine="481" w:firstLineChars="200"/>
        <w:rPr>
          <w:sz w:val="24"/>
          <w:szCs w:val="24"/>
        </w:rPr>
      </w:pPr>
      <w:r>
        <w:rPr>
          <w:b/>
          <w:bCs/>
          <w:sz w:val="24"/>
          <w:szCs w:val="24"/>
        </w:rPr>
        <w:t xml:space="preserve">2  </w:t>
      </w:r>
      <w:r>
        <w:rPr>
          <w:sz w:val="24"/>
          <w:szCs w:val="24"/>
        </w:rPr>
        <w:t>应具有荷载实时显示和荷载峰值保持功能；</w:t>
      </w:r>
    </w:p>
    <w:p>
      <w:pPr>
        <w:spacing w:line="360" w:lineRule="auto"/>
        <w:ind w:firstLine="481" w:firstLineChars="200"/>
        <w:rPr>
          <w:sz w:val="24"/>
          <w:szCs w:val="24"/>
        </w:rPr>
      </w:pPr>
      <w:r>
        <w:rPr>
          <w:b/>
          <w:bCs/>
          <w:sz w:val="24"/>
          <w:szCs w:val="24"/>
        </w:rPr>
        <w:t xml:space="preserve">3 </w:t>
      </w:r>
      <w:r>
        <w:rPr>
          <w:sz w:val="24"/>
          <w:szCs w:val="24"/>
        </w:rPr>
        <w:t xml:space="preserve"> 量程不宜大于35000N，荷载分辨力或最小示值不宜大于1N，满量程测试误差不应大于1.0%；</w:t>
      </w:r>
    </w:p>
    <w:p>
      <w:pPr>
        <w:spacing w:line="360" w:lineRule="auto"/>
        <w:ind w:firstLine="481" w:firstLineChars="200"/>
        <w:rPr>
          <w:sz w:val="24"/>
          <w:szCs w:val="24"/>
        </w:rPr>
      </w:pPr>
      <w:r>
        <w:rPr>
          <w:b/>
          <w:bCs/>
          <w:sz w:val="24"/>
          <w:szCs w:val="24"/>
        </w:rPr>
        <w:t>4</w:t>
      </w:r>
      <w:r>
        <w:rPr>
          <w:sz w:val="24"/>
          <w:szCs w:val="24"/>
        </w:rPr>
        <w:t xml:space="preserve">  应有设备合格证和校准证书，并应在有效期内使用；</w:t>
      </w:r>
    </w:p>
    <w:p>
      <w:pPr>
        <w:spacing w:line="360" w:lineRule="auto"/>
        <w:ind w:firstLine="481" w:firstLineChars="200"/>
        <w:rPr>
          <w:rFonts w:eastAsia="MS Mincho"/>
          <w:sz w:val="24"/>
          <w:szCs w:val="24"/>
          <w:lang w:eastAsia="ja-JP"/>
        </w:rPr>
      </w:pPr>
      <w:r>
        <w:rPr>
          <w:b/>
          <w:sz w:val="24"/>
          <w:szCs w:val="24"/>
        </w:rPr>
        <w:t>5</w:t>
      </w:r>
      <w:r>
        <w:rPr>
          <w:sz w:val="24"/>
          <w:szCs w:val="24"/>
        </w:rPr>
        <w:t xml:space="preserve">  使用时的环境温度宜为（-10~45）</w:t>
      </w:r>
      <w:r>
        <w:rPr>
          <w:rFonts w:hint="eastAsia" w:ascii="宋体" w:hAnsi="宋体" w:cs="宋体"/>
          <w:sz w:val="24"/>
          <w:szCs w:val="24"/>
          <w:lang w:eastAsia="ja-JP"/>
        </w:rPr>
        <w:t>℃</w:t>
      </w:r>
      <w:r>
        <w:rPr>
          <w:rFonts w:eastAsia="MS Mincho"/>
          <w:sz w:val="24"/>
          <w:szCs w:val="24"/>
          <w:lang w:eastAsia="ja-JP"/>
        </w:rPr>
        <w:t>。</w:t>
      </w:r>
    </w:p>
    <w:p>
      <w:pPr>
        <w:spacing w:line="360" w:lineRule="auto"/>
        <w:rPr>
          <w:sz w:val="24"/>
          <w:szCs w:val="24"/>
        </w:rPr>
      </w:pPr>
      <w:r>
        <w:rPr>
          <w:b/>
          <w:sz w:val="24"/>
          <w:szCs w:val="24"/>
        </w:rPr>
        <w:t xml:space="preserve">5.2.4  </w:t>
      </w:r>
      <w:r>
        <w:rPr>
          <w:bCs/>
          <w:sz w:val="24"/>
          <w:szCs w:val="24"/>
        </w:rPr>
        <w:t>结合面混凝土正拉粘结强度</w:t>
      </w:r>
      <w:r>
        <w:rPr>
          <w:sz w:val="24"/>
          <w:szCs w:val="24"/>
        </w:rPr>
        <w:t>检测的测点布置应符合下列规定：</w:t>
      </w:r>
    </w:p>
    <w:p>
      <w:pPr>
        <w:spacing w:line="360" w:lineRule="auto"/>
        <w:ind w:firstLine="481" w:firstLineChars="200"/>
        <w:rPr>
          <w:bCs/>
          <w:sz w:val="24"/>
          <w:szCs w:val="24"/>
        </w:rPr>
      </w:pPr>
      <w:r>
        <w:rPr>
          <w:b/>
          <w:sz w:val="24"/>
          <w:szCs w:val="24"/>
        </w:rPr>
        <w:t xml:space="preserve">1  </w:t>
      </w:r>
      <w:r>
        <w:rPr>
          <w:bCs/>
          <w:sz w:val="24"/>
          <w:szCs w:val="24"/>
        </w:rPr>
        <w:t>测点选择应有代表性，且应确保拉拔仪的施力方向垂直于混凝土结合面；</w:t>
      </w:r>
    </w:p>
    <w:p>
      <w:pPr>
        <w:spacing w:line="360" w:lineRule="auto"/>
        <w:ind w:firstLine="481" w:firstLineChars="200"/>
        <w:rPr>
          <w:bCs/>
          <w:sz w:val="24"/>
          <w:szCs w:val="24"/>
        </w:rPr>
      </w:pPr>
      <w:r>
        <w:rPr>
          <w:b/>
          <w:sz w:val="24"/>
          <w:szCs w:val="24"/>
        </w:rPr>
        <w:t xml:space="preserve">2  </w:t>
      </w:r>
      <w:r>
        <w:rPr>
          <w:bCs/>
          <w:sz w:val="24"/>
          <w:szCs w:val="24"/>
        </w:rPr>
        <w:t>检测部位应在结构或构件受力较小处，且检测后不宜影响构件或结构的使用。</w:t>
      </w:r>
    </w:p>
    <w:p>
      <w:pPr>
        <w:spacing w:line="360" w:lineRule="auto"/>
        <w:jc w:val="left"/>
        <w:rPr>
          <w:b/>
          <w:bCs/>
          <w:sz w:val="24"/>
          <w:szCs w:val="24"/>
        </w:rPr>
      </w:pPr>
      <w:r>
        <w:rPr>
          <w:b/>
          <w:bCs/>
          <w:sz w:val="24"/>
          <w:szCs w:val="24"/>
        </w:rPr>
        <w:t xml:space="preserve">5.2.5  </w:t>
      </w:r>
      <w:r>
        <w:rPr>
          <w:bCs/>
          <w:sz w:val="24"/>
          <w:szCs w:val="24"/>
        </w:rPr>
        <w:t>现场</w:t>
      </w:r>
      <w:r>
        <w:rPr>
          <w:sz w:val="24"/>
          <w:szCs w:val="24"/>
        </w:rPr>
        <w:t>钻芯操作应符合下列规定：</w:t>
      </w:r>
    </w:p>
    <w:p>
      <w:pPr>
        <w:spacing w:line="360" w:lineRule="auto"/>
        <w:ind w:firstLine="481" w:firstLineChars="200"/>
        <w:rPr>
          <w:bCs/>
          <w:sz w:val="24"/>
          <w:szCs w:val="24"/>
        </w:rPr>
      </w:pPr>
      <w:r>
        <w:rPr>
          <w:b/>
          <w:sz w:val="24"/>
          <w:szCs w:val="24"/>
        </w:rPr>
        <w:t xml:space="preserve">1  </w:t>
      </w:r>
      <w:r>
        <w:rPr>
          <w:bCs/>
          <w:sz w:val="24"/>
          <w:szCs w:val="24"/>
        </w:rPr>
        <w:t>钻芯机应安放平稳，固定牢靠；</w:t>
      </w:r>
    </w:p>
    <w:p>
      <w:pPr>
        <w:spacing w:line="360" w:lineRule="auto"/>
        <w:ind w:firstLine="481" w:firstLineChars="200"/>
        <w:rPr>
          <w:bCs/>
          <w:sz w:val="24"/>
          <w:szCs w:val="24"/>
        </w:rPr>
      </w:pPr>
      <w:r>
        <w:rPr>
          <w:b/>
          <w:bCs/>
          <w:sz w:val="24"/>
          <w:szCs w:val="24"/>
        </w:rPr>
        <w:t>2</w:t>
      </w:r>
      <w:r>
        <w:rPr>
          <w:bCs/>
          <w:sz w:val="24"/>
          <w:szCs w:val="24"/>
        </w:rPr>
        <w:t xml:space="preserve">  用于冷却钻头和排除混凝土碎屑的冷却水流量宜为3L/min~5L/min；</w:t>
      </w:r>
    </w:p>
    <w:p>
      <w:pPr>
        <w:spacing w:line="360" w:lineRule="auto"/>
        <w:ind w:firstLine="481" w:firstLineChars="200"/>
        <w:rPr>
          <w:bCs/>
          <w:sz w:val="24"/>
          <w:szCs w:val="24"/>
        </w:rPr>
      </w:pPr>
      <w:r>
        <w:rPr>
          <w:b/>
          <w:bCs/>
          <w:sz w:val="24"/>
          <w:szCs w:val="24"/>
        </w:rPr>
        <w:t>3</w:t>
      </w:r>
      <w:r>
        <w:rPr>
          <w:bCs/>
          <w:sz w:val="24"/>
          <w:szCs w:val="24"/>
        </w:rPr>
        <w:t xml:space="preserve">  钻进时应匀速施力，钻深可通过钻机深度标尺控制；</w:t>
      </w:r>
    </w:p>
    <w:p>
      <w:pPr>
        <w:spacing w:line="360" w:lineRule="auto"/>
        <w:ind w:firstLine="481" w:firstLineChars="200"/>
        <w:rPr>
          <w:bCs/>
          <w:sz w:val="24"/>
          <w:szCs w:val="24"/>
        </w:rPr>
      </w:pPr>
      <w:r>
        <w:rPr>
          <w:b/>
          <w:sz w:val="24"/>
          <w:szCs w:val="24"/>
        </w:rPr>
        <w:t>4</w:t>
      </w:r>
      <w:r>
        <w:rPr>
          <w:bCs/>
          <w:sz w:val="24"/>
          <w:szCs w:val="24"/>
        </w:rPr>
        <w:t xml:space="preserve">  应避开钢筋、预埋件和预埋管线，钢筋探测仪应适用于现场操作，最大探测深度不应小于60mm，探测位置偏差不宜大于3mm；</w:t>
      </w:r>
    </w:p>
    <w:p>
      <w:pPr>
        <w:spacing w:line="360" w:lineRule="auto"/>
        <w:ind w:firstLine="481" w:firstLineChars="200"/>
        <w:rPr>
          <w:b/>
          <w:sz w:val="24"/>
          <w:szCs w:val="24"/>
        </w:rPr>
      </w:pPr>
      <w:r>
        <w:rPr>
          <w:b/>
          <w:bCs/>
          <w:sz w:val="24"/>
          <w:szCs w:val="24"/>
        </w:rPr>
        <w:t>5</w:t>
      </w:r>
      <w:r>
        <w:rPr>
          <w:bCs/>
          <w:sz w:val="24"/>
          <w:szCs w:val="24"/>
        </w:rPr>
        <w:t xml:space="preserve">  应遵守相关安全生产和劳动保护的规定。</w:t>
      </w:r>
    </w:p>
    <w:p>
      <w:pPr>
        <w:spacing w:line="360" w:lineRule="auto"/>
        <w:rPr>
          <w:sz w:val="24"/>
          <w:szCs w:val="24"/>
        </w:rPr>
      </w:pPr>
      <w:r>
        <w:rPr>
          <w:b/>
          <w:sz w:val="24"/>
          <w:szCs w:val="24"/>
        </w:rPr>
        <w:t xml:space="preserve">5.2.6  </w:t>
      </w:r>
      <w:r>
        <w:rPr>
          <w:bCs/>
          <w:sz w:val="24"/>
          <w:szCs w:val="24"/>
        </w:rPr>
        <w:t>结合面混凝土正拉粘结强度</w:t>
      </w:r>
      <w:r>
        <w:rPr>
          <w:sz w:val="24"/>
          <w:szCs w:val="24"/>
        </w:rPr>
        <w:t>检测应符合下列规定：</w:t>
      </w:r>
    </w:p>
    <w:p>
      <w:pPr>
        <w:spacing w:line="360" w:lineRule="auto"/>
        <w:ind w:firstLine="481" w:firstLineChars="200"/>
        <w:rPr>
          <w:b/>
          <w:sz w:val="24"/>
          <w:szCs w:val="24"/>
        </w:rPr>
      </w:pPr>
      <w:r>
        <w:rPr>
          <w:b/>
          <w:sz w:val="24"/>
          <w:szCs w:val="24"/>
        </w:rPr>
        <w:t xml:space="preserve">1  </w:t>
      </w:r>
      <w:r>
        <w:rPr>
          <w:rFonts w:hint="eastAsia"/>
          <w:sz w:val="24"/>
          <w:szCs w:val="24"/>
        </w:rPr>
        <w:t>混凝土</w:t>
      </w:r>
      <w:r>
        <w:rPr>
          <w:bCs/>
          <w:sz w:val="24"/>
          <w:szCs w:val="24"/>
        </w:rPr>
        <w:t>芯样</w:t>
      </w:r>
      <w:r>
        <w:rPr>
          <w:sz w:val="24"/>
          <w:szCs w:val="24"/>
        </w:rPr>
        <w:t>直径宜为100mm，且不应小于70mm，钻取深度应大于结合面深度且距离结合面不宜大于15mm；</w:t>
      </w:r>
    </w:p>
    <w:p>
      <w:pPr>
        <w:spacing w:line="360" w:lineRule="auto"/>
        <w:ind w:firstLine="481" w:firstLineChars="200"/>
        <w:rPr>
          <w:b/>
          <w:sz w:val="24"/>
          <w:szCs w:val="24"/>
        </w:rPr>
      </w:pPr>
      <w:r>
        <w:rPr>
          <w:b/>
          <w:sz w:val="24"/>
          <w:szCs w:val="24"/>
        </w:rPr>
        <w:t xml:space="preserve">2  </w:t>
      </w:r>
      <w:r>
        <w:rPr>
          <w:bCs/>
          <w:sz w:val="24"/>
          <w:szCs w:val="24"/>
        </w:rPr>
        <w:t>钻样完成后，应冲洗试件表面泥浆，确保加载作用部位的清洁；</w:t>
      </w:r>
    </w:p>
    <w:p>
      <w:pPr>
        <w:spacing w:line="360" w:lineRule="auto"/>
        <w:ind w:firstLine="481" w:firstLineChars="200"/>
        <w:rPr>
          <w:sz w:val="24"/>
          <w:szCs w:val="24"/>
        </w:rPr>
      </w:pPr>
      <w:r>
        <w:rPr>
          <w:b/>
          <w:sz w:val="24"/>
          <w:szCs w:val="24"/>
        </w:rPr>
        <w:t xml:space="preserve">3  </w:t>
      </w:r>
      <w:r>
        <w:rPr>
          <w:sz w:val="24"/>
          <w:szCs w:val="24"/>
        </w:rPr>
        <w:t>加载时</w:t>
      </w:r>
      <w:r>
        <w:rPr>
          <w:bCs/>
          <w:sz w:val="24"/>
          <w:szCs w:val="24"/>
        </w:rPr>
        <w:t>试件</w:t>
      </w:r>
      <w:r>
        <w:rPr>
          <w:sz w:val="24"/>
          <w:szCs w:val="24"/>
        </w:rPr>
        <w:t>应处于干燥状态；</w:t>
      </w:r>
    </w:p>
    <w:p>
      <w:pPr>
        <w:spacing w:line="360" w:lineRule="auto"/>
        <w:ind w:firstLine="481" w:firstLineChars="200"/>
        <w:rPr>
          <w:sz w:val="24"/>
          <w:szCs w:val="24"/>
        </w:rPr>
      </w:pPr>
      <w:r>
        <w:rPr>
          <w:b/>
          <w:bCs/>
          <w:sz w:val="24"/>
          <w:szCs w:val="24"/>
        </w:rPr>
        <w:t>4</w:t>
      </w:r>
      <w:r>
        <w:rPr>
          <w:color w:val="000000" w:themeColor="text1"/>
          <w:sz w:val="24"/>
          <w:szCs w:val="24"/>
          <w14:textFill>
            <w14:solidFill>
              <w14:schemeClr w14:val="tx1"/>
            </w14:solidFill>
          </w14:textFill>
        </w:rPr>
        <w:t xml:space="preserve">  拉拔力应与混凝土芯样试件同轴，应</w:t>
      </w:r>
      <w:r>
        <w:rPr>
          <w:sz w:val="24"/>
          <w:szCs w:val="24"/>
        </w:rPr>
        <w:t>连续均匀加荷，加荷速率宜为1500N/min～2000N/min，</w:t>
      </w:r>
      <w:r>
        <w:rPr>
          <w:color w:val="000000" w:themeColor="text1"/>
          <w:sz w:val="24"/>
          <w:szCs w:val="24"/>
          <w14:textFill>
            <w14:solidFill>
              <w14:schemeClr w14:val="tx1"/>
            </w14:solidFill>
          </w14:textFill>
        </w:rPr>
        <w:t>应</w:t>
      </w:r>
      <w:r>
        <w:rPr>
          <w:sz w:val="24"/>
          <w:szCs w:val="24"/>
        </w:rPr>
        <w:t>记录抗拉破坏时的荷载值和破坏形态；</w:t>
      </w:r>
    </w:p>
    <w:p>
      <w:pPr>
        <w:spacing w:line="360" w:lineRule="auto"/>
        <w:ind w:firstLine="481" w:firstLineChars="200"/>
        <w:rPr>
          <w:bCs/>
          <w:sz w:val="24"/>
          <w:szCs w:val="24"/>
        </w:rPr>
      </w:pPr>
      <w:r>
        <w:rPr>
          <w:b/>
          <w:sz w:val="24"/>
          <w:szCs w:val="24"/>
        </w:rPr>
        <w:t xml:space="preserve">5  </w:t>
      </w:r>
      <w:r>
        <w:rPr>
          <w:sz w:val="24"/>
          <w:szCs w:val="24"/>
        </w:rPr>
        <w:t>应在</w:t>
      </w:r>
      <w:r>
        <w:rPr>
          <w:bCs/>
          <w:sz w:val="24"/>
          <w:szCs w:val="24"/>
        </w:rPr>
        <w:t>两个相互垂直方向测量</w:t>
      </w:r>
      <w:r>
        <w:rPr>
          <w:rFonts w:hint="eastAsia"/>
          <w:bCs/>
          <w:sz w:val="24"/>
          <w:szCs w:val="24"/>
        </w:rPr>
        <w:t>芯样</w:t>
      </w:r>
      <w:r>
        <w:rPr>
          <w:bCs/>
          <w:sz w:val="24"/>
          <w:szCs w:val="24"/>
        </w:rPr>
        <w:t>试件破断面的直径；</w:t>
      </w:r>
    </w:p>
    <w:p>
      <w:pPr>
        <w:spacing w:line="360" w:lineRule="auto"/>
        <w:ind w:firstLine="481" w:firstLineChars="200"/>
        <w:rPr>
          <w:sz w:val="24"/>
          <w:szCs w:val="24"/>
        </w:rPr>
      </w:pPr>
      <w:r>
        <w:rPr>
          <w:b/>
          <w:bCs/>
          <w:sz w:val="24"/>
          <w:szCs w:val="24"/>
        </w:rPr>
        <w:t>6</w:t>
      </w:r>
      <w:r>
        <w:rPr>
          <w:sz w:val="24"/>
          <w:szCs w:val="24"/>
        </w:rPr>
        <w:t xml:space="preserve">  检测留下的孔洞应及时采用高一个强度等级的细石微膨胀混凝土进行修复。</w:t>
      </w:r>
    </w:p>
    <w:p>
      <w:pPr>
        <w:spacing w:line="360" w:lineRule="auto"/>
        <w:rPr>
          <w:sz w:val="24"/>
          <w:szCs w:val="24"/>
        </w:rPr>
      </w:pPr>
      <w:r>
        <w:rPr>
          <w:b/>
          <w:sz w:val="24"/>
          <w:szCs w:val="24"/>
        </w:rPr>
        <w:t xml:space="preserve">5.2.7  </w:t>
      </w:r>
      <w:r>
        <w:rPr>
          <w:sz w:val="24"/>
          <w:szCs w:val="24"/>
        </w:rPr>
        <w:t>当</w:t>
      </w:r>
      <w:r>
        <w:rPr>
          <w:rFonts w:hint="eastAsia"/>
          <w:sz w:val="24"/>
          <w:szCs w:val="24"/>
        </w:rPr>
        <w:t>芯样</w:t>
      </w:r>
      <w:r>
        <w:rPr>
          <w:bCs/>
          <w:sz w:val="24"/>
          <w:szCs w:val="24"/>
        </w:rPr>
        <w:t>试件</w:t>
      </w:r>
      <w:r>
        <w:rPr>
          <w:sz w:val="24"/>
          <w:szCs w:val="24"/>
        </w:rPr>
        <w:t>破断面位于结合面处时，结合面混凝土正拉粘结强度值应按下式计算：</w:t>
      </w:r>
    </w:p>
    <w:p>
      <w:pPr>
        <w:spacing w:line="360" w:lineRule="auto"/>
        <w:ind w:firstLine="480" w:firstLineChars="200"/>
        <w:jc w:val="right"/>
        <w:rPr>
          <w:color w:val="000000" w:themeColor="text1"/>
          <w:sz w:val="24"/>
          <w:szCs w:val="24"/>
          <w14:textFill>
            <w14:solidFill>
              <w14:schemeClr w14:val="tx1"/>
            </w14:solidFill>
          </w14:textFill>
        </w:rPr>
      </w:pPr>
      <w:bookmarkStart w:id="89" w:name="_Hlk119936886"/>
      <w:r>
        <w:rPr>
          <w:color w:val="000000" w:themeColor="text1"/>
          <w:position w:val="-24"/>
          <w:sz w:val="24"/>
          <w:szCs w:val="24"/>
          <w14:textFill>
            <w14:solidFill>
              <w14:schemeClr w14:val="tx1"/>
            </w14:solidFill>
          </w14:textFill>
        </w:rPr>
        <w:object>
          <v:shape id="_x0000_i1073" o:spt="75" type="#_x0000_t75" style="height:30.55pt;width:52.4pt;" o:ole="t" filled="f" o:preferrelative="t" stroked="f" coordsize="21600,21600">
            <v:path/>
            <v:fill on="f" focussize="0,0"/>
            <v:stroke on="f" joinstyle="miter"/>
            <v:imagedata r:id="rId105" o:title=""/>
            <o:lock v:ext="edit" aspectratio="t"/>
            <w10:wrap type="none"/>
            <w10:anchorlock/>
          </v:shape>
          <o:OLEObject Type="Embed" ProgID="Equation.DSMT4" ShapeID="_x0000_i1073" DrawAspect="Content" ObjectID="_1468075773" r:id="rId104">
            <o:LockedField>false</o:LockedField>
          </o:OLEObject>
        </w:object>
      </w:r>
      <w:r>
        <w:rPr>
          <w:color w:val="000000" w:themeColor="text1"/>
          <w:sz w:val="24"/>
          <w:szCs w:val="24"/>
          <w14:textFill>
            <w14:solidFill>
              <w14:schemeClr w14:val="tx1"/>
            </w14:solidFill>
          </w14:textFill>
        </w:rPr>
        <w:t xml:space="preserve">                          （5.2.7）</w:t>
      </w:r>
    </w:p>
    <w:p>
      <w:pPr>
        <w:spacing w:line="360" w:lineRule="auto"/>
        <w:jc w:val="left"/>
        <w:rPr>
          <w:color w:val="000000" w:themeColor="text1"/>
          <w:sz w:val="24"/>
          <w:szCs w:val="24"/>
          <w14:textFill>
            <w14:solidFill>
              <w14:schemeClr w14:val="tx1"/>
            </w14:solidFill>
          </w14:textFill>
        </w:rPr>
      </w:pPr>
      <w:r>
        <w:rPr>
          <w:iCs/>
          <w:color w:val="000000" w:themeColor="text1"/>
          <w:sz w:val="24"/>
          <w:szCs w:val="24"/>
          <w14:textFill>
            <w14:solidFill>
              <w14:schemeClr w14:val="tx1"/>
            </w14:solidFill>
          </w14:textFill>
        </w:rPr>
        <w:t>式中：</w:t>
      </w:r>
      <w:r>
        <w:rPr>
          <w:color w:val="000000" w:themeColor="text1"/>
          <w:position w:val="-12"/>
          <w:sz w:val="24"/>
          <w:szCs w:val="24"/>
          <w14:textFill>
            <w14:solidFill>
              <w14:schemeClr w14:val="tx1"/>
            </w14:solidFill>
          </w14:textFill>
        </w:rPr>
        <w:object>
          <v:shape id="_x0000_i1074" o:spt="75" type="#_x0000_t75" style="height:19pt;width:13.25pt;" o:ole="t" filled="f" o:preferrelative="t" stroked="f" coordsize="21600,21600">
            <v:path/>
            <v:fill on="f" focussize="0,0"/>
            <v:stroke on="f" joinstyle="miter"/>
            <v:imagedata r:id="rId37" o:title=""/>
            <o:lock v:ext="edit" aspectratio="t"/>
            <w10:wrap type="none"/>
            <w10:anchorlock/>
          </v:shape>
          <o:OLEObject Type="Embed" ProgID="Equation.DSMT4" ShapeID="_x0000_i1074" DrawAspect="Content" ObjectID="_1468075774" r:id="rId106">
            <o:LockedField>false</o:LockedField>
          </o:OLEObject>
        </w:object>
      </w:r>
      <w:r>
        <w:rPr>
          <w:color w:val="000000" w:themeColor="text1"/>
          <w:sz w:val="24"/>
          <w:szCs w:val="24"/>
          <w14:textFill>
            <w14:solidFill>
              <w14:schemeClr w14:val="tx1"/>
            </w14:solidFill>
          </w14:textFill>
        </w:rPr>
        <w:t>—结合面</w:t>
      </w:r>
      <w:r>
        <w:rPr>
          <w:rFonts w:hint="eastAsia"/>
          <w:color w:val="000000" w:themeColor="text1"/>
          <w:sz w:val="24"/>
          <w:szCs w:val="24"/>
          <w14:textFill>
            <w14:solidFill>
              <w14:schemeClr w14:val="tx1"/>
            </w14:solidFill>
          </w14:textFill>
        </w:rPr>
        <w:t>混凝土</w:t>
      </w:r>
      <w:r>
        <w:rPr>
          <w:color w:val="000000" w:themeColor="text1"/>
          <w:sz w:val="24"/>
          <w:szCs w:val="24"/>
          <w14:textFill>
            <w14:solidFill>
              <w14:schemeClr w14:val="tx1"/>
            </w14:solidFill>
          </w14:textFill>
        </w:rPr>
        <w:t>正拉粘结强度（MPa），应精确至0.1MPa；</w:t>
      </w:r>
    </w:p>
    <w:p>
      <w:pPr>
        <w:spacing w:line="360" w:lineRule="auto"/>
        <w:ind w:firstLine="657" w:firstLineChars="274"/>
        <w:jc w:val="left"/>
        <w:rPr>
          <w:color w:val="000000" w:themeColor="text1"/>
          <w:sz w:val="24"/>
          <w:szCs w:val="24"/>
          <w14:textFill>
            <w14:solidFill>
              <w14:schemeClr w14:val="tx1"/>
            </w14:solidFill>
          </w14:textFill>
        </w:rPr>
      </w:pPr>
      <w:r>
        <w:rPr>
          <w:i/>
          <w:color w:val="000000" w:themeColor="text1"/>
          <w:sz w:val="24"/>
          <w:szCs w:val="24"/>
          <w14:textFill>
            <w14:solidFill>
              <w14:schemeClr w14:val="tx1"/>
            </w14:solidFill>
          </w14:textFill>
        </w:rPr>
        <w:t>P</w:t>
      </w:r>
      <w:r>
        <w:rPr>
          <w:color w:val="000000" w:themeColor="text1"/>
          <w:sz w:val="24"/>
          <w:szCs w:val="24"/>
          <w14:textFill>
            <w14:solidFill>
              <w14:schemeClr w14:val="tx1"/>
            </w14:solidFill>
          </w14:textFill>
        </w:rPr>
        <w:t>—混凝土芯样试件</w:t>
      </w:r>
      <w:r>
        <w:rPr>
          <w:bCs/>
          <w:color w:val="000000" w:themeColor="text1"/>
          <w:sz w:val="24"/>
          <w:szCs w:val="24"/>
          <w14:textFill>
            <w14:solidFill>
              <w14:schemeClr w14:val="tx1"/>
            </w14:solidFill>
          </w14:textFill>
        </w:rPr>
        <w:t>抗拉试验的</w:t>
      </w:r>
      <w:r>
        <w:rPr>
          <w:color w:val="000000" w:themeColor="text1"/>
          <w:sz w:val="24"/>
          <w:szCs w:val="24"/>
          <w14:textFill>
            <w14:solidFill>
              <w14:schemeClr w14:val="tx1"/>
            </w14:solidFill>
          </w14:textFill>
        </w:rPr>
        <w:t>破坏荷载值（N），应精确至0.1N；</w:t>
      </w:r>
    </w:p>
    <w:p>
      <w:pPr>
        <w:spacing w:line="360" w:lineRule="auto"/>
        <w:ind w:firstLine="600" w:firstLineChars="250"/>
        <w:jc w:val="left"/>
        <w:rPr>
          <w:color w:val="000000" w:themeColor="text1"/>
          <w:sz w:val="24"/>
          <w:szCs w:val="24"/>
          <w14:textFill>
            <w14:solidFill>
              <w14:schemeClr w14:val="tx1"/>
            </w14:solidFill>
          </w14:textFill>
        </w:rPr>
      </w:pPr>
      <w:r>
        <w:rPr>
          <w:i/>
          <w:color w:val="000000" w:themeColor="text1"/>
          <w:sz w:val="24"/>
          <w:szCs w:val="24"/>
          <w14:textFill>
            <w14:solidFill>
              <w14:schemeClr w14:val="tx1"/>
            </w14:solidFill>
          </w14:textFill>
        </w:rPr>
        <w:t>D</w:t>
      </w:r>
      <w:r>
        <w:rPr>
          <w:color w:val="000000" w:themeColor="text1"/>
          <w:sz w:val="24"/>
          <w:szCs w:val="24"/>
          <w14:textFill>
            <w14:solidFill>
              <w14:schemeClr w14:val="tx1"/>
            </w14:solidFill>
          </w14:textFill>
        </w:rPr>
        <w:t>—混凝土芯样试件破断面直径平均值（mm），应精确至0.5mm。</w:t>
      </w:r>
    </w:p>
    <w:bookmarkEnd w:id="89"/>
    <w:p>
      <w:pPr>
        <w:spacing w:line="360" w:lineRule="auto"/>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5.2.8  </w:t>
      </w:r>
      <w:r>
        <w:rPr>
          <w:color w:val="000000" w:themeColor="text1"/>
          <w:sz w:val="24"/>
          <w:szCs w:val="24"/>
          <w14:textFill>
            <w14:solidFill>
              <w14:schemeClr w14:val="tx1"/>
            </w14:solidFill>
          </w14:textFill>
        </w:rPr>
        <w:t>按检测批推定结合面混凝土正拉粘结强度时，应符合下列规定：</w:t>
      </w:r>
    </w:p>
    <w:p>
      <w:pPr>
        <w:adjustRightInd w:val="0"/>
        <w:snapToGrid w:val="0"/>
        <w:spacing w:line="360" w:lineRule="auto"/>
        <w:ind w:firstLine="481" w:firstLineChars="20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1  </w:t>
      </w:r>
      <w:r>
        <w:rPr>
          <w:rFonts w:hint="eastAsia"/>
          <w:color w:val="000000" w:themeColor="text1"/>
          <w:sz w:val="24"/>
          <w:szCs w:val="24"/>
          <w14:textFill>
            <w14:solidFill>
              <w14:schemeClr w14:val="tx1"/>
            </w14:solidFill>
          </w14:textFill>
        </w:rPr>
        <w:t>可将粗糙面特征相近、施工处理与浇筑工艺相同、混凝土设计强度相同、龄期相近、所处方向相同的结合面划分为同</w:t>
      </w:r>
      <w:r>
        <w:rPr>
          <w:rFonts w:hint="eastAsia"/>
          <w:b/>
          <w:bCs/>
          <w:color w:val="000000" w:themeColor="text1"/>
          <w:sz w:val="24"/>
          <w:szCs w:val="24"/>
          <w14:textFill>
            <w14:solidFill>
              <w14:schemeClr w14:val="tx1"/>
            </w14:solidFill>
          </w14:textFill>
        </w:rPr>
        <w:t>一</w:t>
      </w:r>
      <w:r>
        <w:rPr>
          <w:rFonts w:hint="eastAsia"/>
          <w:color w:val="000000" w:themeColor="text1"/>
          <w:sz w:val="24"/>
          <w:szCs w:val="24"/>
          <w14:textFill>
            <w14:solidFill>
              <w14:schemeClr w14:val="tx1"/>
            </w14:solidFill>
          </w14:textFill>
        </w:rPr>
        <w:t>检测批；</w:t>
      </w:r>
    </w:p>
    <w:p>
      <w:pPr>
        <w:adjustRightInd w:val="0"/>
        <w:snapToGrid w:val="0"/>
        <w:spacing w:line="360" w:lineRule="auto"/>
        <w:ind w:firstLine="481" w:firstLineChars="20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2  </w:t>
      </w:r>
      <w:r>
        <w:rPr>
          <w:rFonts w:hint="eastAsia"/>
          <w:color w:val="000000" w:themeColor="text1"/>
          <w:sz w:val="24"/>
          <w:szCs w:val="24"/>
          <w14:textFill>
            <w14:solidFill>
              <w14:schemeClr w14:val="tx1"/>
            </w14:solidFill>
          </w14:textFill>
        </w:rPr>
        <w:t>测点数量不宜少于</w:t>
      </w:r>
      <w:r>
        <w:rPr>
          <w:color w:val="000000" w:themeColor="text1"/>
          <w:sz w:val="24"/>
          <w:szCs w:val="24"/>
          <w14:textFill>
            <w14:solidFill>
              <w14:schemeClr w14:val="tx1"/>
            </w14:solidFill>
          </w14:textFill>
        </w:rPr>
        <w:t>15</w:t>
      </w:r>
      <w:r>
        <w:rPr>
          <w:rFonts w:hint="eastAsia"/>
          <w:color w:val="000000" w:themeColor="text1"/>
          <w:sz w:val="24"/>
          <w:szCs w:val="24"/>
          <w14:textFill>
            <w14:solidFill>
              <w14:schemeClr w14:val="tx1"/>
            </w14:solidFill>
          </w14:textFill>
        </w:rPr>
        <w:t>个，且不应少于</w:t>
      </w:r>
      <w:r>
        <w:rPr>
          <w:color w:val="000000" w:themeColor="text1"/>
          <w:sz w:val="24"/>
          <w:szCs w:val="24"/>
          <w14:textFill>
            <w14:solidFill>
              <w14:schemeClr w14:val="tx1"/>
            </w14:solidFill>
          </w14:textFill>
        </w:rPr>
        <w:t>10</w:t>
      </w:r>
      <w:r>
        <w:rPr>
          <w:rFonts w:hint="eastAsia"/>
          <w:color w:val="000000" w:themeColor="text1"/>
          <w:sz w:val="24"/>
          <w:szCs w:val="24"/>
          <w14:textFill>
            <w14:solidFill>
              <w14:schemeClr w14:val="tx1"/>
            </w14:solidFill>
          </w14:textFill>
        </w:rPr>
        <w:t>个；</w:t>
      </w:r>
    </w:p>
    <w:p>
      <w:pPr>
        <w:adjustRightInd w:val="0"/>
        <w:snapToGrid w:val="0"/>
        <w:spacing w:line="360" w:lineRule="auto"/>
        <w:ind w:firstLine="481" w:firstLineChars="200"/>
        <w:rPr>
          <w:b/>
          <w:bCs/>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3</w:t>
      </w:r>
      <w:r>
        <w:rPr>
          <w:color w:val="000000" w:themeColor="text1"/>
          <w:sz w:val="24"/>
          <w:szCs w:val="24"/>
          <w14:textFill>
            <w14:solidFill>
              <w14:schemeClr w14:val="tx1"/>
            </w14:solidFill>
          </w14:textFill>
        </w:rPr>
        <w:t xml:space="preserve">  当</w:t>
      </w:r>
      <w:r>
        <w:rPr>
          <w:sz w:val="24"/>
          <w:szCs w:val="24"/>
        </w:rPr>
        <w:t>试件破断面均位于非结合面处时，可判定结合面正拉粘结强度不低于后浇混凝土或预制</w:t>
      </w:r>
      <w:r>
        <w:rPr>
          <w:rFonts w:hint="eastAsia"/>
          <w:sz w:val="24"/>
          <w:szCs w:val="24"/>
        </w:rPr>
        <w:t>构件</w:t>
      </w:r>
      <w:r>
        <w:rPr>
          <w:sz w:val="24"/>
          <w:szCs w:val="24"/>
        </w:rPr>
        <w:t>混凝土的抗拉强度；</w:t>
      </w:r>
    </w:p>
    <w:p>
      <w:pPr>
        <w:adjustRightInd w:val="0"/>
        <w:snapToGrid w:val="0"/>
        <w:spacing w:line="360" w:lineRule="auto"/>
        <w:ind w:firstLine="481" w:firstLineChars="20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4  </w:t>
      </w:r>
      <w:r>
        <w:rPr>
          <w:bCs/>
          <w:color w:val="000000" w:themeColor="text1"/>
          <w:sz w:val="24"/>
          <w:szCs w:val="24"/>
          <w14:textFill>
            <w14:solidFill>
              <w14:schemeClr w14:val="tx1"/>
            </w14:solidFill>
          </w14:textFill>
        </w:rPr>
        <w:t>结合面混凝土正拉粘结强度的推定值宜取</w:t>
      </w:r>
      <w:r>
        <w:rPr>
          <w:color w:val="000000" w:themeColor="text1"/>
          <w:sz w:val="24"/>
          <w:szCs w:val="24"/>
          <w14:textFill>
            <w14:solidFill>
              <w14:schemeClr w14:val="tx1"/>
            </w14:solidFill>
          </w14:textFill>
        </w:rPr>
        <w:t>试件</w:t>
      </w:r>
      <w:r>
        <w:rPr>
          <w:bCs/>
          <w:color w:val="000000" w:themeColor="text1"/>
          <w:sz w:val="24"/>
          <w:szCs w:val="24"/>
          <w14:textFill>
            <w14:solidFill>
              <w14:schemeClr w14:val="tx1"/>
            </w14:solidFill>
          </w14:textFill>
        </w:rPr>
        <w:t>破断面位于结合面处各测点正拉粘结强度平均值。</w:t>
      </w:r>
    </w:p>
    <w:p>
      <w:pPr>
        <w:adjustRightInd w:val="0"/>
        <w:snapToGrid w:val="0"/>
        <w:spacing w:line="360" w:lineRule="auto"/>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5.2.9  </w:t>
      </w:r>
      <w:r>
        <w:rPr>
          <w:color w:val="000000" w:themeColor="text1"/>
          <w:sz w:val="24"/>
          <w:szCs w:val="24"/>
          <w14:textFill>
            <w14:solidFill>
              <w14:schemeClr w14:val="tx1"/>
            </w14:solidFill>
          </w14:textFill>
        </w:rPr>
        <w:t>在确定检测批结合面正拉粘结强度推定值时，可剔除样本中的异常值。剔除规则应符合现行国家标准《数据的统计处理和解释 正态样本离群值的判断和处理》GB/T 4883的有关规定。</w:t>
      </w:r>
    </w:p>
    <w:p>
      <w:pPr>
        <w:keepNext/>
        <w:keepLines/>
        <w:spacing w:before="120" w:beforeLines="50" w:after="120" w:afterLines="50" w:line="400" w:lineRule="exact"/>
        <w:jc w:val="center"/>
        <w:outlineLvl w:val="1"/>
        <w:rPr>
          <w:b/>
          <w:kern w:val="0"/>
          <w:sz w:val="24"/>
          <w:szCs w:val="24"/>
        </w:rPr>
      </w:pPr>
      <w:bookmarkStart w:id="90" w:name="_Toc120020288"/>
      <w:r>
        <w:rPr>
          <w:b/>
          <w:kern w:val="0"/>
          <w:sz w:val="24"/>
          <w:szCs w:val="24"/>
        </w:rPr>
        <w:t>5.3  混凝土内部结合面连接缺陷</w:t>
      </w:r>
      <w:bookmarkEnd w:id="90"/>
      <w:r>
        <w:rPr>
          <w:rFonts w:eastAsia="黑体"/>
          <w:b/>
          <w:kern w:val="0"/>
          <w:sz w:val="28"/>
        </w:rPr>
        <w:fldChar w:fldCharType="begin"/>
      </w:r>
      <w:r>
        <w:rPr>
          <w:rFonts w:eastAsia="黑体"/>
          <w:b/>
          <w:kern w:val="0"/>
          <w:sz w:val="28"/>
        </w:rPr>
        <w:instrText xml:space="preserve"> TC  "</w:instrText>
      </w:r>
      <w:bookmarkStart w:id="91" w:name="_Toc108470232"/>
      <w:bookmarkStart w:id="92" w:name="_Toc135038272"/>
      <w:r>
        <w:rPr>
          <w:rFonts w:eastAsia="黑体"/>
          <w:b/>
          <w:kern w:val="0"/>
          <w:sz w:val="28"/>
        </w:rPr>
        <w:instrText xml:space="preserve">5.3  Defects of joint surface in concrete</w:instrText>
      </w:r>
      <w:bookmarkEnd w:id="91"/>
      <w:bookmarkEnd w:id="92"/>
      <w:r>
        <w:rPr>
          <w:rFonts w:eastAsia="黑体"/>
          <w:b/>
          <w:kern w:val="0"/>
          <w:sz w:val="28"/>
        </w:rPr>
        <w:instrText xml:space="preserve">" \l 2 </w:instrText>
      </w:r>
      <w:r>
        <w:rPr>
          <w:rFonts w:eastAsia="黑体"/>
          <w:b/>
          <w:kern w:val="0"/>
          <w:sz w:val="28"/>
        </w:rPr>
        <w:fldChar w:fldCharType="end"/>
      </w:r>
    </w:p>
    <w:p>
      <w:pPr>
        <w:spacing w:line="360" w:lineRule="auto"/>
        <w:rPr>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5.3.1  </w:t>
      </w:r>
      <w:r>
        <w:rPr>
          <w:color w:val="000000" w:themeColor="text1"/>
          <w:sz w:val="24"/>
          <w:szCs w:val="24"/>
          <w14:textFill>
            <w14:solidFill>
              <w14:schemeClr w14:val="tx1"/>
            </w14:solidFill>
          </w14:textFill>
        </w:rPr>
        <w:t>根据现场检测条件和内部钢筋配置情况，混凝土内部结合面连接缺陷</w:t>
      </w:r>
      <w:r>
        <w:rPr>
          <w:bCs/>
          <w:color w:val="000000" w:themeColor="text1"/>
          <w:sz w:val="24"/>
          <w:szCs w:val="24"/>
          <w14:textFill>
            <w14:solidFill>
              <w14:schemeClr w14:val="tx1"/>
            </w14:solidFill>
          </w14:textFill>
        </w:rPr>
        <w:t>检测方法的选择应符合下列规定：</w:t>
      </w:r>
    </w:p>
    <w:p>
      <w:pPr>
        <w:spacing w:line="360" w:lineRule="auto"/>
        <w:ind w:firstLine="481" w:firstLineChars="200"/>
        <w:rPr>
          <w:b/>
          <w:bCs/>
          <w:sz w:val="24"/>
          <w:szCs w:val="24"/>
        </w:rPr>
      </w:pPr>
      <w:r>
        <w:rPr>
          <w:b/>
          <w:bCs/>
          <w:sz w:val="24"/>
          <w:szCs w:val="24"/>
        </w:rPr>
        <w:t xml:space="preserve">1  </w:t>
      </w:r>
      <w:r>
        <w:rPr>
          <w:bCs/>
          <w:sz w:val="24"/>
          <w:szCs w:val="24"/>
        </w:rPr>
        <w:t>当具有两个相互平行的测试面时，可采用</w:t>
      </w:r>
      <w:r>
        <w:rPr>
          <w:bCs/>
          <w:color w:val="000000" w:themeColor="text1"/>
          <w:sz w:val="24"/>
          <w:szCs w:val="24"/>
          <w14:textFill>
            <w14:solidFill>
              <w14:schemeClr w14:val="tx1"/>
            </w14:solidFill>
          </w14:textFill>
        </w:rPr>
        <w:t>阵列超声法、</w:t>
      </w:r>
      <w:r>
        <w:rPr>
          <w:bCs/>
          <w:sz w:val="24"/>
          <w:szCs w:val="24"/>
        </w:rPr>
        <w:t>超声对测</w:t>
      </w:r>
      <w:r>
        <w:rPr>
          <w:bCs/>
          <w:color w:val="000000" w:themeColor="text1"/>
          <w:sz w:val="24"/>
          <w:szCs w:val="24"/>
          <w14:textFill>
            <w14:solidFill>
              <w14:schemeClr w14:val="tx1"/>
            </w14:solidFill>
          </w14:textFill>
        </w:rPr>
        <w:t>法、</w:t>
      </w:r>
      <w:r>
        <w:rPr>
          <w:bCs/>
          <w:sz w:val="24"/>
          <w:szCs w:val="24"/>
        </w:rPr>
        <w:t>冲击回波法或雷达法进行检测；</w:t>
      </w:r>
    </w:p>
    <w:p>
      <w:pPr>
        <w:spacing w:line="360" w:lineRule="auto"/>
        <w:ind w:firstLine="481" w:firstLineChars="200"/>
        <w:rPr>
          <w:bCs/>
          <w:sz w:val="24"/>
          <w:szCs w:val="24"/>
        </w:rPr>
      </w:pPr>
      <w:r>
        <w:rPr>
          <w:b/>
          <w:bCs/>
          <w:sz w:val="24"/>
          <w:szCs w:val="24"/>
        </w:rPr>
        <w:t xml:space="preserve">2  </w:t>
      </w:r>
      <w:r>
        <w:rPr>
          <w:bCs/>
          <w:sz w:val="24"/>
          <w:szCs w:val="24"/>
        </w:rPr>
        <w:t>当仅具有一个可测面时，可采用阵列超声法、冲击回波法或雷达法进行单面检测；</w:t>
      </w:r>
    </w:p>
    <w:p>
      <w:pPr>
        <w:spacing w:line="360" w:lineRule="auto"/>
        <w:ind w:firstLine="481" w:firstLineChars="200"/>
        <w:rPr>
          <w:bCs/>
          <w:color w:val="000000" w:themeColor="text1"/>
          <w:sz w:val="24"/>
          <w:szCs w:val="24"/>
          <w14:textFill>
            <w14:solidFill>
              <w14:schemeClr w14:val="tx1"/>
            </w14:solidFill>
          </w14:textFill>
        </w:rPr>
      </w:pPr>
      <w:r>
        <w:rPr>
          <w:b/>
          <w:bCs/>
          <w:sz w:val="24"/>
          <w:szCs w:val="24"/>
        </w:rPr>
        <w:t>3</w:t>
      </w:r>
      <w:r>
        <w:rPr>
          <w:bCs/>
          <w:sz w:val="24"/>
          <w:szCs w:val="24"/>
        </w:rPr>
        <w:t xml:space="preserve">  当结构内部钢筋分布</w:t>
      </w:r>
      <w:r>
        <w:rPr>
          <w:bCs/>
          <w:color w:val="000000" w:themeColor="text1"/>
          <w:sz w:val="24"/>
          <w:szCs w:val="24"/>
          <w14:textFill>
            <w14:solidFill>
              <w14:schemeClr w14:val="tx1"/>
            </w14:solidFill>
          </w14:textFill>
        </w:rPr>
        <w:t>较密或存在电磁环境干扰时，可采用超声对测法、阵列超声法或冲击回波法进行检测；</w:t>
      </w:r>
    </w:p>
    <w:p>
      <w:pPr>
        <w:spacing w:line="360" w:lineRule="auto"/>
        <w:ind w:firstLine="481" w:firstLineChars="200"/>
        <w:rPr>
          <w:bCs/>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4</w:t>
      </w:r>
      <w:r>
        <w:rPr>
          <w:bCs/>
          <w:color w:val="000000" w:themeColor="text1"/>
          <w:sz w:val="24"/>
          <w:szCs w:val="24"/>
          <w14:textFill>
            <w14:solidFill>
              <w14:schemeClr w14:val="tx1"/>
            </w14:solidFill>
          </w14:textFill>
        </w:rPr>
        <w:t xml:space="preserve">  对于有夹心保温、外保温或外饰面的部位，不应采用超声对测法；</w:t>
      </w:r>
    </w:p>
    <w:p>
      <w:pPr>
        <w:spacing w:line="360" w:lineRule="auto"/>
        <w:ind w:firstLine="481" w:firstLineChars="200"/>
        <w:rPr>
          <w:bCs/>
          <w:sz w:val="24"/>
          <w:szCs w:val="24"/>
        </w:rPr>
      </w:pPr>
      <w:r>
        <w:rPr>
          <w:b/>
          <w:bCs/>
          <w:sz w:val="24"/>
          <w:szCs w:val="24"/>
        </w:rPr>
        <w:t xml:space="preserve">5  </w:t>
      </w:r>
      <w:r>
        <w:rPr>
          <w:bCs/>
          <w:sz w:val="24"/>
          <w:szCs w:val="24"/>
        </w:rPr>
        <w:t>对于重要的工程或部位，宜采用两种或两种以上的检测方法，当检测结果存在争议时，可采用破损方法进行验证。</w:t>
      </w:r>
    </w:p>
    <w:p>
      <w:pPr>
        <w:spacing w:line="360" w:lineRule="auto"/>
        <w:rPr>
          <w:bCs/>
          <w:color w:val="FF0000"/>
          <w:sz w:val="24"/>
          <w:szCs w:val="24"/>
        </w:rPr>
      </w:pPr>
      <w:r>
        <w:rPr>
          <w:b/>
          <w:bCs/>
          <w:color w:val="000000" w:themeColor="text1"/>
          <w:sz w:val="24"/>
          <w:szCs w:val="24"/>
          <w14:textFill>
            <w14:solidFill>
              <w14:schemeClr w14:val="tx1"/>
            </w14:solidFill>
          </w14:textFill>
        </w:rPr>
        <w:t xml:space="preserve">5.3.2  </w:t>
      </w:r>
      <w:r>
        <w:rPr>
          <w:bCs/>
          <w:sz w:val="24"/>
          <w:szCs w:val="24"/>
        </w:rPr>
        <w:t>采用阵列超声法对混凝土内部结合面缺陷进行检测时，可按本标准附录C的有关规定执行。</w:t>
      </w:r>
    </w:p>
    <w:p>
      <w:pPr>
        <w:spacing w:line="360" w:lineRule="auto"/>
        <w:rPr>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5.3.3  </w:t>
      </w:r>
      <w:r>
        <w:rPr>
          <w:bCs/>
          <w:color w:val="000000" w:themeColor="text1"/>
          <w:sz w:val="24"/>
          <w:szCs w:val="24"/>
          <w14:textFill>
            <w14:solidFill>
              <w14:schemeClr w14:val="tx1"/>
            </w14:solidFill>
          </w14:textFill>
        </w:rPr>
        <w:t>当采用冲击回波法对混凝土内部结合面缺陷进行检测时，应符合现行行业标准《冲击回波法检测混凝土缺陷技术规程》JGJ/T 411的有关规定。</w:t>
      </w:r>
    </w:p>
    <w:p>
      <w:pPr>
        <w:spacing w:line="360" w:lineRule="auto"/>
        <w:rPr>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5.3.4  </w:t>
      </w:r>
      <w:r>
        <w:rPr>
          <w:bCs/>
          <w:color w:val="000000" w:themeColor="text1"/>
          <w:sz w:val="24"/>
          <w:szCs w:val="24"/>
          <w14:textFill>
            <w14:solidFill>
              <w14:schemeClr w14:val="tx1"/>
            </w14:solidFill>
          </w14:textFill>
        </w:rPr>
        <w:t>当采用雷达法对混凝土内部结合面缺陷进行检测时，应符合现行行业标准《雷达法检测混凝土结构技术标准》JGJ/T 456的有关规定。</w:t>
      </w:r>
    </w:p>
    <w:p>
      <w:pPr>
        <w:spacing w:line="360" w:lineRule="auto"/>
        <w:rPr>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5.3.5  </w:t>
      </w:r>
      <w:r>
        <w:rPr>
          <w:bCs/>
          <w:color w:val="000000" w:themeColor="text1"/>
          <w:sz w:val="24"/>
          <w14:textFill>
            <w14:solidFill>
              <w14:schemeClr w14:val="tx1"/>
            </w14:solidFill>
          </w14:textFill>
        </w:rPr>
        <w:t>当采用超声法对混凝土内部结合面缺陷进行检测时，应符合现行国家标准《混凝土结构现场检测技术标准》GB/T 50784的有关规定。</w:t>
      </w:r>
    </w:p>
    <w:p>
      <w:pPr>
        <w:keepNext/>
        <w:keepLines/>
        <w:spacing w:before="120" w:beforeLines="50" w:after="120" w:afterLines="50" w:line="400" w:lineRule="exact"/>
        <w:jc w:val="center"/>
        <w:outlineLvl w:val="1"/>
        <w:rPr>
          <w:b/>
          <w:kern w:val="0"/>
          <w:sz w:val="24"/>
          <w:szCs w:val="24"/>
        </w:rPr>
      </w:pPr>
      <w:bookmarkStart w:id="93" w:name="_Toc120020289"/>
      <w:r>
        <w:rPr>
          <w:b/>
          <w:kern w:val="0"/>
          <w:sz w:val="24"/>
          <w:szCs w:val="24"/>
        </w:rPr>
        <w:t>5.4  竖向构件底部接缝内部缺陷</w:t>
      </w:r>
      <w:bookmarkEnd w:id="93"/>
      <w:r>
        <w:rPr>
          <w:rFonts w:eastAsia="黑体"/>
          <w:b/>
          <w:kern w:val="0"/>
          <w:sz w:val="28"/>
        </w:rPr>
        <w:fldChar w:fldCharType="begin"/>
      </w:r>
      <w:r>
        <w:rPr>
          <w:rFonts w:eastAsia="黑体"/>
          <w:b/>
          <w:kern w:val="0"/>
          <w:sz w:val="28"/>
        </w:rPr>
        <w:instrText xml:space="preserve"> TC  "</w:instrText>
      </w:r>
      <w:bookmarkStart w:id="94" w:name="_Toc135038273"/>
      <w:bookmarkStart w:id="95" w:name="_Toc108470233"/>
      <w:r>
        <w:rPr>
          <w:rFonts w:eastAsia="黑体"/>
          <w:b/>
          <w:kern w:val="0"/>
          <w:sz w:val="28"/>
        </w:rPr>
        <w:instrText xml:space="preserve">5.4  Internal defects of vertical component bottom seams</w:instrText>
      </w:r>
      <w:bookmarkEnd w:id="94"/>
      <w:bookmarkEnd w:id="95"/>
      <w:r>
        <w:rPr>
          <w:rFonts w:eastAsia="黑体"/>
          <w:b/>
          <w:kern w:val="0"/>
          <w:sz w:val="28"/>
        </w:rPr>
        <w:instrText xml:space="preserve">" \l 2 </w:instrText>
      </w:r>
      <w:r>
        <w:rPr>
          <w:rFonts w:eastAsia="黑体"/>
          <w:b/>
          <w:kern w:val="0"/>
          <w:sz w:val="28"/>
        </w:rPr>
        <w:fldChar w:fldCharType="end"/>
      </w:r>
    </w:p>
    <w:p>
      <w:pPr>
        <w:spacing w:line="360" w:lineRule="auto"/>
        <w:rPr>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5.4.1  </w:t>
      </w:r>
      <w:r>
        <w:rPr>
          <w:color w:val="000000" w:themeColor="text1"/>
          <w:sz w:val="24"/>
          <w:szCs w:val="24"/>
          <w14:textFill>
            <w14:solidFill>
              <w14:schemeClr w14:val="tx1"/>
            </w14:solidFill>
          </w14:textFill>
        </w:rPr>
        <w:t>当钢筋套筒灌浆连接的灌浆严重不饱满时，宜对竖向构件底部接缝内部缺陷进行检测。</w:t>
      </w:r>
    </w:p>
    <w:p>
      <w:pPr>
        <w:spacing w:line="360" w:lineRule="auto"/>
        <w:jc w:val="left"/>
        <w:rPr>
          <w:bCs/>
          <w:sz w:val="24"/>
          <w:szCs w:val="24"/>
        </w:rPr>
      </w:pPr>
      <w:r>
        <w:rPr>
          <w:b/>
          <w:bCs/>
          <w:sz w:val="24"/>
          <w:szCs w:val="24"/>
        </w:rPr>
        <w:t xml:space="preserve">5.4.2  </w:t>
      </w:r>
      <w:r>
        <w:rPr>
          <w:sz w:val="24"/>
          <w:szCs w:val="24"/>
        </w:rPr>
        <w:t>竖向构件底部接缝内部缺陷可采用超声法检测，宜采用微破损方法进行验证</w:t>
      </w:r>
      <w:r>
        <w:rPr>
          <w:bCs/>
          <w:sz w:val="24"/>
          <w:szCs w:val="24"/>
        </w:rPr>
        <w:t>。</w:t>
      </w:r>
    </w:p>
    <w:p>
      <w:pPr>
        <w:spacing w:line="360" w:lineRule="auto"/>
        <w:jc w:val="left"/>
        <w:rPr>
          <w:bCs/>
          <w:sz w:val="24"/>
          <w:szCs w:val="24"/>
        </w:rPr>
      </w:pPr>
      <w:r>
        <w:rPr>
          <w:b/>
          <w:bCs/>
          <w:sz w:val="24"/>
          <w:szCs w:val="24"/>
        </w:rPr>
        <w:t xml:space="preserve">5.4.3  </w:t>
      </w:r>
      <w:r>
        <w:rPr>
          <w:sz w:val="24"/>
          <w:szCs w:val="24"/>
        </w:rPr>
        <w:t>当采用超声法对竖向构件底部接缝内部缺陷进行检测时，应符合下列规定</w:t>
      </w:r>
      <w:r>
        <w:rPr>
          <w:bCs/>
          <w:sz w:val="24"/>
          <w:szCs w:val="24"/>
        </w:rPr>
        <w:t>：</w:t>
      </w:r>
    </w:p>
    <w:p>
      <w:pPr>
        <w:spacing w:line="360" w:lineRule="auto"/>
        <w:ind w:firstLine="481" w:firstLineChars="200"/>
        <w:rPr>
          <w:bCs/>
          <w:sz w:val="24"/>
          <w:szCs w:val="24"/>
        </w:rPr>
      </w:pPr>
      <w:r>
        <w:rPr>
          <w:b/>
          <w:bCs/>
          <w:sz w:val="24"/>
          <w:szCs w:val="24"/>
        </w:rPr>
        <w:t xml:space="preserve">1  </w:t>
      </w:r>
      <w:r>
        <w:rPr>
          <w:sz w:val="24"/>
          <w:szCs w:val="24"/>
        </w:rPr>
        <w:t>宜采用超声对测法，所用换能器的辐射端直径不应大于20mm，工作频率宜为250kHz～750kHz</w:t>
      </w:r>
      <w:r>
        <w:rPr>
          <w:bCs/>
          <w:sz w:val="24"/>
          <w:szCs w:val="24"/>
        </w:rPr>
        <w:t>；</w:t>
      </w:r>
    </w:p>
    <w:p>
      <w:pPr>
        <w:spacing w:line="360" w:lineRule="auto"/>
        <w:ind w:firstLine="481" w:firstLineChars="200"/>
        <w:rPr>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2  </w:t>
      </w:r>
      <w:r>
        <w:rPr>
          <w:color w:val="000000" w:themeColor="text1"/>
          <w:sz w:val="24"/>
          <w:szCs w:val="24"/>
          <w14:textFill>
            <w14:solidFill>
              <w14:schemeClr w14:val="tx1"/>
            </w14:solidFill>
          </w14:textFill>
        </w:rPr>
        <w:t>检测时座浆料或灌浆料的龄期不宜小于7d，并应避开机电管线穿过的区域</w:t>
      </w:r>
      <w:r>
        <w:rPr>
          <w:bCs/>
          <w:color w:val="000000" w:themeColor="text1"/>
          <w:sz w:val="24"/>
          <w:szCs w:val="24"/>
          <w14:textFill>
            <w14:solidFill>
              <w14:schemeClr w14:val="tx1"/>
            </w14:solidFill>
          </w14:textFill>
        </w:rPr>
        <w:t>；</w:t>
      </w:r>
    </w:p>
    <w:p>
      <w:pPr>
        <w:spacing w:line="360" w:lineRule="auto"/>
        <w:ind w:firstLine="481" w:firstLineChars="200"/>
        <w:rPr>
          <w:bCs/>
          <w:sz w:val="24"/>
          <w:szCs w:val="24"/>
        </w:rPr>
      </w:pPr>
      <w:r>
        <w:rPr>
          <w:b/>
          <w:bCs/>
          <w:sz w:val="24"/>
          <w:szCs w:val="24"/>
        </w:rPr>
        <w:t xml:space="preserve">3  </w:t>
      </w:r>
      <w:r>
        <w:rPr>
          <w:sz w:val="24"/>
          <w:szCs w:val="24"/>
        </w:rPr>
        <w:t>初次检测时的测点间距宜为100mm，经初次检测怀疑存在缺陷的点位，可在附近加密测点，必要时可采用局部破损的方式进行验证</w:t>
      </w:r>
      <w:r>
        <w:rPr>
          <w:bCs/>
          <w:sz w:val="24"/>
          <w:szCs w:val="24"/>
        </w:rPr>
        <w:t>；</w:t>
      </w:r>
    </w:p>
    <w:p>
      <w:pPr>
        <w:spacing w:line="360" w:lineRule="auto"/>
        <w:ind w:firstLine="481" w:firstLineChars="200"/>
        <w:rPr>
          <w:bCs/>
          <w:sz w:val="24"/>
          <w:szCs w:val="24"/>
        </w:rPr>
      </w:pPr>
      <w:r>
        <w:rPr>
          <w:b/>
          <w:bCs/>
          <w:sz w:val="24"/>
          <w:szCs w:val="24"/>
        </w:rPr>
        <w:t xml:space="preserve">4  </w:t>
      </w:r>
      <w:r>
        <w:rPr>
          <w:sz w:val="24"/>
          <w:szCs w:val="24"/>
        </w:rPr>
        <w:t>当接缝具有两对相互平行的测试面时，宜在两个方向分别进行检测</w:t>
      </w:r>
      <w:r>
        <w:rPr>
          <w:bCs/>
          <w:sz w:val="24"/>
          <w:szCs w:val="24"/>
        </w:rPr>
        <w:t>；</w:t>
      </w:r>
    </w:p>
    <w:p>
      <w:pPr>
        <w:spacing w:line="360" w:lineRule="auto"/>
        <w:ind w:firstLine="481" w:firstLineChars="200"/>
        <w:rPr>
          <w:bCs/>
          <w:sz w:val="24"/>
          <w:szCs w:val="24"/>
        </w:rPr>
      </w:pPr>
      <w:r>
        <w:rPr>
          <w:b/>
          <w:bCs/>
          <w:sz w:val="24"/>
          <w:szCs w:val="24"/>
        </w:rPr>
        <w:t xml:space="preserve">5  </w:t>
      </w:r>
      <w:r>
        <w:rPr>
          <w:sz w:val="24"/>
          <w:szCs w:val="24"/>
        </w:rPr>
        <w:t>当底部接缝为圆形时，测点可经圆心处作径向对测布置</w:t>
      </w:r>
      <w:r>
        <w:rPr>
          <w:bCs/>
          <w:sz w:val="24"/>
          <w:szCs w:val="24"/>
        </w:rPr>
        <w:t>。</w:t>
      </w:r>
    </w:p>
    <w:p>
      <w:pPr>
        <w:spacing w:line="360" w:lineRule="auto"/>
        <w:jc w:val="left"/>
        <w:rPr>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5.4.4 </w:t>
      </w:r>
      <w:r>
        <w:rPr>
          <w:bCs/>
          <w:color w:val="000000" w:themeColor="text1"/>
          <w:sz w:val="24"/>
          <w:szCs w:val="24"/>
          <w14:textFill>
            <w14:solidFill>
              <w14:schemeClr w14:val="tx1"/>
            </w14:solidFill>
          </w14:textFill>
        </w:rPr>
        <w:t xml:space="preserve"> </w:t>
      </w:r>
      <w:r>
        <w:rPr>
          <w:bCs/>
          <w:color w:val="000000" w:themeColor="text1"/>
          <w:sz w:val="24"/>
          <w14:textFill>
            <w14:solidFill>
              <w14:schemeClr w14:val="tx1"/>
            </w14:solidFill>
          </w14:textFill>
        </w:rPr>
        <w:t>缺陷评定应符合现行国家标准《混凝土结构现场检测技术标准》GB/T 50784的有关规定。</w:t>
      </w:r>
    </w:p>
    <w:p>
      <w:pPr>
        <w:keepNext/>
        <w:keepLines/>
        <w:spacing w:before="240" w:beforeLines="100" w:after="120" w:afterLines="50" w:line="400" w:lineRule="exact"/>
        <w:jc w:val="center"/>
        <w:outlineLvl w:val="0"/>
        <w:rPr>
          <w:b/>
          <w:kern w:val="44"/>
          <w:sz w:val="28"/>
          <w:szCs w:val="28"/>
        </w:rPr>
      </w:pPr>
      <w:r>
        <w:rPr>
          <w:bCs/>
          <w:sz w:val="22"/>
        </w:rPr>
        <w:br w:type="page"/>
      </w:r>
      <w:bookmarkStart w:id="96" w:name="_Toc120020290"/>
      <w:r>
        <w:rPr>
          <w:b/>
          <w:kern w:val="44"/>
          <w:sz w:val="28"/>
          <w:szCs w:val="28"/>
        </w:rPr>
        <w:t>6  钢筋套筒灌浆连接</w:t>
      </w:r>
      <w:bookmarkEnd w:id="96"/>
      <w:r>
        <w:rPr>
          <w:b/>
          <w:kern w:val="44"/>
          <w:sz w:val="30"/>
          <w:szCs w:val="30"/>
        </w:rPr>
        <w:fldChar w:fldCharType="begin"/>
      </w:r>
      <w:r>
        <w:rPr>
          <w:b/>
          <w:kern w:val="44"/>
          <w:sz w:val="30"/>
          <w:szCs w:val="30"/>
        </w:rPr>
        <w:instrText xml:space="preserve"> TC  "</w:instrText>
      </w:r>
      <w:bookmarkStart w:id="97" w:name="_Toc108470234"/>
      <w:bookmarkStart w:id="98" w:name="_Toc135038274"/>
      <w:r>
        <w:rPr>
          <w:b/>
          <w:kern w:val="44"/>
          <w:sz w:val="30"/>
          <w:szCs w:val="30"/>
        </w:rPr>
        <w:instrText xml:space="preserve">6  Grout sleeve splicing of rebars</w:instrText>
      </w:r>
      <w:bookmarkEnd w:id="97"/>
      <w:bookmarkEnd w:id="98"/>
      <w:r>
        <w:rPr>
          <w:b/>
          <w:kern w:val="44"/>
          <w:sz w:val="30"/>
          <w:szCs w:val="30"/>
        </w:rPr>
        <w:instrText xml:space="preserve">" \l 1 </w:instrText>
      </w:r>
      <w:r>
        <w:rPr>
          <w:b/>
          <w:kern w:val="44"/>
          <w:sz w:val="30"/>
          <w:szCs w:val="30"/>
        </w:rPr>
        <w:fldChar w:fldCharType="end"/>
      </w:r>
    </w:p>
    <w:p>
      <w:pPr>
        <w:keepNext/>
        <w:keepLines/>
        <w:spacing w:before="120" w:beforeLines="50" w:after="120" w:afterLines="50" w:line="400" w:lineRule="exact"/>
        <w:jc w:val="center"/>
        <w:outlineLvl w:val="1"/>
        <w:rPr>
          <w:b/>
          <w:kern w:val="0"/>
          <w:sz w:val="24"/>
          <w:szCs w:val="24"/>
        </w:rPr>
      </w:pPr>
      <w:bookmarkStart w:id="99" w:name="_Toc120020291"/>
      <w:r>
        <w:rPr>
          <w:b/>
          <w:kern w:val="0"/>
          <w:sz w:val="24"/>
          <w:szCs w:val="24"/>
        </w:rPr>
        <w:t>6.1  一般规定</w:t>
      </w:r>
      <w:bookmarkEnd w:id="99"/>
      <w:r>
        <w:rPr>
          <w:rFonts w:eastAsia="黑体"/>
          <w:b/>
          <w:kern w:val="0"/>
          <w:sz w:val="28"/>
        </w:rPr>
        <w:fldChar w:fldCharType="begin"/>
      </w:r>
      <w:r>
        <w:rPr>
          <w:rFonts w:eastAsia="黑体"/>
          <w:b/>
          <w:kern w:val="0"/>
          <w:sz w:val="28"/>
        </w:rPr>
        <w:instrText xml:space="preserve"> TC  "</w:instrText>
      </w:r>
      <w:bookmarkStart w:id="100" w:name="_Toc135038275"/>
      <w:bookmarkStart w:id="101" w:name="_Toc108470235"/>
      <w:r>
        <w:rPr>
          <w:rFonts w:eastAsia="黑体"/>
          <w:b/>
          <w:kern w:val="0"/>
          <w:sz w:val="28"/>
        </w:rPr>
        <w:instrText xml:space="preserve">6.1  General requirements</w:instrText>
      </w:r>
      <w:bookmarkEnd w:id="100"/>
      <w:bookmarkEnd w:id="101"/>
      <w:r>
        <w:rPr>
          <w:rFonts w:eastAsia="黑体"/>
          <w:b/>
          <w:kern w:val="0"/>
          <w:sz w:val="28"/>
        </w:rPr>
        <w:instrText xml:space="preserve">" \l 2 </w:instrText>
      </w:r>
      <w:r>
        <w:rPr>
          <w:rFonts w:eastAsia="黑体"/>
          <w:b/>
          <w:kern w:val="0"/>
          <w:sz w:val="28"/>
        </w:rPr>
        <w:fldChar w:fldCharType="end"/>
      </w:r>
    </w:p>
    <w:p>
      <w:pPr>
        <w:spacing w:line="360" w:lineRule="auto"/>
        <w:rPr>
          <w:bCs/>
          <w:color w:val="000000" w:themeColor="text1"/>
          <w:sz w:val="24"/>
          <w:szCs w:val="24"/>
          <w14:textFill>
            <w14:solidFill>
              <w14:schemeClr w14:val="tx1"/>
            </w14:solidFill>
          </w14:textFill>
        </w:rPr>
      </w:pPr>
      <w:r>
        <w:rPr>
          <w:b/>
          <w:bCs/>
          <w:sz w:val="24"/>
          <w:szCs w:val="24"/>
        </w:rPr>
        <w:t xml:space="preserve">6.1.1  </w:t>
      </w:r>
      <w:r>
        <w:rPr>
          <w:sz w:val="24"/>
          <w:szCs w:val="24"/>
        </w:rPr>
        <w:t>钢筋套筒灌浆连接的</w:t>
      </w:r>
      <w:r>
        <w:rPr>
          <w:color w:val="000000" w:themeColor="text1"/>
          <w:sz w:val="24"/>
          <w:szCs w:val="24"/>
          <w14:textFill>
            <w14:solidFill>
              <w14:schemeClr w14:val="tx1"/>
            </w14:solidFill>
          </w14:textFill>
        </w:rPr>
        <w:t>检测项目宜包括灌浆料实体强度、灌浆饱满度和钢筋插入长度</w:t>
      </w:r>
      <w:r>
        <w:rPr>
          <w:bCs/>
          <w:color w:val="000000" w:themeColor="text1"/>
          <w:sz w:val="24"/>
          <w:szCs w:val="24"/>
          <w14:textFill>
            <w14:solidFill>
              <w14:schemeClr w14:val="tx1"/>
            </w14:solidFill>
          </w14:textFill>
        </w:rPr>
        <w:t>。</w:t>
      </w:r>
    </w:p>
    <w:p>
      <w:pPr>
        <w:spacing w:line="360" w:lineRule="auto"/>
        <w:rPr>
          <w:iCs/>
          <w:color w:val="000000" w:themeColor="text1"/>
          <w:sz w:val="24"/>
          <w:szCs w:val="24"/>
          <w14:textFill>
            <w14:solidFill>
              <w14:schemeClr w14:val="tx1"/>
            </w14:solidFill>
          </w14:textFill>
        </w:rPr>
      </w:pPr>
      <w:r>
        <w:rPr>
          <w:b/>
          <w:iCs/>
          <w:color w:val="000000" w:themeColor="text1"/>
          <w:sz w:val="24"/>
          <w:szCs w:val="24"/>
          <w14:textFill>
            <w14:solidFill>
              <w14:schemeClr w14:val="tx1"/>
            </w14:solidFill>
          </w14:textFill>
        </w:rPr>
        <w:t xml:space="preserve">6.1.2  </w:t>
      </w:r>
      <w:r>
        <w:rPr>
          <w:iCs/>
          <w:color w:val="000000" w:themeColor="text1"/>
          <w:sz w:val="24"/>
          <w:szCs w:val="24"/>
          <w14:textFill>
            <w14:solidFill>
              <w14:schemeClr w14:val="tx1"/>
            </w14:solidFill>
          </w14:textFill>
        </w:rPr>
        <w:t>检测批的划分应符合下列规定：</w:t>
      </w:r>
    </w:p>
    <w:p>
      <w:pPr>
        <w:spacing w:line="360" w:lineRule="auto"/>
        <w:ind w:firstLine="481" w:firstLineChars="200"/>
        <w:rPr>
          <w:color w:val="000000" w:themeColor="text1"/>
          <w:sz w:val="24"/>
          <w:szCs w:val="24"/>
          <w14:textFill>
            <w14:solidFill>
              <w14:schemeClr w14:val="tx1"/>
            </w14:solidFill>
          </w14:textFill>
        </w:rPr>
      </w:pPr>
      <w:r>
        <w:rPr>
          <w:b/>
          <w:color w:val="000000" w:themeColor="text1"/>
          <w:sz w:val="24"/>
          <w:szCs w:val="24"/>
          <w:shd w:val="clear" w:color="auto" w:fill="FFFFFF"/>
          <w14:textFill>
            <w14:solidFill>
              <w14:schemeClr w14:val="tx1"/>
            </w14:solidFill>
          </w14:textFill>
        </w:rPr>
        <w:t xml:space="preserve">1  </w:t>
      </w:r>
      <w:r>
        <w:rPr>
          <w:color w:val="000000" w:themeColor="text1"/>
          <w:sz w:val="24"/>
          <w:szCs w:val="24"/>
          <w14:textFill>
            <w14:solidFill>
              <w14:schemeClr w14:val="tx1"/>
            </w14:solidFill>
          </w14:textFill>
        </w:rPr>
        <w:t>当对灌浆料实体强度进行检测时，同一批灌浆料、相同掺水量、相同灌浆工艺、养护条件一致</w:t>
      </w:r>
      <w:r>
        <w:rPr>
          <w:rFonts w:hint="eastAsia"/>
          <w:color w:val="000000" w:themeColor="text1"/>
          <w:sz w:val="24"/>
          <w:szCs w:val="24"/>
          <w14:textFill>
            <w14:solidFill>
              <w14:schemeClr w14:val="tx1"/>
            </w14:solidFill>
          </w14:textFill>
        </w:rPr>
        <w:t>且</w:t>
      </w:r>
      <w:r>
        <w:rPr>
          <w:color w:val="000000" w:themeColor="text1"/>
          <w:sz w:val="24"/>
          <w:szCs w:val="24"/>
          <w14:textFill>
            <w14:solidFill>
              <w14:schemeClr w14:val="tx1"/>
            </w14:solidFill>
          </w14:textFill>
        </w:rPr>
        <w:t>龄期相近的构件可划分为同一检测批；</w:t>
      </w:r>
    </w:p>
    <w:p>
      <w:pPr>
        <w:spacing w:line="360" w:lineRule="auto"/>
        <w:ind w:firstLine="481" w:firstLineChars="200"/>
        <w:rPr>
          <w:bCs/>
          <w:color w:val="000000" w:themeColor="text1"/>
          <w:sz w:val="24"/>
          <w:szCs w:val="24"/>
          <w:shd w:val="clear" w:color="auto" w:fill="FFFFFF"/>
          <w14:textFill>
            <w14:solidFill>
              <w14:schemeClr w14:val="tx1"/>
            </w14:solidFill>
          </w14:textFill>
        </w:rPr>
      </w:pPr>
      <w:r>
        <w:rPr>
          <w:b/>
          <w:bCs/>
          <w:color w:val="000000" w:themeColor="text1"/>
          <w:sz w:val="24"/>
          <w:szCs w:val="24"/>
          <w:shd w:val="clear" w:color="auto" w:fill="FFFFFF"/>
          <w14:textFill>
            <w14:solidFill>
              <w14:schemeClr w14:val="tx1"/>
            </w14:solidFill>
          </w14:textFill>
        </w:rPr>
        <w:t xml:space="preserve">2 </w:t>
      </w:r>
      <w:r>
        <w:rPr>
          <w:bCs/>
          <w:color w:val="000000" w:themeColor="text1"/>
          <w:sz w:val="24"/>
          <w:szCs w:val="24"/>
          <w:shd w:val="clear" w:color="auto" w:fill="FFFFFF"/>
          <w14:textFill>
            <w14:solidFill>
              <w14:schemeClr w14:val="tx1"/>
            </w14:solidFill>
          </w14:textFill>
        </w:rPr>
        <w:t xml:space="preserve"> </w:t>
      </w:r>
      <w:r>
        <w:rPr>
          <w:color w:val="000000" w:themeColor="text1"/>
          <w:sz w:val="24"/>
          <w:szCs w:val="24"/>
          <w14:textFill>
            <w14:solidFill>
              <w14:schemeClr w14:val="tx1"/>
            </w14:solidFill>
          </w14:textFill>
        </w:rPr>
        <w:t>当对灌浆饱满度进行检测时，</w:t>
      </w:r>
      <w:r>
        <w:rPr>
          <w:bCs/>
          <w:color w:val="000000" w:themeColor="text1"/>
          <w:sz w:val="24"/>
          <w:szCs w:val="24"/>
          <w:shd w:val="clear" w:color="auto" w:fill="FFFFFF"/>
          <w14:textFill>
            <w14:solidFill>
              <w14:schemeClr w14:val="tx1"/>
            </w14:solidFill>
          </w14:textFill>
        </w:rPr>
        <w:t>同一楼层、同类型构件</w:t>
      </w:r>
      <w:r>
        <w:rPr>
          <w:rFonts w:hint="eastAsia"/>
          <w:bCs/>
          <w:color w:val="000000" w:themeColor="text1"/>
          <w:sz w:val="24"/>
          <w:szCs w:val="24"/>
          <w:shd w:val="clear" w:color="auto" w:fill="FFFFFF"/>
          <w14:textFill>
            <w14:solidFill>
              <w14:schemeClr w14:val="tx1"/>
            </w14:solidFill>
          </w14:textFill>
        </w:rPr>
        <w:t>且</w:t>
      </w:r>
      <w:r>
        <w:rPr>
          <w:bCs/>
          <w:color w:val="000000" w:themeColor="text1"/>
          <w:sz w:val="24"/>
          <w:szCs w:val="24"/>
          <w:shd w:val="clear" w:color="auto" w:fill="FFFFFF"/>
          <w14:textFill>
            <w14:solidFill>
              <w14:schemeClr w14:val="tx1"/>
            </w14:solidFill>
          </w14:textFill>
        </w:rPr>
        <w:t>相同灌浆工艺的构件可划分为同一检测批；</w:t>
      </w:r>
    </w:p>
    <w:p>
      <w:pPr>
        <w:spacing w:line="360" w:lineRule="auto"/>
        <w:ind w:firstLine="481" w:firstLineChars="200"/>
        <w:rPr>
          <w:bCs/>
          <w:color w:val="000000" w:themeColor="text1"/>
          <w:sz w:val="24"/>
          <w:szCs w:val="24"/>
          <w:shd w:val="clear" w:color="auto" w:fill="FFFFFF"/>
          <w14:textFill>
            <w14:solidFill>
              <w14:schemeClr w14:val="tx1"/>
            </w14:solidFill>
          </w14:textFill>
        </w:rPr>
      </w:pPr>
      <w:r>
        <w:rPr>
          <w:b/>
          <w:bCs/>
          <w:color w:val="000000" w:themeColor="text1"/>
          <w:sz w:val="24"/>
          <w:szCs w:val="24"/>
          <w:shd w:val="clear" w:color="auto" w:fill="FFFFFF"/>
          <w14:textFill>
            <w14:solidFill>
              <w14:schemeClr w14:val="tx1"/>
            </w14:solidFill>
          </w14:textFill>
        </w:rPr>
        <w:t>3</w:t>
      </w:r>
      <w:r>
        <w:rPr>
          <w:bCs/>
          <w:color w:val="000000" w:themeColor="text1"/>
          <w:sz w:val="24"/>
          <w:szCs w:val="24"/>
          <w:shd w:val="clear" w:color="auto" w:fill="FFFFFF"/>
          <w14:textFill>
            <w14:solidFill>
              <w14:schemeClr w14:val="tx1"/>
            </w14:solidFill>
          </w14:textFill>
        </w:rPr>
        <w:t xml:space="preserve">  </w:t>
      </w:r>
      <w:r>
        <w:rPr>
          <w:color w:val="000000" w:themeColor="text1"/>
          <w:sz w:val="24"/>
          <w:szCs w:val="24"/>
          <w14:textFill>
            <w14:solidFill>
              <w14:schemeClr w14:val="tx1"/>
            </w14:solidFill>
          </w14:textFill>
        </w:rPr>
        <w:t>当对钢筋插入长度进行检测时，</w:t>
      </w:r>
      <w:r>
        <w:rPr>
          <w:bCs/>
          <w:color w:val="000000" w:themeColor="text1"/>
          <w:sz w:val="24"/>
          <w:szCs w:val="24"/>
          <w:shd w:val="clear" w:color="auto" w:fill="FFFFFF"/>
          <w14:textFill>
            <w14:solidFill>
              <w14:schemeClr w14:val="tx1"/>
            </w14:solidFill>
          </w14:textFill>
        </w:rPr>
        <w:t>同一楼层、同类型构件可划分为同一检测批。</w:t>
      </w:r>
    </w:p>
    <w:p>
      <w:pPr>
        <w:spacing w:line="360" w:lineRule="auto"/>
        <w:rPr>
          <w:iCs/>
          <w:color w:val="000000" w:themeColor="text1"/>
          <w:sz w:val="24"/>
          <w:szCs w:val="24"/>
          <w14:textFill>
            <w14:solidFill>
              <w14:schemeClr w14:val="tx1"/>
            </w14:solidFill>
          </w14:textFill>
        </w:rPr>
      </w:pPr>
      <w:r>
        <w:rPr>
          <w:b/>
          <w:iCs/>
          <w:color w:val="000000" w:themeColor="text1"/>
          <w:sz w:val="24"/>
          <w:szCs w:val="24"/>
          <w14:textFill>
            <w14:solidFill>
              <w14:schemeClr w14:val="tx1"/>
            </w14:solidFill>
          </w14:textFill>
        </w:rPr>
        <w:t xml:space="preserve">6.1.3  </w:t>
      </w:r>
      <w:r>
        <w:rPr>
          <w:color w:val="000000" w:themeColor="text1"/>
          <w:sz w:val="24"/>
          <w:szCs w:val="24"/>
          <w14:textFill>
            <w14:solidFill>
              <w14:schemeClr w14:val="tx1"/>
            </w14:solidFill>
          </w14:textFill>
        </w:rPr>
        <w:t>灌浆饱满度、钢筋插入长度的</w:t>
      </w:r>
      <w:r>
        <w:rPr>
          <w:bCs/>
          <w:color w:val="000000" w:themeColor="text1"/>
          <w:sz w:val="24"/>
          <w14:textFill>
            <w14:solidFill>
              <w14:schemeClr w14:val="tx1"/>
            </w14:solidFill>
          </w14:textFill>
        </w:rPr>
        <w:t>检测批最小样本容量的确定除应符合本标准第3.3.5条的规定外，还</w:t>
      </w:r>
      <w:r>
        <w:rPr>
          <w:iCs/>
          <w:color w:val="000000" w:themeColor="text1"/>
          <w:sz w:val="24"/>
          <w:szCs w:val="24"/>
          <w14:textFill>
            <w14:solidFill>
              <w14:schemeClr w14:val="tx1"/>
            </w14:solidFill>
          </w14:textFill>
        </w:rPr>
        <w:t>应符合下列规定：</w:t>
      </w:r>
    </w:p>
    <w:p>
      <w:pPr>
        <w:spacing w:line="360" w:lineRule="auto"/>
        <w:ind w:firstLine="481" w:firstLineChars="200"/>
        <w:rPr>
          <w:color w:val="000000" w:themeColor="text1"/>
          <w:sz w:val="24"/>
          <w:szCs w:val="24"/>
          <w14:textFill>
            <w14:solidFill>
              <w14:schemeClr w14:val="tx1"/>
            </w14:solidFill>
          </w14:textFill>
        </w:rPr>
      </w:pPr>
      <w:r>
        <w:rPr>
          <w:b/>
          <w:color w:val="000000" w:themeColor="text1"/>
          <w:sz w:val="24"/>
          <w:szCs w:val="24"/>
          <w:shd w:val="clear" w:color="auto" w:fill="FFFFFF"/>
          <w14:textFill>
            <w14:solidFill>
              <w14:schemeClr w14:val="tx1"/>
            </w14:solidFill>
          </w14:textFill>
        </w:rPr>
        <w:t xml:space="preserve">1  </w:t>
      </w:r>
      <w:r>
        <w:rPr>
          <w:color w:val="000000" w:themeColor="text1"/>
          <w:sz w:val="24"/>
          <w:szCs w:val="24"/>
          <w:shd w:val="clear" w:color="auto" w:fill="FFFFFF"/>
          <w14:textFill>
            <w14:solidFill>
              <w14:schemeClr w14:val="tx1"/>
            </w14:solidFill>
          </w14:textFill>
        </w:rPr>
        <w:t>在</w:t>
      </w:r>
      <w:r>
        <w:rPr>
          <w:color w:val="000000" w:themeColor="text1"/>
          <w:sz w:val="24"/>
          <w:szCs w:val="24"/>
          <w14:textFill>
            <w14:solidFill>
              <w14:schemeClr w14:val="tx1"/>
            </w14:solidFill>
          </w14:textFill>
        </w:rPr>
        <w:t>竖向构件装配式施工的首层，构件抽检最小样本容量不宜低于本标准表3.3.5中C类要求；当检测批的构件数量少于3个时，构件应全数抽检；</w:t>
      </w:r>
    </w:p>
    <w:p>
      <w:pPr>
        <w:spacing w:line="360" w:lineRule="auto"/>
        <w:ind w:firstLine="481" w:firstLineChars="200"/>
        <w:rPr>
          <w:b/>
          <w:sz w:val="24"/>
          <w:szCs w:val="24"/>
          <w:shd w:val="clear" w:color="auto" w:fill="FFFFFF"/>
        </w:rPr>
      </w:pPr>
      <w:r>
        <w:rPr>
          <w:b/>
          <w:sz w:val="24"/>
          <w:szCs w:val="24"/>
        </w:rPr>
        <w:t>2</w:t>
      </w:r>
      <w:r>
        <w:rPr>
          <w:sz w:val="24"/>
          <w:szCs w:val="24"/>
        </w:rPr>
        <w:t xml:space="preserve">  当对灌浆饱满度进行检测时，若存在外墙板时，外墙板抽检的数量不应低于墙板抽检总数的30%；对于外墙板、柱，每个被抽检构件的套筒抽检比例不应少于30%，且每个灌浆仓抽检不应少于3个套筒；对于内墙板，每个被抽检构件的套筒抽检比例不应少于15%，且每个灌浆仓抽检不应少于2个套筒；</w:t>
      </w:r>
    </w:p>
    <w:p>
      <w:pPr>
        <w:spacing w:line="360" w:lineRule="auto"/>
        <w:ind w:firstLine="481" w:firstLineChars="200"/>
        <w:rPr>
          <w:b/>
          <w:color w:val="000000" w:themeColor="text1"/>
          <w:sz w:val="24"/>
          <w:szCs w:val="24"/>
          <w:shd w:val="clear" w:color="auto" w:fill="FFFFFF"/>
          <w14:textFill>
            <w14:solidFill>
              <w14:schemeClr w14:val="tx1"/>
            </w14:solidFill>
          </w14:textFill>
        </w:rPr>
      </w:pPr>
      <w:r>
        <w:rPr>
          <w:b/>
          <w:color w:val="000000" w:themeColor="text1"/>
          <w:sz w:val="24"/>
          <w:szCs w:val="24"/>
          <w14:textFill>
            <w14:solidFill>
              <w14:schemeClr w14:val="tx1"/>
            </w14:solidFill>
          </w14:textFill>
        </w:rPr>
        <w:t>3</w:t>
      </w:r>
      <w:r>
        <w:rPr>
          <w:color w:val="000000" w:themeColor="text1"/>
          <w:sz w:val="24"/>
          <w:szCs w:val="24"/>
          <w14:textFill>
            <w14:solidFill>
              <w14:schemeClr w14:val="tx1"/>
            </w14:solidFill>
          </w14:textFill>
        </w:rPr>
        <w:t xml:space="preserve">  当对钢筋插入长度进行检测时，每个被抽检构件中抽检不宜少于3个套筒</w:t>
      </w:r>
      <w:r>
        <w:rPr>
          <w:b/>
          <w:color w:val="000000" w:themeColor="text1"/>
          <w:sz w:val="24"/>
          <w:szCs w:val="24"/>
          <w:shd w:val="clear" w:color="auto" w:fill="FFFFFF"/>
          <w14:textFill>
            <w14:solidFill>
              <w14:schemeClr w14:val="tx1"/>
            </w14:solidFill>
          </w14:textFill>
        </w:rPr>
        <w:t>。</w:t>
      </w:r>
    </w:p>
    <w:p>
      <w:pPr>
        <w:spacing w:line="360" w:lineRule="auto"/>
        <w:rPr>
          <w:sz w:val="24"/>
          <w:szCs w:val="24"/>
        </w:rPr>
      </w:pPr>
      <w:r>
        <w:rPr>
          <w:b/>
          <w:sz w:val="24"/>
          <w:szCs w:val="24"/>
        </w:rPr>
        <w:t xml:space="preserve">6.1.4  </w:t>
      </w:r>
      <w:r>
        <w:rPr>
          <w:sz w:val="24"/>
          <w:szCs w:val="24"/>
        </w:rPr>
        <w:t>根据同一个套筒的</w:t>
      </w:r>
      <w:r>
        <w:rPr>
          <w:bCs/>
          <w:sz w:val="24"/>
          <w:szCs w:val="24"/>
        </w:rPr>
        <w:t>灌浆饱满度和钢筋插入长度的检测结果</w:t>
      </w:r>
      <w:r>
        <w:rPr>
          <w:sz w:val="24"/>
          <w:szCs w:val="24"/>
        </w:rPr>
        <w:t>，可计算该套筒内灌浆端的钢筋有效锚固长度。</w:t>
      </w:r>
    </w:p>
    <w:p>
      <w:pPr>
        <w:spacing w:line="360" w:lineRule="auto"/>
        <w:rPr>
          <w:rFonts w:eastAsia="楷体"/>
          <w:iCs/>
          <w:color w:val="5B9BD5" w:themeColor="accent1"/>
          <w:sz w:val="24"/>
          <w:szCs w:val="24"/>
          <w14:textFill>
            <w14:solidFill>
              <w14:schemeClr w14:val="accent1"/>
            </w14:solidFill>
          </w14:textFill>
        </w:rPr>
      </w:pPr>
      <w:r>
        <w:rPr>
          <w:b/>
          <w:sz w:val="24"/>
          <w:szCs w:val="24"/>
        </w:rPr>
        <w:t xml:space="preserve">6.1.5  </w:t>
      </w:r>
      <w:r>
        <w:rPr>
          <w:sz w:val="24"/>
          <w:szCs w:val="24"/>
        </w:rPr>
        <w:t>当不具备无损检测的条件，或对无损检测的结果有怀疑和异议，或对半灌浆套筒的机械连接端质量有怀疑时，可选择对结构安全性影响较小的钢筋套筒灌浆连接接头进行破型检查和检测，检测方法</w:t>
      </w:r>
      <w:r>
        <w:rPr>
          <w:bCs/>
          <w:sz w:val="24"/>
        </w:rPr>
        <w:t>可按本标准附录D的有关规定执行</w:t>
      </w:r>
      <w:r>
        <w:rPr>
          <w:sz w:val="24"/>
          <w:szCs w:val="24"/>
        </w:rPr>
        <w:t>。</w:t>
      </w:r>
    </w:p>
    <w:p>
      <w:pPr>
        <w:keepNext/>
        <w:keepLines/>
        <w:spacing w:before="120" w:beforeLines="50" w:after="120" w:afterLines="50" w:line="400" w:lineRule="exact"/>
        <w:jc w:val="center"/>
        <w:outlineLvl w:val="1"/>
        <w:rPr>
          <w:b/>
          <w:kern w:val="0"/>
          <w:sz w:val="24"/>
          <w:szCs w:val="24"/>
        </w:rPr>
      </w:pPr>
      <w:bookmarkStart w:id="102" w:name="_Toc120020292"/>
      <w:r>
        <w:rPr>
          <w:b/>
          <w:kern w:val="0"/>
          <w:sz w:val="24"/>
          <w:szCs w:val="24"/>
        </w:rPr>
        <w:t>6.2  灌浆料实体强度</w:t>
      </w:r>
      <w:bookmarkEnd w:id="102"/>
      <w:r>
        <w:rPr>
          <w:rFonts w:eastAsia="黑体"/>
          <w:b/>
          <w:kern w:val="0"/>
          <w:sz w:val="28"/>
        </w:rPr>
        <w:fldChar w:fldCharType="begin"/>
      </w:r>
      <w:r>
        <w:rPr>
          <w:rFonts w:eastAsia="黑体"/>
          <w:b/>
          <w:kern w:val="0"/>
          <w:sz w:val="28"/>
        </w:rPr>
        <w:instrText xml:space="preserve"> TC  "</w:instrText>
      </w:r>
      <w:bookmarkStart w:id="103" w:name="_Toc108470236"/>
      <w:bookmarkStart w:id="104" w:name="_Toc135038276"/>
      <w:r>
        <w:rPr>
          <w:rFonts w:eastAsia="黑体"/>
          <w:b/>
          <w:kern w:val="0"/>
          <w:sz w:val="28"/>
        </w:rPr>
        <w:instrText xml:space="preserve">6.2  Entitative strength of grout</w:instrText>
      </w:r>
      <w:bookmarkEnd w:id="103"/>
      <w:bookmarkEnd w:id="104"/>
      <w:r>
        <w:rPr>
          <w:rFonts w:eastAsia="黑体"/>
          <w:b/>
          <w:kern w:val="0"/>
          <w:sz w:val="28"/>
        </w:rPr>
        <w:instrText xml:space="preserve">" \l 2 </w:instrText>
      </w:r>
      <w:r>
        <w:rPr>
          <w:rFonts w:eastAsia="黑体"/>
          <w:b/>
          <w:kern w:val="0"/>
          <w:sz w:val="28"/>
        </w:rPr>
        <w:fldChar w:fldCharType="end"/>
      </w:r>
    </w:p>
    <w:p>
      <w:pPr>
        <w:spacing w:line="360" w:lineRule="auto"/>
        <w:rPr>
          <w:sz w:val="24"/>
          <w:szCs w:val="24"/>
        </w:rPr>
      </w:pPr>
      <w:r>
        <w:rPr>
          <w:b/>
          <w:bCs/>
          <w:color w:val="000000" w:themeColor="text1"/>
          <w:sz w:val="24"/>
          <w:szCs w:val="24"/>
          <w14:textFill>
            <w14:solidFill>
              <w14:schemeClr w14:val="tx1"/>
            </w14:solidFill>
          </w14:textFill>
        </w:rPr>
        <w:t xml:space="preserve">6.2.1  </w:t>
      </w:r>
      <w:r>
        <w:rPr>
          <w:color w:val="000000" w:themeColor="text1"/>
          <w:sz w:val="24"/>
          <w:szCs w:val="24"/>
          <w14:textFill>
            <w14:solidFill>
              <w14:schemeClr w14:val="tx1"/>
            </w14:solidFill>
          </w14:textFill>
        </w:rPr>
        <w:t>钢筋连接用套筒灌浆料实体强度可采用取样法、回弹法进行检测，并应符</w:t>
      </w:r>
      <w:r>
        <w:rPr>
          <w:sz w:val="24"/>
          <w:szCs w:val="24"/>
        </w:rPr>
        <w:t>合下列规定：</w:t>
      </w:r>
    </w:p>
    <w:p>
      <w:pPr>
        <w:spacing w:line="360" w:lineRule="auto"/>
        <w:ind w:firstLine="481" w:firstLineChars="200"/>
        <w:rPr>
          <w:sz w:val="24"/>
          <w:szCs w:val="24"/>
        </w:rPr>
      </w:pPr>
      <w:r>
        <w:rPr>
          <w:b/>
          <w:bCs/>
          <w:sz w:val="24"/>
          <w:szCs w:val="24"/>
        </w:rPr>
        <w:t xml:space="preserve">1  </w:t>
      </w:r>
      <w:r>
        <w:rPr>
          <w:sz w:val="24"/>
          <w:szCs w:val="24"/>
        </w:rPr>
        <w:t>当采用</w:t>
      </w:r>
      <w:r>
        <w:rPr>
          <w:rFonts w:hint="eastAsia"/>
          <w:sz w:val="24"/>
          <w:szCs w:val="24"/>
        </w:rPr>
        <w:t>外接延长管施工工艺</w:t>
      </w:r>
      <w:r>
        <w:rPr>
          <w:sz w:val="24"/>
          <w:szCs w:val="24"/>
        </w:rPr>
        <w:t>时，宜采用外接延长管取样法；</w:t>
      </w:r>
    </w:p>
    <w:p>
      <w:pPr>
        <w:spacing w:line="360" w:lineRule="auto"/>
        <w:ind w:firstLine="481" w:firstLineChars="200"/>
        <w:rPr>
          <w:sz w:val="24"/>
          <w:szCs w:val="24"/>
        </w:rPr>
      </w:pPr>
      <w:r>
        <w:rPr>
          <w:b/>
          <w:bCs/>
          <w:sz w:val="24"/>
          <w:szCs w:val="24"/>
        </w:rPr>
        <w:t xml:space="preserve">2  </w:t>
      </w:r>
      <w:r>
        <w:rPr>
          <w:sz w:val="24"/>
          <w:szCs w:val="24"/>
        </w:rPr>
        <w:t>对采用PVC等硬质材料的灌浆管和出浆管且其直管段长度大于50mm的钢筋套筒灌浆连接的结构实体，可采用钻芯取样法；</w:t>
      </w:r>
    </w:p>
    <w:p>
      <w:pPr>
        <w:spacing w:line="360" w:lineRule="auto"/>
        <w:ind w:firstLine="481" w:firstLineChars="200"/>
        <w:rPr>
          <w:sz w:val="24"/>
          <w:szCs w:val="24"/>
        </w:rPr>
      </w:pPr>
      <w:r>
        <w:rPr>
          <w:b/>
          <w:bCs/>
          <w:sz w:val="24"/>
          <w:szCs w:val="24"/>
        </w:rPr>
        <w:t xml:space="preserve">3  </w:t>
      </w:r>
      <w:r>
        <w:rPr>
          <w:sz w:val="24"/>
          <w:szCs w:val="24"/>
        </w:rPr>
        <w:t>当构件的灌浆口、出浆口外露有已硬化的灌浆料原浆面且表面平整、光滑时，可采用回弹法。</w:t>
      </w:r>
    </w:p>
    <w:p>
      <w:pPr>
        <w:spacing w:line="360" w:lineRule="auto"/>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6.2.2  </w:t>
      </w:r>
      <w:r>
        <w:rPr>
          <w:color w:val="000000" w:themeColor="text1"/>
          <w:sz w:val="24"/>
          <w:szCs w:val="24"/>
          <w14:textFill>
            <w14:solidFill>
              <w14:schemeClr w14:val="tx1"/>
            </w14:solidFill>
          </w14:textFill>
        </w:rPr>
        <w:t>采用取样法检测灌浆料实体强度时，应符合本标准附录E的有关规定。</w:t>
      </w:r>
    </w:p>
    <w:p>
      <w:pPr>
        <w:spacing w:line="360" w:lineRule="auto"/>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6.2.3  </w:t>
      </w:r>
      <w:r>
        <w:rPr>
          <w:color w:val="000000" w:themeColor="text1"/>
          <w:sz w:val="24"/>
          <w:szCs w:val="24"/>
          <w14:textFill>
            <w14:solidFill>
              <w14:schemeClr w14:val="tx1"/>
            </w14:solidFill>
          </w14:textFill>
        </w:rPr>
        <w:t>采用回弹法检测灌浆料实体强度时，应符合本标准附录F的</w:t>
      </w:r>
      <w:r>
        <w:rPr>
          <w:rFonts w:hint="eastAsia"/>
          <w:color w:val="000000" w:themeColor="text1"/>
          <w:sz w:val="24"/>
          <w:szCs w:val="24"/>
          <w14:textFill>
            <w14:solidFill>
              <w14:schemeClr w14:val="tx1"/>
            </w14:solidFill>
          </w14:textFill>
        </w:rPr>
        <w:t>有关</w:t>
      </w:r>
      <w:r>
        <w:rPr>
          <w:color w:val="000000" w:themeColor="text1"/>
          <w:sz w:val="24"/>
          <w:szCs w:val="24"/>
          <w14:textFill>
            <w14:solidFill>
              <w14:schemeClr w14:val="tx1"/>
            </w14:solidFill>
          </w14:textFill>
        </w:rPr>
        <w:t>规定</w:t>
      </w:r>
      <w:r>
        <w:rPr>
          <w:rFonts w:hint="eastAsia"/>
          <w:color w:val="000000" w:themeColor="text1"/>
          <w:sz w:val="24"/>
          <w:szCs w:val="24"/>
          <w14:textFill>
            <w14:solidFill>
              <w14:schemeClr w14:val="tx1"/>
            </w14:solidFill>
          </w14:textFill>
        </w:rPr>
        <w:t>。</w:t>
      </w:r>
    </w:p>
    <w:p>
      <w:pPr>
        <w:spacing w:line="360" w:lineRule="auto"/>
        <w:rPr>
          <w:sz w:val="24"/>
          <w:szCs w:val="24"/>
        </w:rPr>
      </w:pPr>
      <w:r>
        <w:rPr>
          <w:b/>
          <w:sz w:val="24"/>
          <w:szCs w:val="24"/>
        </w:rPr>
        <w:t xml:space="preserve">6.2.4  </w:t>
      </w:r>
      <w:r>
        <w:rPr>
          <w:sz w:val="24"/>
          <w:szCs w:val="24"/>
        </w:rPr>
        <w:t>当灌浆料抗压强度推定值不小于设计要求时，可判定套筒灌浆料实体强度符合设计要求。</w:t>
      </w:r>
    </w:p>
    <w:p>
      <w:pPr>
        <w:keepNext/>
        <w:keepLines/>
        <w:spacing w:before="120" w:beforeLines="50" w:after="120" w:afterLines="50" w:line="400" w:lineRule="exact"/>
        <w:jc w:val="center"/>
        <w:outlineLvl w:val="1"/>
        <w:rPr>
          <w:b/>
          <w:kern w:val="0"/>
          <w:sz w:val="24"/>
          <w:szCs w:val="24"/>
        </w:rPr>
      </w:pPr>
      <w:bookmarkStart w:id="105" w:name="_Toc120020293"/>
      <w:r>
        <w:rPr>
          <w:b/>
          <w:kern w:val="0"/>
          <w:sz w:val="24"/>
          <w:szCs w:val="24"/>
        </w:rPr>
        <w:t>6.3  灌浆</w:t>
      </w:r>
      <w:bookmarkEnd w:id="105"/>
      <w:r>
        <w:rPr>
          <w:b/>
          <w:kern w:val="0"/>
          <w:sz w:val="24"/>
          <w:szCs w:val="24"/>
        </w:rPr>
        <w:t>饱满度</w:t>
      </w:r>
      <w:r>
        <w:rPr>
          <w:rFonts w:eastAsia="黑体"/>
          <w:b/>
          <w:kern w:val="0"/>
          <w:sz w:val="28"/>
        </w:rPr>
        <w:fldChar w:fldCharType="begin"/>
      </w:r>
      <w:r>
        <w:rPr>
          <w:rFonts w:eastAsia="黑体"/>
          <w:b/>
          <w:kern w:val="0"/>
          <w:sz w:val="28"/>
        </w:rPr>
        <w:instrText xml:space="preserve"> TC  "</w:instrText>
      </w:r>
      <w:bookmarkStart w:id="106" w:name="_Toc135038277"/>
      <w:r>
        <w:rPr>
          <w:rFonts w:eastAsia="黑体"/>
          <w:b/>
          <w:kern w:val="0"/>
          <w:sz w:val="28"/>
        </w:rPr>
        <w:instrText xml:space="preserve">6.3  Grouting plumpness status</w:instrText>
      </w:r>
      <w:bookmarkEnd w:id="106"/>
      <w:r>
        <w:rPr>
          <w:rFonts w:eastAsia="黑体"/>
          <w:b/>
          <w:kern w:val="0"/>
          <w:sz w:val="28"/>
        </w:rPr>
        <w:instrText xml:space="preserve">" \l 2 </w:instrText>
      </w:r>
      <w:r>
        <w:rPr>
          <w:rFonts w:eastAsia="黑体"/>
          <w:b/>
          <w:kern w:val="0"/>
          <w:sz w:val="28"/>
        </w:rPr>
        <w:fldChar w:fldCharType="end"/>
      </w:r>
    </w:p>
    <w:p>
      <w:pPr>
        <w:spacing w:line="360" w:lineRule="auto"/>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6.3.1  </w:t>
      </w:r>
      <w:r>
        <w:rPr>
          <w:color w:val="000000" w:themeColor="text1"/>
          <w:sz w:val="24"/>
          <w:szCs w:val="24"/>
          <w14:textFill>
            <w14:solidFill>
              <w14:schemeClr w14:val="tx1"/>
            </w14:solidFill>
          </w14:textFill>
        </w:rPr>
        <w:t>套筒灌浆饱满度</w:t>
      </w:r>
      <w:r>
        <w:rPr>
          <w:rFonts w:hint="eastAsia"/>
          <w:color w:val="000000" w:themeColor="text1"/>
          <w:sz w:val="24"/>
          <w:szCs w:val="24"/>
          <w14:textFill>
            <w14:solidFill>
              <w14:schemeClr w14:val="tx1"/>
            </w14:solidFill>
          </w14:textFill>
        </w:rPr>
        <w:t>宜</w:t>
      </w:r>
      <w:r>
        <w:rPr>
          <w:color w:val="000000" w:themeColor="text1"/>
          <w:sz w:val="24"/>
          <w:szCs w:val="24"/>
          <w14:textFill>
            <w14:solidFill>
              <w14:schemeClr w14:val="tx1"/>
            </w14:solidFill>
          </w14:textFill>
        </w:rPr>
        <w:t>采用钻孔内窥法</w:t>
      </w:r>
      <w:r>
        <w:rPr>
          <w:rFonts w:hint="eastAsia"/>
          <w:color w:val="000000" w:themeColor="text1"/>
          <w:sz w:val="24"/>
          <w:szCs w:val="24"/>
          <w14:textFill>
            <w14:solidFill>
              <w14:schemeClr w14:val="tx1"/>
            </w14:solidFill>
          </w14:textFill>
        </w:rPr>
        <w:t>，也可</w:t>
      </w:r>
      <w:r>
        <w:rPr>
          <w:color w:val="000000" w:themeColor="text1"/>
          <w:sz w:val="24"/>
          <w:szCs w:val="24"/>
          <w14:textFill>
            <w14:solidFill>
              <w14:schemeClr w14:val="tx1"/>
            </w14:solidFill>
          </w14:textFill>
        </w:rPr>
        <w:t>采用X射线成像法</w:t>
      </w:r>
      <w:r>
        <w:rPr>
          <w:rFonts w:hint="eastAsia"/>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预埋传感器法或预埋钢丝拉拔法</w:t>
      </w:r>
      <w:r>
        <w:rPr>
          <w:color w:val="000000" w:themeColor="text1"/>
          <w:sz w:val="24"/>
          <w:szCs w:val="24"/>
          <w14:textFill>
            <w14:solidFill>
              <w14:schemeClr w14:val="tx1"/>
            </w14:solidFill>
          </w14:textFill>
        </w:rPr>
        <w:t>进行检测，并应符合下列规定：</w:t>
      </w:r>
    </w:p>
    <w:p>
      <w:pPr>
        <w:spacing w:line="360" w:lineRule="auto"/>
        <w:ind w:firstLine="481" w:firstLineChars="20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1  </w:t>
      </w:r>
      <w:r>
        <w:rPr>
          <w:color w:val="000000" w:themeColor="text1"/>
          <w:sz w:val="24"/>
          <w:szCs w:val="24"/>
          <w14:textFill>
            <w14:solidFill>
              <w14:schemeClr w14:val="tx1"/>
            </w14:solidFill>
          </w14:textFill>
        </w:rPr>
        <w:t>当X射线在混凝土中透射路径的长度不大于250mm且在该透射路径上只有一个套筒时，可采用X射线成像法</w:t>
      </w:r>
      <w:r>
        <w:rPr>
          <w:rFonts w:hint="eastAsia"/>
          <w:color w:val="000000" w:themeColor="text1"/>
          <w:sz w:val="24"/>
          <w:szCs w:val="24"/>
          <w14:textFill>
            <w14:solidFill>
              <w14:schemeClr w14:val="tx1"/>
            </w14:solidFill>
          </w14:textFill>
        </w:rPr>
        <w:t>；</w:t>
      </w:r>
    </w:p>
    <w:p>
      <w:pPr>
        <w:spacing w:line="360" w:lineRule="auto"/>
        <w:ind w:firstLine="481" w:firstLineChars="200"/>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当具备预埋的条件时，可采用预埋钢丝拉拔法和预埋传感器法；</w:t>
      </w:r>
    </w:p>
    <w:p>
      <w:pPr>
        <w:spacing w:line="360" w:lineRule="auto"/>
        <w:ind w:firstLine="481" w:firstLineChars="200"/>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3</w:t>
      </w:r>
      <w:r>
        <w:rPr>
          <w:color w:val="000000" w:themeColor="text1"/>
          <w:sz w:val="24"/>
          <w:szCs w:val="24"/>
          <w14:textFill>
            <w14:solidFill>
              <w14:schemeClr w14:val="tx1"/>
            </w14:solidFill>
          </w14:textFill>
        </w:rPr>
        <w:t xml:space="preserve">  当对X射线成像法</w:t>
      </w:r>
      <w:r>
        <w:rPr>
          <w:rFonts w:hint="eastAsia"/>
          <w:color w:val="000000" w:themeColor="text1"/>
          <w:sz w:val="24"/>
          <w:szCs w:val="24"/>
          <w14:textFill>
            <w14:solidFill>
              <w14:schemeClr w14:val="tx1"/>
            </w14:solidFill>
          </w14:textFill>
        </w:rPr>
        <w:t>、预埋钢丝拉拔法、预埋传感器法</w:t>
      </w:r>
      <w:r>
        <w:rPr>
          <w:color w:val="000000" w:themeColor="text1"/>
          <w:sz w:val="24"/>
          <w:szCs w:val="24"/>
          <w14:textFill>
            <w14:solidFill>
              <w14:schemeClr w14:val="tx1"/>
            </w14:solidFill>
          </w14:textFill>
        </w:rPr>
        <w:t>检测结果有怀疑时，应采用钻孔内窥法进行验证。</w:t>
      </w:r>
    </w:p>
    <w:p>
      <w:pPr>
        <w:spacing w:line="360" w:lineRule="auto"/>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6.3.2  </w:t>
      </w:r>
      <w:r>
        <w:rPr>
          <w:color w:val="000000" w:themeColor="text1"/>
          <w:sz w:val="24"/>
          <w:szCs w:val="24"/>
          <w14:textFill>
            <w14:solidFill>
              <w14:schemeClr w14:val="tx1"/>
            </w14:solidFill>
          </w14:textFill>
        </w:rPr>
        <w:t>采用钻孔内窥法检测时，钻孔部位的选择应符合下列规定：</w:t>
      </w:r>
    </w:p>
    <w:p>
      <w:pPr>
        <w:pStyle w:val="72"/>
        <w:spacing w:line="360" w:lineRule="auto"/>
        <w:ind w:firstLine="482"/>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1  </w:t>
      </w:r>
      <w:r>
        <w:rPr>
          <w:color w:val="000000" w:themeColor="text1"/>
          <w:sz w:val="24"/>
          <w:szCs w:val="24"/>
          <w14:textFill>
            <w14:solidFill>
              <w14:schemeClr w14:val="tx1"/>
            </w14:solidFill>
          </w14:textFill>
        </w:rPr>
        <w:t>当出浆孔道为直线形且孔道长度不大于150mm时，应沿出浆孔道钻孔；</w:t>
      </w:r>
    </w:p>
    <w:p>
      <w:pPr>
        <w:pStyle w:val="72"/>
        <w:spacing w:line="360" w:lineRule="auto"/>
        <w:ind w:firstLine="482"/>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2  </w:t>
      </w:r>
      <w:r>
        <w:rPr>
          <w:color w:val="000000" w:themeColor="text1"/>
          <w:sz w:val="24"/>
          <w:szCs w:val="24"/>
          <w14:textFill>
            <w14:solidFill>
              <w14:schemeClr w14:val="tx1"/>
            </w14:solidFill>
          </w14:textFill>
        </w:rPr>
        <w:t>当出浆孔道为非直线形或者孔道长度大于150mm时，可在套筒壁上钻孔。</w:t>
      </w:r>
    </w:p>
    <w:p>
      <w:pPr>
        <w:spacing w:line="360" w:lineRule="auto"/>
        <w:rPr>
          <w:color w:val="000000" w:themeColor="text1"/>
          <w:sz w:val="24"/>
          <w:szCs w:val="24"/>
          <w14:textFill>
            <w14:solidFill>
              <w14:schemeClr w14:val="tx1"/>
            </w14:solidFill>
          </w14:textFill>
        </w:rPr>
      </w:pPr>
      <w:r>
        <w:rPr>
          <w:b/>
          <w:sz w:val="24"/>
          <w:szCs w:val="24"/>
        </w:rPr>
        <w:t xml:space="preserve">6.3.3  </w:t>
      </w:r>
      <w:r>
        <w:rPr>
          <w:sz w:val="24"/>
          <w:szCs w:val="24"/>
        </w:rPr>
        <w:t>采用钻孔内窥法检测套筒</w:t>
      </w:r>
      <w:r>
        <w:rPr>
          <w:color w:val="000000" w:themeColor="text1"/>
          <w:sz w:val="24"/>
          <w:szCs w:val="24"/>
          <w14:textFill>
            <w14:solidFill>
              <w14:schemeClr w14:val="tx1"/>
            </w14:solidFill>
          </w14:textFill>
        </w:rPr>
        <w:t>灌浆饱满度时，应按本标准附录G的有关规定执行。</w:t>
      </w:r>
    </w:p>
    <w:p>
      <w:pPr>
        <w:spacing w:line="360" w:lineRule="auto"/>
        <w:rPr>
          <w:sz w:val="24"/>
          <w:szCs w:val="24"/>
        </w:rPr>
      </w:pPr>
      <w:r>
        <w:rPr>
          <w:b/>
          <w:color w:val="000000" w:themeColor="text1"/>
          <w:sz w:val="24"/>
          <w:szCs w:val="24"/>
          <w14:textFill>
            <w14:solidFill>
              <w14:schemeClr w14:val="tx1"/>
            </w14:solidFill>
          </w14:textFill>
        </w:rPr>
        <w:t xml:space="preserve">6.3.4  </w:t>
      </w:r>
      <w:r>
        <w:rPr>
          <w:color w:val="000000" w:themeColor="text1"/>
          <w:sz w:val="24"/>
          <w:szCs w:val="24"/>
          <w14:textFill>
            <w14:solidFill>
              <w14:schemeClr w14:val="tx1"/>
            </w14:solidFill>
          </w14:textFill>
        </w:rPr>
        <w:t>采用X射线成像法检测套筒灌浆饱满度时</w:t>
      </w:r>
      <w:r>
        <w:rPr>
          <w:sz w:val="24"/>
          <w:szCs w:val="24"/>
        </w:rPr>
        <w:t>，应按本标准附录H的有关规定执行。</w:t>
      </w:r>
    </w:p>
    <w:p>
      <w:pPr>
        <w:spacing w:line="360" w:lineRule="auto"/>
        <w:rPr>
          <w:bCs/>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6</w:t>
      </w:r>
      <w:r>
        <w:rPr>
          <w:b/>
          <w:color w:val="000000" w:themeColor="text1"/>
          <w:sz w:val="24"/>
          <w:szCs w:val="24"/>
          <w14:textFill>
            <w14:solidFill>
              <w14:schemeClr w14:val="tx1"/>
            </w14:solidFill>
          </w14:textFill>
        </w:rPr>
        <w:t>.3.5</w:t>
      </w:r>
      <w:r>
        <w:rPr>
          <w:bCs/>
          <w:color w:val="000000" w:themeColor="text1"/>
          <w:sz w:val="24"/>
          <w:szCs w:val="24"/>
          <w14:textFill>
            <w14:solidFill>
              <w14:schemeClr w14:val="tx1"/>
            </w14:solidFill>
          </w14:textFill>
        </w:rPr>
        <w:t xml:space="preserve">  </w:t>
      </w:r>
      <w:r>
        <w:rPr>
          <w:rFonts w:hint="eastAsia"/>
          <w:bCs/>
          <w:color w:val="000000" w:themeColor="text1"/>
          <w:sz w:val="24"/>
          <w:szCs w:val="24"/>
          <w14:textFill>
            <w14:solidFill>
              <w14:schemeClr w14:val="tx1"/>
            </w14:solidFill>
          </w14:textFill>
        </w:rPr>
        <w:t>采用预埋传感器法或预埋钢丝拉拔法检测套筒灌浆饱满度时，应符合现行行业标准《装配式住宅建筑检测技术标准》JGJ</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T 485的有关规定。</w:t>
      </w:r>
    </w:p>
    <w:p>
      <w:pPr>
        <w:keepNext/>
        <w:keepLines/>
        <w:spacing w:before="120" w:beforeLines="50" w:after="120" w:afterLines="50" w:line="400" w:lineRule="exact"/>
        <w:jc w:val="center"/>
        <w:outlineLvl w:val="1"/>
        <w:rPr>
          <w:b/>
          <w:kern w:val="0"/>
          <w:sz w:val="24"/>
          <w:szCs w:val="24"/>
        </w:rPr>
      </w:pPr>
      <w:bookmarkStart w:id="107" w:name="_Toc120020294"/>
      <w:r>
        <w:rPr>
          <w:b/>
          <w:kern w:val="0"/>
          <w:sz w:val="24"/>
          <w:szCs w:val="24"/>
        </w:rPr>
        <w:t>6.4  钢筋插入长度</w:t>
      </w:r>
      <w:bookmarkEnd w:id="107"/>
      <w:r>
        <w:rPr>
          <w:rFonts w:eastAsia="黑体"/>
          <w:b/>
          <w:kern w:val="0"/>
          <w:sz w:val="28"/>
        </w:rPr>
        <w:fldChar w:fldCharType="begin"/>
      </w:r>
      <w:r>
        <w:rPr>
          <w:rFonts w:eastAsia="黑体"/>
          <w:b/>
          <w:kern w:val="0"/>
          <w:sz w:val="28"/>
        </w:rPr>
        <w:instrText xml:space="preserve"> TC  "</w:instrText>
      </w:r>
      <w:bookmarkStart w:id="108" w:name="_Toc135038278"/>
      <w:bookmarkStart w:id="109" w:name="_Toc108470238"/>
      <w:r>
        <w:rPr>
          <w:rFonts w:eastAsia="黑体"/>
          <w:b/>
          <w:kern w:val="0"/>
          <w:sz w:val="28"/>
        </w:rPr>
        <w:instrText xml:space="preserve">6.4  Inserted length of rebars</w:instrText>
      </w:r>
      <w:bookmarkEnd w:id="108"/>
      <w:bookmarkEnd w:id="109"/>
      <w:r>
        <w:rPr>
          <w:rFonts w:eastAsia="黑体"/>
          <w:b/>
          <w:kern w:val="0"/>
          <w:sz w:val="28"/>
        </w:rPr>
        <w:instrText xml:space="preserve">" \l 2 </w:instrText>
      </w:r>
      <w:r>
        <w:rPr>
          <w:rFonts w:eastAsia="黑体"/>
          <w:b/>
          <w:kern w:val="0"/>
          <w:sz w:val="28"/>
        </w:rPr>
        <w:fldChar w:fldCharType="end"/>
      </w:r>
    </w:p>
    <w:p>
      <w:pPr>
        <w:spacing w:before="120" w:line="360" w:lineRule="auto"/>
        <w:rPr>
          <w:color w:val="000000" w:themeColor="text1"/>
          <w:sz w:val="24"/>
          <w:szCs w:val="24"/>
          <w14:textFill>
            <w14:solidFill>
              <w14:schemeClr w14:val="tx1"/>
            </w14:solidFill>
          </w14:textFill>
        </w:rPr>
      </w:pPr>
      <w:r>
        <w:rPr>
          <w:b/>
          <w:bCs/>
          <w:sz w:val="24"/>
          <w:szCs w:val="24"/>
        </w:rPr>
        <w:t xml:space="preserve">6.4.1  </w:t>
      </w:r>
      <w:r>
        <w:rPr>
          <w:sz w:val="24"/>
          <w:szCs w:val="24"/>
        </w:rPr>
        <w:t>套筒内钢筋插入长度可采用内</w:t>
      </w:r>
      <w:r>
        <w:rPr>
          <w:color w:val="000000" w:themeColor="text1"/>
          <w:sz w:val="24"/>
          <w:szCs w:val="24"/>
          <w14:textFill>
            <w14:solidFill>
              <w14:schemeClr w14:val="tx1"/>
            </w14:solidFill>
          </w14:textFill>
        </w:rPr>
        <w:t>窥法、X射线成像法进行检测，并应符合下列规定：</w:t>
      </w:r>
    </w:p>
    <w:p>
      <w:pPr>
        <w:spacing w:line="360" w:lineRule="auto"/>
        <w:ind w:firstLine="481" w:firstLineChars="200"/>
        <w:rPr>
          <w:sz w:val="24"/>
          <w:szCs w:val="24"/>
        </w:rPr>
      </w:pPr>
      <w:r>
        <w:rPr>
          <w:b/>
          <w:bCs/>
          <w:color w:val="000000" w:themeColor="text1"/>
          <w:sz w:val="24"/>
          <w:szCs w:val="24"/>
          <w14:textFill>
            <w14:solidFill>
              <w14:schemeClr w14:val="tx1"/>
            </w14:solidFill>
          </w14:textFill>
        </w:rPr>
        <w:t xml:space="preserve">1  </w:t>
      </w:r>
      <w:r>
        <w:rPr>
          <w:color w:val="000000" w:themeColor="text1"/>
          <w:sz w:val="24"/>
          <w:szCs w:val="24"/>
          <w14:textFill>
            <w14:solidFill>
              <w14:schemeClr w14:val="tx1"/>
            </w14:solidFill>
          </w14:textFill>
        </w:rPr>
        <w:t>在预制构件现场安装完成后、套筒灌浆</w:t>
      </w:r>
      <w:r>
        <w:rPr>
          <w:sz w:val="24"/>
          <w:szCs w:val="24"/>
        </w:rPr>
        <w:t>施工前，宜采用内窥法检测套筒内钢筋插入长度；</w:t>
      </w:r>
    </w:p>
    <w:p>
      <w:pPr>
        <w:spacing w:line="360" w:lineRule="auto"/>
        <w:ind w:firstLine="481" w:firstLineChars="20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2  </w:t>
      </w:r>
      <w:r>
        <w:rPr>
          <w:color w:val="000000" w:themeColor="text1"/>
          <w:sz w:val="24"/>
          <w:szCs w:val="24"/>
          <w14:textFill>
            <w14:solidFill>
              <w14:schemeClr w14:val="tx1"/>
            </w14:solidFill>
          </w14:textFill>
        </w:rPr>
        <w:t>当灌浆孔道、出浆孔道为直线形且孔道长度不大于150mm时，可采用钻孔内窥法检查，定性判断套筒内是否有钢筋；</w:t>
      </w:r>
    </w:p>
    <w:p>
      <w:pPr>
        <w:spacing w:line="360" w:lineRule="auto"/>
        <w:ind w:firstLine="481" w:firstLineChars="200"/>
        <w:rPr>
          <w:sz w:val="24"/>
          <w:szCs w:val="24"/>
        </w:rPr>
      </w:pPr>
      <w:r>
        <w:rPr>
          <w:b/>
          <w:bCs/>
          <w:color w:val="000000" w:themeColor="text1"/>
          <w:sz w:val="24"/>
          <w:szCs w:val="24"/>
          <w14:textFill>
            <w14:solidFill>
              <w14:schemeClr w14:val="tx1"/>
            </w14:solidFill>
          </w14:textFill>
        </w:rPr>
        <w:t xml:space="preserve">3  </w:t>
      </w:r>
      <w:r>
        <w:rPr>
          <w:color w:val="000000" w:themeColor="text1"/>
          <w:sz w:val="24"/>
          <w:szCs w:val="24"/>
          <w14:textFill>
            <w14:solidFill>
              <w14:schemeClr w14:val="tx1"/>
            </w14:solidFill>
          </w14:textFill>
        </w:rPr>
        <w:t>当X射线在混凝土中透射路径的长度不大于250mm且在该透射路径上</w:t>
      </w:r>
      <w:r>
        <w:rPr>
          <w:sz w:val="24"/>
          <w:szCs w:val="24"/>
        </w:rPr>
        <w:t>只有一个套筒时，可采用X射线成像法；</w:t>
      </w:r>
    </w:p>
    <w:p>
      <w:pPr>
        <w:spacing w:line="360" w:lineRule="auto"/>
        <w:ind w:firstLine="481" w:firstLineChars="20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4  </w:t>
      </w:r>
      <w:r>
        <w:rPr>
          <w:color w:val="000000" w:themeColor="text1"/>
          <w:sz w:val="24"/>
          <w:szCs w:val="24"/>
          <w14:textFill>
            <w14:solidFill>
              <w14:schemeClr w14:val="tx1"/>
            </w14:solidFill>
          </w14:textFill>
        </w:rPr>
        <w:t>当不符合第3款的检测条件时，可采用剔开混凝土保护层直接</w:t>
      </w:r>
      <w:r>
        <w:rPr>
          <w:sz w:val="24"/>
          <w:szCs w:val="24"/>
        </w:rPr>
        <w:t>透射</w:t>
      </w:r>
      <w:r>
        <w:rPr>
          <w:color w:val="000000" w:themeColor="text1"/>
          <w:sz w:val="24"/>
          <w:szCs w:val="24"/>
          <w14:textFill>
            <w14:solidFill>
              <w14:schemeClr w14:val="tx1"/>
            </w14:solidFill>
          </w14:textFill>
        </w:rPr>
        <w:t>套筒的X射线成像法；</w:t>
      </w:r>
    </w:p>
    <w:p>
      <w:pPr>
        <w:spacing w:line="360" w:lineRule="auto"/>
        <w:ind w:firstLine="481" w:firstLineChars="200"/>
        <w:rPr>
          <w:bCs/>
          <w:color w:val="000000" w:themeColor="text1"/>
          <w:sz w:val="24"/>
          <w14:textFill>
            <w14:solidFill>
              <w14:schemeClr w14:val="tx1"/>
            </w14:solidFill>
          </w14:textFill>
        </w:rPr>
      </w:pPr>
      <w:r>
        <w:rPr>
          <w:b/>
          <w:bCs/>
          <w:color w:val="000000" w:themeColor="text1"/>
          <w:sz w:val="24"/>
          <w:szCs w:val="24"/>
          <w14:textFill>
            <w14:solidFill>
              <w14:schemeClr w14:val="tx1"/>
            </w14:solidFill>
          </w14:textFill>
        </w:rPr>
        <w:t xml:space="preserve">5  </w:t>
      </w:r>
      <w:r>
        <w:rPr>
          <w:color w:val="000000" w:themeColor="text1"/>
          <w:sz w:val="24"/>
          <w:szCs w:val="24"/>
          <w14:textFill>
            <w14:solidFill>
              <w14:schemeClr w14:val="tx1"/>
            </w14:solidFill>
          </w14:textFill>
        </w:rPr>
        <w:t>根据钻孔内窥法的检查结果，当有必要进一步深入检测时，应采用X射线成像法</w:t>
      </w:r>
      <w:r>
        <w:rPr>
          <w:bCs/>
          <w:color w:val="000000" w:themeColor="text1"/>
          <w:sz w:val="24"/>
          <w14:textFill>
            <w14:solidFill>
              <w14:schemeClr w14:val="tx1"/>
            </w14:solidFill>
          </w14:textFill>
        </w:rPr>
        <w:t>进行检测；</w:t>
      </w:r>
    </w:p>
    <w:p>
      <w:pPr>
        <w:spacing w:line="360" w:lineRule="auto"/>
        <w:ind w:firstLine="481" w:firstLineChars="200"/>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6</w:t>
      </w:r>
      <w:r>
        <w:rPr>
          <w:color w:val="000000" w:themeColor="text1"/>
          <w:sz w:val="24"/>
          <w:szCs w:val="24"/>
          <w14:textFill>
            <w14:solidFill>
              <w14:schemeClr w14:val="tx1"/>
            </w14:solidFill>
          </w14:textFill>
        </w:rPr>
        <w:t xml:space="preserve">  当怀疑套筒装配端的钢筋未与下部结构锚固时，应采用局部破损方法检查插入钢筋的连续性。</w:t>
      </w:r>
    </w:p>
    <w:p>
      <w:pPr>
        <w:spacing w:before="120" w:line="360" w:lineRule="auto"/>
        <w:rPr>
          <w:rFonts w:eastAsia="仿宋"/>
          <w:color w:val="FF0000"/>
          <w:sz w:val="24"/>
          <w:szCs w:val="24"/>
        </w:rPr>
      </w:pPr>
      <w:r>
        <w:rPr>
          <w:b/>
          <w:bCs/>
          <w:sz w:val="24"/>
          <w:szCs w:val="24"/>
        </w:rPr>
        <w:t xml:space="preserve">6.4.2  </w:t>
      </w:r>
      <w:r>
        <w:rPr>
          <w:sz w:val="24"/>
          <w:szCs w:val="24"/>
        </w:rPr>
        <w:t>采用钻孔内窥法检查套筒内的钢筋插入情况时，</w:t>
      </w:r>
      <w:r>
        <w:rPr>
          <w:color w:val="000000" w:themeColor="text1"/>
          <w:sz w:val="24"/>
          <w:szCs w:val="24"/>
          <w14:textFill>
            <w14:solidFill>
              <w14:schemeClr w14:val="tx1"/>
            </w14:solidFill>
          </w14:textFill>
        </w:rPr>
        <w:t>应按本标准附录G的有关规定执行。</w:t>
      </w:r>
    </w:p>
    <w:p>
      <w:pPr>
        <w:spacing w:before="120" w:line="360" w:lineRule="auto"/>
        <w:rPr>
          <w:color w:val="000000" w:themeColor="text1"/>
          <w:sz w:val="24"/>
          <w:szCs w:val="24"/>
          <w14:textFill>
            <w14:solidFill>
              <w14:schemeClr w14:val="tx1"/>
            </w14:solidFill>
          </w14:textFill>
        </w:rPr>
      </w:pPr>
      <w:r>
        <w:rPr>
          <w:b/>
          <w:sz w:val="24"/>
          <w:szCs w:val="24"/>
        </w:rPr>
        <w:t xml:space="preserve">6.4.3  </w:t>
      </w:r>
      <w:r>
        <w:rPr>
          <w:sz w:val="24"/>
          <w:szCs w:val="24"/>
        </w:rPr>
        <w:t>采用X射线成像法检测套筒内钢筋插入长度时，应按本标准附录H的有关规定执行。</w:t>
      </w:r>
      <w:r>
        <w:rPr>
          <w:b/>
          <w:bCs/>
          <w:kern w:val="44"/>
          <w:sz w:val="24"/>
          <w:szCs w:val="24"/>
        </w:rPr>
        <w:br w:type="page"/>
      </w:r>
    </w:p>
    <w:p>
      <w:pPr>
        <w:keepNext/>
        <w:keepLines/>
        <w:spacing w:before="240" w:beforeLines="100" w:after="120" w:afterLines="50" w:line="400" w:lineRule="exact"/>
        <w:jc w:val="center"/>
        <w:outlineLvl w:val="0"/>
        <w:rPr>
          <w:b/>
          <w:kern w:val="44"/>
          <w:sz w:val="28"/>
          <w:szCs w:val="28"/>
        </w:rPr>
      </w:pPr>
      <w:bookmarkStart w:id="110" w:name="_Toc120020295"/>
      <w:r>
        <w:rPr>
          <w:b/>
          <w:kern w:val="44"/>
          <w:sz w:val="28"/>
          <w:szCs w:val="28"/>
        </w:rPr>
        <w:t>7  装配式混凝土外墙拼缝连接</w:t>
      </w:r>
      <w:bookmarkEnd w:id="110"/>
      <w:r>
        <w:rPr>
          <w:b/>
          <w:kern w:val="44"/>
          <w:sz w:val="30"/>
          <w:szCs w:val="30"/>
        </w:rPr>
        <w:fldChar w:fldCharType="begin"/>
      </w:r>
      <w:r>
        <w:rPr>
          <w:b/>
          <w:kern w:val="44"/>
          <w:sz w:val="30"/>
          <w:szCs w:val="30"/>
        </w:rPr>
        <w:instrText xml:space="preserve"> TC  "</w:instrText>
      </w:r>
      <w:bookmarkStart w:id="111" w:name="_Toc108470243"/>
      <w:bookmarkStart w:id="112" w:name="_Toc135038279"/>
      <w:r>
        <w:rPr>
          <w:b/>
          <w:kern w:val="44"/>
          <w:sz w:val="30"/>
          <w:szCs w:val="30"/>
        </w:rPr>
        <w:instrText xml:space="preserve">7  Precast concrete exterior wall </w:instrText>
      </w:r>
      <w:bookmarkEnd w:id="111"/>
      <w:r>
        <w:rPr>
          <w:b/>
          <w:kern w:val="44"/>
          <w:sz w:val="30"/>
          <w:szCs w:val="30"/>
        </w:rPr>
        <w:instrText xml:space="preserve">joints</w:instrText>
      </w:r>
      <w:bookmarkEnd w:id="112"/>
      <w:r>
        <w:rPr>
          <w:b/>
          <w:kern w:val="44"/>
          <w:sz w:val="30"/>
          <w:szCs w:val="30"/>
        </w:rPr>
        <w:instrText xml:space="preserve">" \l 1 </w:instrText>
      </w:r>
      <w:r>
        <w:rPr>
          <w:b/>
          <w:kern w:val="44"/>
          <w:sz w:val="30"/>
          <w:szCs w:val="30"/>
        </w:rPr>
        <w:fldChar w:fldCharType="end"/>
      </w:r>
    </w:p>
    <w:p>
      <w:pPr>
        <w:keepNext/>
        <w:keepLines/>
        <w:spacing w:before="120" w:beforeLines="50" w:after="120" w:afterLines="50" w:line="400" w:lineRule="exact"/>
        <w:jc w:val="center"/>
        <w:outlineLvl w:val="1"/>
        <w:rPr>
          <w:b/>
          <w:kern w:val="0"/>
          <w:sz w:val="24"/>
          <w:szCs w:val="24"/>
        </w:rPr>
      </w:pPr>
      <w:bookmarkStart w:id="113" w:name="_Toc120020296"/>
      <w:r>
        <w:rPr>
          <w:b/>
          <w:kern w:val="0"/>
          <w:sz w:val="24"/>
          <w:szCs w:val="24"/>
        </w:rPr>
        <w:t>7.1  混凝土外墙拼缝的密封胶粘结质量</w:t>
      </w:r>
      <w:bookmarkEnd w:id="113"/>
      <w:r>
        <w:rPr>
          <w:rFonts w:eastAsia="黑体"/>
          <w:b/>
          <w:kern w:val="0"/>
          <w:sz w:val="28"/>
        </w:rPr>
        <w:fldChar w:fldCharType="begin"/>
      </w:r>
      <w:r>
        <w:rPr>
          <w:rFonts w:eastAsia="黑体"/>
          <w:b/>
          <w:kern w:val="0"/>
          <w:sz w:val="28"/>
        </w:rPr>
        <w:instrText xml:space="preserve"> TC  "</w:instrText>
      </w:r>
      <w:bookmarkStart w:id="114" w:name="_Toc135038280"/>
      <w:bookmarkStart w:id="115" w:name="_Toc108470244"/>
      <w:r>
        <w:rPr>
          <w:rFonts w:eastAsia="黑体"/>
          <w:b/>
          <w:kern w:val="0"/>
          <w:sz w:val="28"/>
        </w:rPr>
        <w:instrText xml:space="preserve">7.1  Bond quality of caulking sealant</w:instrText>
      </w:r>
      <w:bookmarkEnd w:id="114"/>
      <w:r>
        <w:rPr>
          <w:rFonts w:eastAsia="黑体"/>
          <w:b/>
          <w:kern w:val="0"/>
          <w:sz w:val="28"/>
        </w:rPr>
        <w:instrText xml:space="preserve"> </w:instrText>
      </w:r>
      <w:bookmarkEnd w:id="115"/>
      <w:r>
        <w:rPr>
          <w:rFonts w:eastAsia="黑体"/>
          <w:b/>
          <w:kern w:val="0"/>
          <w:sz w:val="28"/>
        </w:rPr>
        <w:instrText xml:space="preserve">" \l 2 </w:instrText>
      </w:r>
      <w:r>
        <w:rPr>
          <w:rFonts w:eastAsia="黑体"/>
          <w:b/>
          <w:kern w:val="0"/>
          <w:sz w:val="28"/>
        </w:rPr>
        <w:fldChar w:fldCharType="end"/>
      </w:r>
    </w:p>
    <w:p>
      <w:pPr>
        <w:adjustRightInd w:val="0"/>
        <w:snapToGrid w:val="0"/>
        <w:spacing w:line="360" w:lineRule="auto"/>
        <w:rPr>
          <w:sz w:val="24"/>
          <w:szCs w:val="24"/>
        </w:rPr>
      </w:pPr>
      <w:r>
        <w:rPr>
          <w:b/>
          <w:bCs/>
          <w:sz w:val="24"/>
          <w:szCs w:val="24"/>
        </w:rPr>
        <w:t xml:space="preserve">7.1.1  </w:t>
      </w:r>
      <w:r>
        <w:rPr>
          <w:sz w:val="24"/>
          <w:szCs w:val="24"/>
        </w:rPr>
        <w:t>混凝土外墙拼缝的密封胶粘结质量可采用现场剥离法进行检测，并应符合下列规定：</w:t>
      </w:r>
    </w:p>
    <w:p>
      <w:pPr>
        <w:adjustRightInd w:val="0"/>
        <w:snapToGrid w:val="0"/>
        <w:spacing w:line="360" w:lineRule="auto"/>
        <w:ind w:firstLine="481" w:firstLineChars="200"/>
        <w:rPr>
          <w:sz w:val="24"/>
          <w:szCs w:val="24"/>
        </w:rPr>
      </w:pPr>
      <w:r>
        <w:rPr>
          <w:b/>
          <w:bCs/>
          <w:sz w:val="24"/>
          <w:szCs w:val="24"/>
        </w:rPr>
        <w:t xml:space="preserve">1  </w:t>
      </w:r>
      <w:r>
        <w:rPr>
          <w:sz w:val="24"/>
          <w:szCs w:val="24"/>
        </w:rPr>
        <w:t>检测应在密封胶完全固化后进行；</w:t>
      </w:r>
    </w:p>
    <w:p>
      <w:pPr>
        <w:adjustRightInd w:val="0"/>
        <w:snapToGrid w:val="0"/>
        <w:spacing w:line="360" w:lineRule="auto"/>
        <w:ind w:firstLine="481" w:firstLineChars="200"/>
        <w:rPr>
          <w:sz w:val="24"/>
          <w:szCs w:val="24"/>
        </w:rPr>
      </w:pPr>
      <w:r>
        <w:rPr>
          <w:b/>
          <w:bCs/>
          <w:sz w:val="24"/>
          <w:szCs w:val="24"/>
        </w:rPr>
        <w:t xml:space="preserve">2  </w:t>
      </w:r>
      <w:r>
        <w:rPr>
          <w:color w:val="000000" w:themeColor="text1"/>
          <w:sz w:val="24"/>
          <w:szCs w:val="24"/>
          <w14:textFill>
            <w14:solidFill>
              <w14:schemeClr w14:val="tx1"/>
            </w14:solidFill>
          </w14:textFill>
        </w:rPr>
        <w:t>同一外立面</w:t>
      </w:r>
      <w:r>
        <w:rPr>
          <w:sz w:val="24"/>
          <w:szCs w:val="24"/>
        </w:rPr>
        <w:t>累计长度500m拼缝应作为一个检测批，不足500m时也应作为一个检测批，每个检测批应选取3处拼缝进行检测，且应至少包含1处水平缝；</w:t>
      </w:r>
    </w:p>
    <w:p>
      <w:pPr>
        <w:adjustRightInd w:val="0"/>
        <w:snapToGrid w:val="0"/>
        <w:spacing w:line="360" w:lineRule="auto"/>
        <w:ind w:firstLine="481" w:firstLineChars="200"/>
        <w:rPr>
          <w:sz w:val="24"/>
          <w:szCs w:val="24"/>
        </w:rPr>
      </w:pPr>
      <w:r>
        <w:rPr>
          <w:b/>
          <w:bCs/>
          <w:sz w:val="24"/>
          <w:szCs w:val="24"/>
        </w:rPr>
        <w:t xml:space="preserve">3  </w:t>
      </w:r>
      <w:r>
        <w:rPr>
          <w:sz w:val="24"/>
          <w:szCs w:val="24"/>
        </w:rPr>
        <w:t>检测应在（5~35）</w:t>
      </w:r>
      <w:r>
        <w:rPr>
          <w:rFonts w:hint="eastAsia" w:ascii="宋体" w:hAnsi="宋体" w:cs="宋体"/>
          <w:sz w:val="24"/>
          <w:szCs w:val="24"/>
        </w:rPr>
        <w:t>℃</w:t>
      </w:r>
      <w:r>
        <w:rPr>
          <w:sz w:val="24"/>
          <w:szCs w:val="24"/>
        </w:rPr>
        <w:t>的气温环境下进行；</w:t>
      </w:r>
    </w:p>
    <w:p>
      <w:pPr>
        <w:adjustRightInd w:val="0"/>
        <w:snapToGrid w:val="0"/>
        <w:spacing w:line="360" w:lineRule="auto"/>
        <w:ind w:firstLine="481" w:firstLineChars="200"/>
        <w:rPr>
          <w:sz w:val="24"/>
          <w:szCs w:val="24"/>
        </w:rPr>
      </w:pPr>
      <w:r>
        <w:rPr>
          <w:b/>
          <w:bCs/>
          <w:sz w:val="24"/>
          <w:szCs w:val="24"/>
        </w:rPr>
        <w:t xml:space="preserve">4  </w:t>
      </w:r>
      <w:r>
        <w:rPr>
          <w:sz w:val="24"/>
          <w:szCs w:val="24"/>
        </w:rPr>
        <w:t>检测过程中应采取必要的安全保障措施。</w:t>
      </w:r>
    </w:p>
    <w:p>
      <w:pPr>
        <w:adjustRightInd w:val="0"/>
        <w:snapToGrid w:val="0"/>
        <w:spacing w:line="360" w:lineRule="auto"/>
        <w:rPr>
          <w:sz w:val="24"/>
          <w:szCs w:val="24"/>
        </w:rPr>
      </w:pPr>
      <w:r>
        <w:rPr>
          <w:b/>
          <w:bCs/>
          <w:sz w:val="24"/>
          <w:szCs w:val="24"/>
        </w:rPr>
        <w:t xml:space="preserve">7.1.2 </w:t>
      </w:r>
      <w:r>
        <w:rPr>
          <w:bCs/>
          <w:sz w:val="24"/>
          <w:szCs w:val="24"/>
        </w:rPr>
        <w:t xml:space="preserve"> 密封胶现场剥离法检测的</w:t>
      </w:r>
      <w:r>
        <w:rPr>
          <w:sz w:val="24"/>
          <w:szCs w:val="24"/>
        </w:rPr>
        <w:t>设备及辅助工具应符合下列规定：</w:t>
      </w:r>
    </w:p>
    <w:p>
      <w:pPr>
        <w:tabs>
          <w:tab w:val="left" w:pos="709"/>
          <w:tab w:val="left" w:pos="6020"/>
        </w:tabs>
        <w:spacing w:line="360" w:lineRule="auto"/>
        <w:ind w:firstLine="472" w:firstLineChars="196"/>
        <w:rPr>
          <w:sz w:val="24"/>
          <w:szCs w:val="24"/>
        </w:rPr>
      </w:pPr>
      <w:r>
        <w:rPr>
          <w:b/>
          <w:sz w:val="24"/>
          <w:szCs w:val="24"/>
        </w:rPr>
        <w:t xml:space="preserve">1  </w:t>
      </w:r>
      <w:r>
        <w:rPr>
          <w:sz w:val="24"/>
          <w:szCs w:val="24"/>
        </w:rPr>
        <w:t>检测设备应具有夹持密封胶的功能，并</w:t>
      </w:r>
      <w:r>
        <w:rPr>
          <w:color w:val="000000" w:themeColor="text1"/>
          <w:sz w:val="24"/>
          <w:szCs w:val="24"/>
          <w14:textFill>
            <w14:solidFill>
              <w14:schemeClr w14:val="tx1"/>
            </w14:solidFill>
          </w14:textFill>
        </w:rPr>
        <w:t>应满足</w:t>
      </w:r>
      <w:r>
        <w:rPr>
          <w:sz w:val="24"/>
          <w:szCs w:val="24"/>
        </w:rPr>
        <w:t>180°现场剥离试验的加载</w:t>
      </w:r>
      <w:r>
        <w:rPr>
          <w:color w:val="000000" w:themeColor="text1"/>
          <w:sz w:val="24"/>
          <w:szCs w:val="24"/>
          <w14:textFill>
            <w14:solidFill>
              <w14:schemeClr w14:val="tx1"/>
            </w14:solidFill>
          </w14:textFill>
        </w:rPr>
        <w:t>要求</w:t>
      </w:r>
      <w:r>
        <w:rPr>
          <w:sz w:val="24"/>
          <w:szCs w:val="24"/>
        </w:rPr>
        <w:t>；</w:t>
      </w:r>
    </w:p>
    <w:p>
      <w:pPr>
        <w:tabs>
          <w:tab w:val="left" w:pos="709"/>
          <w:tab w:val="left" w:pos="6020"/>
        </w:tabs>
        <w:spacing w:line="360" w:lineRule="auto"/>
        <w:ind w:firstLine="472" w:firstLineChars="196"/>
        <w:rPr>
          <w:sz w:val="24"/>
          <w:szCs w:val="24"/>
        </w:rPr>
      </w:pPr>
      <w:r>
        <w:rPr>
          <w:b/>
          <w:sz w:val="24"/>
          <w:szCs w:val="24"/>
        </w:rPr>
        <w:t xml:space="preserve">2  </w:t>
      </w:r>
      <w:r>
        <w:rPr>
          <w:sz w:val="24"/>
          <w:szCs w:val="24"/>
        </w:rPr>
        <w:t>切割工具的有效切割深度应大于密封胶的注胶深度；</w:t>
      </w:r>
    </w:p>
    <w:p>
      <w:pPr>
        <w:tabs>
          <w:tab w:val="left" w:pos="709"/>
          <w:tab w:val="left" w:pos="6020"/>
        </w:tabs>
        <w:spacing w:line="360" w:lineRule="auto"/>
        <w:ind w:firstLine="472" w:firstLineChars="196"/>
        <w:rPr>
          <w:sz w:val="24"/>
          <w:szCs w:val="24"/>
        </w:rPr>
      </w:pPr>
      <w:r>
        <w:rPr>
          <w:b/>
          <w:sz w:val="24"/>
          <w:szCs w:val="24"/>
        </w:rPr>
        <w:t xml:space="preserve">3  </w:t>
      </w:r>
      <w:r>
        <w:rPr>
          <w:sz w:val="24"/>
          <w:szCs w:val="24"/>
        </w:rPr>
        <w:t>可采用网格纸测量密封胶粘结破坏的面积。</w:t>
      </w:r>
    </w:p>
    <w:p>
      <w:pPr>
        <w:tabs>
          <w:tab w:val="left" w:pos="709"/>
          <w:tab w:val="left" w:pos="6020"/>
        </w:tabs>
        <w:spacing w:line="360" w:lineRule="auto"/>
        <w:rPr>
          <w:sz w:val="24"/>
          <w:szCs w:val="24"/>
        </w:rPr>
      </w:pPr>
      <w:r>
        <w:rPr>
          <w:b/>
          <w:sz w:val="24"/>
          <w:szCs w:val="24"/>
        </w:rPr>
        <w:t xml:space="preserve">7.1.3  </w:t>
      </w:r>
      <w:r>
        <w:rPr>
          <w:sz w:val="24"/>
          <w:szCs w:val="24"/>
        </w:rPr>
        <w:t>采用</w:t>
      </w:r>
      <w:r>
        <w:rPr>
          <w:bCs/>
          <w:sz w:val="24"/>
          <w:szCs w:val="24"/>
        </w:rPr>
        <w:t>现场剥离法对</w:t>
      </w:r>
      <w:r>
        <w:rPr>
          <w:sz w:val="24"/>
          <w:szCs w:val="24"/>
        </w:rPr>
        <w:t>外墙拼缝的密封胶粘结质量进行</w:t>
      </w:r>
      <w:r>
        <w:rPr>
          <w:bCs/>
          <w:sz w:val="24"/>
          <w:szCs w:val="24"/>
        </w:rPr>
        <w:t>检测</w:t>
      </w:r>
      <w:r>
        <w:rPr>
          <w:sz w:val="24"/>
          <w:szCs w:val="24"/>
        </w:rPr>
        <w:t>时，应符合下列规定：</w:t>
      </w:r>
    </w:p>
    <w:p>
      <w:pPr>
        <w:tabs>
          <w:tab w:val="left" w:pos="709"/>
          <w:tab w:val="left" w:pos="6020"/>
        </w:tabs>
        <w:spacing w:line="360" w:lineRule="auto"/>
        <w:ind w:firstLine="472" w:firstLineChars="196"/>
        <w:rPr>
          <w:sz w:val="24"/>
          <w:szCs w:val="24"/>
        </w:rPr>
      </w:pPr>
      <w:r>
        <w:rPr>
          <w:b/>
          <w:sz w:val="24"/>
          <w:szCs w:val="24"/>
        </w:rPr>
        <w:t xml:space="preserve">1  </w:t>
      </w:r>
      <w:r>
        <w:rPr>
          <w:sz w:val="24"/>
          <w:szCs w:val="24"/>
        </w:rPr>
        <w:t>应沿垂直于拼缝方向切断密封胶；</w:t>
      </w:r>
    </w:p>
    <w:p>
      <w:pPr>
        <w:tabs>
          <w:tab w:val="left" w:pos="709"/>
          <w:tab w:val="left" w:pos="6020"/>
        </w:tabs>
        <w:spacing w:line="360" w:lineRule="auto"/>
        <w:ind w:firstLine="472" w:firstLineChars="196"/>
        <w:rPr>
          <w:sz w:val="24"/>
          <w:szCs w:val="24"/>
        </w:rPr>
      </w:pPr>
      <w:r>
        <w:rPr>
          <w:b/>
          <w:sz w:val="24"/>
          <w:szCs w:val="24"/>
        </w:rPr>
        <w:t xml:space="preserve">2  </w:t>
      </w:r>
      <w:r>
        <w:rPr>
          <w:sz w:val="24"/>
          <w:szCs w:val="24"/>
        </w:rPr>
        <w:t>应在密封胶切断面的同一侧沿密封胶与两侧混凝土的粘结界面切割密封胶，沿缝切割长度不宜小于75mm，切割深度不应小于注胶深度；</w:t>
      </w:r>
    </w:p>
    <w:p>
      <w:pPr>
        <w:tabs>
          <w:tab w:val="left" w:pos="709"/>
          <w:tab w:val="left" w:pos="6020"/>
        </w:tabs>
        <w:spacing w:line="360" w:lineRule="auto"/>
        <w:ind w:firstLine="481" w:firstLineChars="200"/>
        <w:rPr>
          <w:sz w:val="24"/>
          <w:szCs w:val="24"/>
        </w:rPr>
      </w:pPr>
      <w:r>
        <w:rPr>
          <w:b/>
          <w:sz w:val="24"/>
          <w:szCs w:val="24"/>
        </w:rPr>
        <w:t xml:space="preserve">3  </w:t>
      </w:r>
      <w:r>
        <w:rPr>
          <w:sz w:val="24"/>
          <w:szCs w:val="24"/>
        </w:rPr>
        <w:t>夹持密封胶的一端进行180°剥离，剥离速率应为（50±10）mm/min，沿缝剥离长度不应小于150mm（图7.1.3）；</w:t>
      </w:r>
    </w:p>
    <w:p>
      <w:pPr>
        <w:tabs>
          <w:tab w:val="left" w:pos="709"/>
          <w:tab w:val="left" w:pos="6020"/>
        </w:tabs>
        <w:spacing w:line="360" w:lineRule="auto"/>
        <w:ind w:firstLine="472" w:firstLineChars="196"/>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4  </w:t>
      </w:r>
      <w:r>
        <w:rPr>
          <w:color w:val="000000" w:themeColor="text1"/>
          <w:sz w:val="24"/>
          <w:szCs w:val="24"/>
          <w14:textFill>
            <w14:solidFill>
              <w14:schemeClr w14:val="tx1"/>
            </w14:solidFill>
          </w14:textFill>
        </w:rPr>
        <w:t>可采用网格纸测量密封胶与两侧混凝土之间粘结破坏的面积并计算粘结破坏面积百分比，</w:t>
      </w:r>
      <w:r>
        <w:rPr>
          <w:sz w:val="24"/>
          <w:szCs w:val="24"/>
        </w:rPr>
        <w:t>应</w:t>
      </w:r>
      <w:r>
        <w:rPr>
          <w:color w:val="000000" w:themeColor="text1"/>
          <w:sz w:val="24"/>
          <w:szCs w:val="24"/>
          <w14:textFill>
            <w14:solidFill>
              <w14:schemeClr w14:val="tx1"/>
            </w14:solidFill>
          </w14:textFill>
        </w:rPr>
        <w:t>精确至1%。</w:t>
      </w:r>
    </w:p>
    <w:p>
      <w:pPr>
        <w:pStyle w:val="52"/>
        <w:ind w:firstLine="0" w:firstLineChars="0"/>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2061845" cy="2519680"/>
            <wp:effectExtent l="0" t="0" r="0" b="0"/>
            <wp:docPr id="1"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true" noChangeArrowheads="true"/>
                    </pic:cNvPicPr>
                  </pic:nvPicPr>
                  <pic:blipFill>
                    <a:blip r:embed="rId107" cstate="print">
                      <a:extLst>
                        <a:ext uri="{28A0092B-C50C-407E-A947-70E740481C1C}">
                          <a14:useLocalDpi xmlns:a14="http://schemas.microsoft.com/office/drawing/2010/main" val="false"/>
                        </a:ext>
                      </a:extLst>
                    </a:blip>
                    <a:srcRect/>
                    <a:stretch>
                      <a:fillRect/>
                    </a:stretch>
                  </pic:blipFill>
                  <pic:spPr>
                    <a:xfrm>
                      <a:off x="0" y="0"/>
                      <a:ext cx="2062089" cy="2520000"/>
                    </a:xfrm>
                    <a:prstGeom prst="rect">
                      <a:avLst/>
                    </a:prstGeom>
                    <a:noFill/>
                    <a:ln>
                      <a:noFill/>
                    </a:ln>
                  </pic:spPr>
                </pic:pic>
              </a:graphicData>
            </a:graphic>
          </wp:inline>
        </w:drawing>
      </w:r>
    </w:p>
    <w:p>
      <w:pPr>
        <w:spacing w:before="120" w:beforeLines="50" w:after="120" w:afterLines="5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1—密封胶；2—背衬材料；3—混凝土墙</w:t>
      </w:r>
    </w:p>
    <w:p>
      <w:pPr>
        <w:spacing w:before="120" w:beforeLines="50" w:after="240" w:afterLines="10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图7.1.3 密封胶现场剥离法检测示意图</w:t>
      </w:r>
    </w:p>
    <w:p>
      <w:pPr>
        <w:pStyle w:val="52"/>
        <w:spacing w:line="360" w:lineRule="auto"/>
        <w:ind w:firstLine="0" w:firstLineChars="0"/>
        <w:rPr>
          <w:rFonts w:ascii="Times New Roman" w:hAnsi="Times New Roman" w:cs="Times New Roman"/>
          <w:b/>
          <w:sz w:val="24"/>
          <w:szCs w:val="24"/>
        </w:rPr>
      </w:pPr>
      <w:r>
        <w:rPr>
          <w:rFonts w:ascii="Times New Roman" w:hAnsi="Times New Roman" w:cs="Times New Roman"/>
          <w:b/>
          <w:sz w:val="24"/>
          <w:szCs w:val="24"/>
        </w:rPr>
        <w:t xml:space="preserve">7.1.4  </w:t>
      </w:r>
      <w:r>
        <w:rPr>
          <w:rFonts w:ascii="Times New Roman" w:hAnsi="Times New Roman" w:eastAsia="宋体" w:cs="Times New Roman"/>
          <w:sz w:val="24"/>
          <w:szCs w:val="24"/>
        </w:rPr>
        <w:t>密封胶粘结质量检测结果的判定应符合下列规定：</w:t>
      </w:r>
    </w:p>
    <w:p>
      <w:pPr>
        <w:pStyle w:val="52"/>
        <w:spacing w:line="360" w:lineRule="auto"/>
        <w:ind w:firstLine="482"/>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 xml:space="preserve">1  </w:t>
      </w:r>
      <w:r>
        <w:rPr>
          <w:rFonts w:ascii="Times New Roman" w:hAnsi="Times New Roman" w:eastAsia="宋体" w:cs="Times New Roman"/>
          <w:color w:val="000000" w:themeColor="text1"/>
          <w:sz w:val="24"/>
          <w:szCs w:val="24"/>
          <w14:textFill>
            <w14:solidFill>
              <w14:schemeClr w14:val="tx1"/>
            </w14:solidFill>
          </w14:textFill>
        </w:rPr>
        <w:t>当粘结破坏面积百分比不大于20%时，应判定粘结质量符合要求；</w:t>
      </w:r>
    </w:p>
    <w:p>
      <w:pPr>
        <w:pStyle w:val="52"/>
        <w:spacing w:line="360" w:lineRule="auto"/>
        <w:ind w:firstLine="482"/>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当粘结破坏面积百分比大于20%时，应判定粘结质量不符合要求；</w:t>
      </w:r>
    </w:p>
    <w:p>
      <w:pPr>
        <w:pStyle w:val="52"/>
        <w:spacing w:line="360" w:lineRule="auto"/>
        <w:ind w:firstLine="482"/>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3</w:t>
      </w:r>
      <w:r>
        <w:rPr>
          <w:rFonts w:ascii="Times New Roman" w:hAnsi="Times New Roman" w:eastAsia="宋体" w:cs="Times New Roman"/>
          <w:color w:val="000000" w:themeColor="text1"/>
          <w:sz w:val="24"/>
          <w:szCs w:val="24"/>
          <w14:textFill>
            <w14:solidFill>
              <w14:schemeClr w14:val="tx1"/>
            </w14:solidFill>
          </w14:textFill>
        </w:rPr>
        <w:t xml:space="preserve">  在胶体质量合格的情况下，若在剥离过程中发生胶体断裂，应判定粘结质量符合要求；</w:t>
      </w:r>
    </w:p>
    <w:p>
      <w:pPr>
        <w:pStyle w:val="52"/>
        <w:spacing w:line="360" w:lineRule="auto"/>
        <w:ind w:firstLine="482"/>
        <w:rPr>
          <w:rFonts w:ascii="Times New Roman" w:hAnsi="Times New Roman" w:eastAsia="宋体" w:cs="Times New Roman"/>
          <w:sz w:val="24"/>
          <w:szCs w:val="24"/>
        </w:rPr>
      </w:pPr>
      <w:r>
        <w:rPr>
          <w:rFonts w:ascii="Times New Roman" w:hAnsi="Times New Roman" w:eastAsia="宋体" w:cs="Times New Roman"/>
          <w:b/>
          <w:sz w:val="24"/>
          <w:szCs w:val="24"/>
        </w:rPr>
        <w:t xml:space="preserve">4  </w:t>
      </w:r>
      <w:r>
        <w:rPr>
          <w:rFonts w:ascii="Times New Roman" w:hAnsi="Times New Roman" w:eastAsia="宋体" w:cs="Times New Roman"/>
          <w:sz w:val="24"/>
          <w:szCs w:val="24"/>
        </w:rPr>
        <w:t>当3处</w:t>
      </w:r>
      <w:r>
        <w:rPr>
          <w:rFonts w:ascii="Times New Roman" w:hAnsi="Times New Roman" w:cs="Times New Roman"/>
          <w:sz w:val="24"/>
          <w:szCs w:val="24"/>
        </w:rPr>
        <w:t>拼缝</w:t>
      </w:r>
      <w:r>
        <w:rPr>
          <w:rFonts w:ascii="Times New Roman" w:hAnsi="Times New Roman" w:eastAsia="宋体" w:cs="Times New Roman"/>
          <w:sz w:val="24"/>
          <w:szCs w:val="24"/>
        </w:rPr>
        <w:t>均符合要求，应判定检测批粘结质量符合要求；当有2处及以上拼缝不符合要求时，应判定检测批粘结质量不符合要求；当只有1处拼缝不符合要求时，应再另选取2处拼缝进行复检，当另选的2处拼缝均符合要求，应判定检测批粘结质量符合要求，当另选2处拼缝中仍有不符合要求的拼缝，应判定检测批粘结质量不符合要求。</w:t>
      </w:r>
    </w:p>
    <w:p>
      <w:pPr>
        <w:pStyle w:val="52"/>
        <w:spacing w:line="360" w:lineRule="auto"/>
        <w:ind w:firstLine="0" w:firstLineChars="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7.1.5  </w:t>
      </w:r>
      <w:r>
        <w:rPr>
          <w:rFonts w:ascii="Times New Roman" w:hAnsi="Times New Roman" w:cs="Times New Roman"/>
          <w:color w:val="000000" w:themeColor="text1"/>
          <w:sz w:val="24"/>
          <w:szCs w:val="24"/>
          <w14:textFill>
            <w14:solidFill>
              <w14:schemeClr w14:val="tx1"/>
            </w14:solidFill>
          </w14:textFill>
        </w:rPr>
        <w:t>现场检测工作结束后，应对被</w:t>
      </w:r>
      <w:r>
        <w:rPr>
          <w:rFonts w:ascii="Times New Roman" w:hAnsi="Times New Roman" w:eastAsia="宋体" w:cs="Times New Roman"/>
          <w:color w:val="000000" w:themeColor="text1"/>
          <w:sz w:val="24"/>
          <w:szCs w:val="24"/>
          <w14:textFill>
            <w14:solidFill>
              <w14:schemeClr w14:val="tx1"/>
            </w14:solidFill>
          </w14:textFill>
        </w:rPr>
        <w:t>剥离部位的拼缝进行修复处理。</w:t>
      </w:r>
    </w:p>
    <w:p>
      <w:pPr>
        <w:keepNext/>
        <w:keepLines/>
        <w:spacing w:before="120" w:beforeLines="50" w:after="120" w:afterLines="50" w:line="400" w:lineRule="exact"/>
        <w:jc w:val="center"/>
        <w:outlineLvl w:val="1"/>
        <w:rPr>
          <w:b/>
          <w:kern w:val="0"/>
          <w:sz w:val="24"/>
          <w:szCs w:val="24"/>
        </w:rPr>
      </w:pPr>
      <w:bookmarkStart w:id="116" w:name="_Toc120020297"/>
      <w:r>
        <w:rPr>
          <w:b/>
          <w:kern w:val="0"/>
          <w:sz w:val="24"/>
          <w:szCs w:val="24"/>
        </w:rPr>
        <w:t>7.2  混凝土外墙拼缝的防水质量</w:t>
      </w:r>
      <w:bookmarkEnd w:id="116"/>
      <w:r>
        <w:rPr>
          <w:rFonts w:eastAsia="黑体"/>
          <w:b/>
          <w:kern w:val="0"/>
          <w:sz w:val="28"/>
        </w:rPr>
        <w:fldChar w:fldCharType="begin"/>
      </w:r>
      <w:r>
        <w:rPr>
          <w:rFonts w:eastAsia="黑体"/>
          <w:b/>
          <w:kern w:val="0"/>
          <w:sz w:val="28"/>
        </w:rPr>
        <w:instrText xml:space="preserve"> TC  "</w:instrText>
      </w:r>
      <w:bookmarkStart w:id="117" w:name="_Toc135038281"/>
      <w:bookmarkStart w:id="118" w:name="_Toc108470245"/>
      <w:r>
        <w:rPr>
          <w:rFonts w:eastAsia="黑体"/>
          <w:b/>
          <w:kern w:val="0"/>
          <w:sz w:val="28"/>
        </w:rPr>
        <w:instrText xml:space="preserve">7.2  Waterproof quality of exterior concrete wall joints</w:instrText>
      </w:r>
      <w:bookmarkEnd w:id="117"/>
      <w:bookmarkEnd w:id="118"/>
      <w:r>
        <w:rPr>
          <w:rFonts w:eastAsia="黑体"/>
          <w:b/>
          <w:kern w:val="0"/>
          <w:sz w:val="28"/>
        </w:rPr>
        <w:instrText xml:space="preserve">" \l 2 </w:instrText>
      </w:r>
      <w:r>
        <w:rPr>
          <w:rFonts w:eastAsia="黑体"/>
          <w:b/>
          <w:kern w:val="0"/>
          <w:sz w:val="28"/>
        </w:rPr>
        <w:fldChar w:fldCharType="end"/>
      </w:r>
    </w:p>
    <w:p>
      <w:pPr>
        <w:spacing w:line="360" w:lineRule="auto"/>
        <w:rPr>
          <w:sz w:val="24"/>
          <w:szCs w:val="24"/>
        </w:rPr>
      </w:pPr>
      <w:r>
        <w:rPr>
          <w:b/>
          <w:sz w:val="24"/>
          <w:szCs w:val="24"/>
        </w:rPr>
        <w:t xml:space="preserve">7.2.1  </w:t>
      </w:r>
      <w:r>
        <w:rPr>
          <w:bCs/>
          <w:sz w:val="24"/>
          <w:szCs w:val="24"/>
        </w:rPr>
        <w:t>外墙拼缝防水质量可采用现场淋水试验进行检测，并</w:t>
      </w:r>
      <w:r>
        <w:rPr>
          <w:sz w:val="24"/>
          <w:szCs w:val="24"/>
        </w:rPr>
        <w:t>应符合下列规定：</w:t>
      </w:r>
    </w:p>
    <w:p>
      <w:pPr>
        <w:spacing w:line="360" w:lineRule="auto"/>
        <w:ind w:firstLine="481" w:firstLineChars="200"/>
        <w:rPr>
          <w:sz w:val="24"/>
          <w:szCs w:val="24"/>
        </w:rPr>
      </w:pPr>
      <w:r>
        <w:rPr>
          <w:b/>
          <w:bCs/>
          <w:sz w:val="24"/>
          <w:szCs w:val="24"/>
        </w:rPr>
        <w:t xml:space="preserve">1  </w:t>
      </w:r>
      <w:r>
        <w:rPr>
          <w:sz w:val="24"/>
          <w:szCs w:val="24"/>
        </w:rPr>
        <w:t>检测应在外墙拼缝施工完成且密封胶固化后进行，并应关闭窗户、封闭各种预留洞口；</w:t>
      </w:r>
    </w:p>
    <w:p>
      <w:pPr>
        <w:spacing w:line="360" w:lineRule="auto"/>
        <w:ind w:firstLine="481" w:firstLineChars="200"/>
        <w:rPr>
          <w:sz w:val="24"/>
          <w:szCs w:val="24"/>
        </w:rPr>
      </w:pPr>
      <w:r>
        <w:rPr>
          <w:b/>
          <w:bCs/>
          <w:sz w:val="24"/>
          <w:szCs w:val="24"/>
        </w:rPr>
        <w:t xml:space="preserve">2  </w:t>
      </w:r>
      <w:r>
        <w:rPr>
          <w:bCs/>
          <w:sz w:val="24"/>
          <w:szCs w:val="24"/>
        </w:rPr>
        <w:t>对于设计、材料、工艺和施工条件相同的外墙，同一检测批内的外墙不应超过两个楼层</w:t>
      </w:r>
      <w:r>
        <w:rPr>
          <w:sz w:val="24"/>
          <w:szCs w:val="24"/>
        </w:rPr>
        <w:t>；</w:t>
      </w:r>
    </w:p>
    <w:p>
      <w:pPr>
        <w:spacing w:line="360" w:lineRule="auto"/>
        <w:ind w:firstLine="481" w:firstLineChars="200"/>
        <w:rPr>
          <w:sz w:val="24"/>
          <w:szCs w:val="24"/>
        </w:rPr>
      </w:pPr>
      <w:r>
        <w:rPr>
          <w:b/>
          <w:bCs/>
          <w:color w:val="000000" w:themeColor="text1"/>
          <w:sz w:val="24"/>
          <w:szCs w:val="24"/>
          <w14:textFill>
            <w14:solidFill>
              <w14:schemeClr w14:val="tx1"/>
            </w14:solidFill>
          </w14:textFill>
        </w:rPr>
        <w:t xml:space="preserve">3  </w:t>
      </w:r>
      <w:r>
        <w:rPr>
          <w:bCs/>
          <w:color w:val="000000" w:themeColor="text1"/>
          <w:sz w:val="24"/>
          <w:szCs w:val="24"/>
          <w14:textFill>
            <w14:solidFill>
              <w14:schemeClr w14:val="tx1"/>
            </w14:solidFill>
          </w14:textFill>
        </w:rPr>
        <w:t>在同一</w:t>
      </w:r>
      <w:r>
        <w:rPr>
          <w:sz w:val="24"/>
          <w:szCs w:val="24"/>
        </w:rPr>
        <w:t>检测批的每个外立面应选取不少于3条</w:t>
      </w:r>
      <w:r>
        <w:rPr>
          <w:bCs/>
          <w:sz w:val="24"/>
          <w:szCs w:val="24"/>
        </w:rPr>
        <w:t>拼缝</w:t>
      </w:r>
      <w:r>
        <w:rPr>
          <w:sz w:val="24"/>
          <w:szCs w:val="24"/>
        </w:rPr>
        <w:t>，且应包括竖向</w:t>
      </w:r>
      <w:r>
        <w:rPr>
          <w:bCs/>
          <w:sz w:val="24"/>
          <w:szCs w:val="24"/>
        </w:rPr>
        <w:t>缝</w:t>
      </w:r>
      <w:r>
        <w:rPr>
          <w:sz w:val="24"/>
          <w:szCs w:val="24"/>
        </w:rPr>
        <w:t>和水平</w:t>
      </w:r>
      <w:r>
        <w:rPr>
          <w:bCs/>
          <w:sz w:val="24"/>
          <w:szCs w:val="24"/>
        </w:rPr>
        <w:t>缝</w:t>
      </w:r>
      <w:r>
        <w:rPr>
          <w:color w:val="000000" w:themeColor="text1"/>
          <w:sz w:val="24"/>
          <w:szCs w:val="24"/>
          <w14:textFill>
            <w14:solidFill>
              <w14:schemeClr w14:val="tx1"/>
            </w14:solidFill>
          </w14:textFill>
        </w:rPr>
        <w:t>；</w:t>
      </w:r>
    </w:p>
    <w:p>
      <w:pPr>
        <w:spacing w:line="360" w:lineRule="auto"/>
        <w:ind w:firstLine="481" w:firstLineChars="200"/>
        <w:rPr>
          <w:sz w:val="24"/>
          <w:szCs w:val="24"/>
        </w:rPr>
      </w:pPr>
      <w:r>
        <w:rPr>
          <w:b/>
          <w:bCs/>
          <w:sz w:val="24"/>
          <w:szCs w:val="24"/>
        </w:rPr>
        <w:t xml:space="preserve">4  </w:t>
      </w:r>
      <w:r>
        <w:rPr>
          <w:sz w:val="24"/>
          <w:szCs w:val="24"/>
        </w:rPr>
        <w:t>检测过程中应采取必要的安全防护措施。</w:t>
      </w:r>
    </w:p>
    <w:p>
      <w:pPr>
        <w:spacing w:before="120" w:line="360" w:lineRule="auto"/>
        <w:rPr>
          <w:sz w:val="24"/>
          <w:szCs w:val="24"/>
        </w:rPr>
      </w:pPr>
      <w:r>
        <w:rPr>
          <w:b/>
          <w:sz w:val="24"/>
          <w:szCs w:val="24"/>
        </w:rPr>
        <w:t xml:space="preserve">7.2.2  </w:t>
      </w:r>
      <w:r>
        <w:rPr>
          <w:sz w:val="24"/>
          <w:szCs w:val="24"/>
        </w:rPr>
        <w:t>在墙体的室外侧选定拼缝，淋水覆盖的拼缝长度应为1.5m，现场淋水试验应符合下列规定：</w:t>
      </w:r>
    </w:p>
    <w:p>
      <w:pPr>
        <w:tabs>
          <w:tab w:val="left" w:pos="709"/>
          <w:tab w:val="left" w:pos="6020"/>
        </w:tabs>
        <w:spacing w:line="360" w:lineRule="auto"/>
        <w:ind w:firstLine="472" w:firstLineChars="196"/>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1  </w:t>
      </w:r>
      <w:r>
        <w:rPr>
          <w:bCs/>
          <w:color w:val="000000" w:themeColor="text1"/>
          <w:sz w:val="24"/>
          <w:szCs w:val="24"/>
          <w14:textFill>
            <w14:solidFill>
              <w14:schemeClr w14:val="tx1"/>
            </w14:solidFill>
          </w14:textFill>
        </w:rPr>
        <w:t>喷嘴的出水口直径应为（6.0±0.2）mm</w:t>
      </w:r>
      <w:r>
        <w:rPr>
          <w:b/>
          <w:bCs/>
          <w:color w:val="000000" w:themeColor="text1"/>
          <w:sz w:val="24"/>
          <w:szCs w:val="24"/>
          <w14:textFill>
            <w14:solidFill>
              <w14:schemeClr w14:val="tx1"/>
            </w14:solidFill>
          </w14:textFill>
        </w:rPr>
        <w:t>，</w:t>
      </w:r>
      <w:r>
        <w:rPr>
          <w:bCs/>
          <w:color w:val="000000" w:themeColor="text1"/>
          <w:sz w:val="24"/>
          <w:szCs w:val="24"/>
          <w14:textFill>
            <w14:solidFill>
              <w14:schemeClr w14:val="tx1"/>
            </w14:solidFill>
          </w14:textFill>
        </w:rPr>
        <w:t>在275kPa水压力下的喷水角度不应大于80°；</w:t>
      </w:r>
    </w:p>
    <w:p>
      <w:pPr>
        <w:tabs>
          <w:tab w:val="left" w:pos="709"/>
          <w:tab w:val="left" w:pos="6020"/>
        </w:tabs>
        <w:spacing w:line="360" w:lineRule="auto"/>
        <w:ind w:firstLine="472" w:firstLineChars="196"/>
        <w:rPr>
          <w:sz w:val="24"/>
          <w:szCs w:val="24"/>
        </w:rPr>
      </w:pPr>
      <w:r>
        <w:rPr>
          <w:b/>
          <w:bCs/>
          <w:sz w:val="24"/>
          <w:szCs w:val="24"/>
        </w:rPr>
        <w:t xml:space="preserve">2  </w:t>
      </w:r>
      <w:r>
        <w:rPr>
          <w:bCs/>
          <w:sz w:val="24"/>
          <w:szCs w:val="24"/>
        </w:rPr>
        <w:t>与</w:t>
      </w:r>
      <w:r>
        <w:rPr>
          <w:sz w:val="24"/>
          <w:szCs w:val="24"/>
        </w:rPr>
        <w:t>喷嘴相连的水管公称直径应为20mm，且应配置控制阀和压力计；</w:t>
      </w:r>
    </w:p>
    <w:p>
      <w:pPr>
        <w:tabs>
          <w:tab w:val="left" w:pos="709"/>
          <w:tab w:val="left" w:pos="6020"/>
        </w:tabs>
        <w:spacing w:line="360" w:lineRule="auto"/>
        <w:ind w:firstLine="472" w:firstLineChars="196"/>
        <w:rPr>
          <w:sz w:val="24"/>
          <w:szCs w:val="24"/>
        </w:rPr>
      </w:pPr>
      <w:r>
        <w:rPr>
          <w:b/>
          <w:sz w:val="24"/>
          <w:szCs w:val="24"/>
        </w:rPr>
        <w:t>3</w:t>
      </w:r>
      <w:r>
        <w:rPr>
          <w:sz w:val="24"/>
          <w:szCs w:val="24"/>
        </w:rPr>
        <w:t xml:space="preserve">  喷嘴处的水压力值应控制在200kPa～235kPa之间；</w:t>
      </w:r>
    </w:p>
    <w:p>
      <w:pPr>
        <w:tabs>
          <w:tab w:val="left" w:pos="709"/>
          <w:tab w:val="left" w:pos="6020"/>
        </w:tabs>
        <w:spacing w:line="360" w:lineRule="auto"/>
        <w:ind w:firstLine="472" w:firstLineChars="196"/>
        <w:rPr>
          <w:sz w:val="24"/>
          <w:szCs w:val="24"/>
        </w:rPr>
      </w:pPr>
      <w:r>
        <w:rPr>
          <w:b/>
          <w:sz w:val="24"/>
          <w:szCs w:val="24"/>
        </w:rPr>
        <w:t>4</w:t>
      </w:r>
      <w:r>
        <w:rPr>
          <w:sz w:val="24"/>
          <w:szCs w:val="24"/>
        </w:rPr>
        <w:t xml:space="preserve">  喷嘴与墙体表面的距离应为（700±50）mm，应沿着与墙体表面垂直的方向对选定的拼缝进行喷水，在1.5m长度范围内连续往复喷水的时间不应少于5min；</w:t>
      </w:r>
    </w:p>
    <w:p>
      <w:pPr>
        <w:tabs>
          <w:tab w:val="left" w:pos="709"/>
          <w:tab w:val="left" w:pos="6020"/>
        </w:tabs>
        <w:spacing w:line="360" w:lineRule="auto"/>
        <w:ind w:firstLine="472" w:firstLineChars="196"/>
        <w:rPr>
          <w:sz w:val="24"/>
          <w:szCs w:val="24"/>
        </w:rPr>
      </w:pPr>
      <w:r>
        <w:rPr>
          <w:b/>
          <w:sz w:val="24"/>
          <w:szCs w:val="24"/>
        </w:rPr>
        <w:t>5</w:t>
      </w:r>
      <w:r>
        <w:rPr>
          <w:sz w:val="24"/>
          <w:szCs w:val="24"/>
        </w:rPr>
        <w:t xml:space="preserve">  喷水结束后，应在喷水部位的室内侧检查拼缝处有无渗漏，若存在渗漏现象，应记录渗漏的位置和特征；</w:t>
      </w:r>
    </w:p>
    <w:p>
      <w:pPr>
        <w:tabs>
          <w:tab w:val="left" w:pos="709"/>
          <w:tab w:val="left" w:pos="6020"/>
        </w:tabs>
        <w:spacing w:line="360" w:lineRule="auto"/>
        <w:ind w:firstLine="472" w:firstLineChars="196"/>
        <w:rPr>
          <w:sz w:val="24"/>
          <w:szCs w:val="24"/>
        </w:rPr>
      </w:pPr>
      <w:r>
        <w:rPr>
          <w:b/>
          <w:sz w:val="24"/>
          <w:szCs w:val="24"/>
        </w:rPr>
        <w:t>6</w:t>
      </w:r>
      <w:r>
        <w:rPr>
          <w:sz w:val="24"/>
          <w:szCs w:val="24"/>
        </w:rPr>
        <w:t xml:space="preserve">  对怀疑有渗漏的部位，可延长喷水时间。</w:t>
      </w:r>
    </w:p>
    <w:p>
      <w:pPr>
        <w:spacing w:line="360" w:lineRule="auto"/>
        <w:rPr>
          <w:sz w:val="24"/>
          <w:szCs w:val="24"/>
        </w:rPr>
      </w:pPr>
      <w:r>
        <w:rPr>
          <w:b/>
          <w:sz w:val="24"/>
          <w:szCs w:val="24"/>
        </w:rPr>
        <w:t>7.2.3</w:t>
      </w:r>
      <w:r>
        <w:rPr>
          <w:sz w:val="24"/>
          <w:szCs w:val="24"/>
        </w:rPr>
        <w:t xml:space="preserve">  对</w:t>
      </w:r>
      <w:r>
        <w:rPr>
          <w:bCs/>
          <w:sz w:val="24"/>
          <w:szCs w:val="24"/>
        </w:rPr>
        <w:t>外墙拼缝的</w:t>
      </w:r>
      <w:r>
        <w:rPr>
          <w:sz w:val="24"/>
          <w:szCs w:val="24"/>
        </w:rPr>
        <w:t>隐性渗漏部位，可采用红外热像仪进行检查，并应符合现行行业标准《建筑防水工程现场检测技术规范》JGJ/T 299的有关规定。</w:t>
      </w:r>
    </w:p>
    <w:p>
      <w:pPr>
        <w:spacing w:line="360" w:lineRule="auto"/>
        <w:rPr>
          <w:b/>
          <w:color w:val="000000" w:themeColor="text1"/>
          <w:sz w:val="22"/>
          <w:szCs w:val="24"/>
          <w14:textFill>
            <w14:solidFill>
              <w14:schemeClr w14:val="tx1"/>
            </w14:solidFill>
          </w14:textFill>
        </w:rPr>
      </w:pPr>
      <w:r>
        <w:rPr>
          <w:b/>
          <w:sz w:val="24"/>
          <w:szCs w:val="24"/>
        </w:rPr>
        <w:t>7.2.4</w:t>
      </w:r>
      <w:r>
        <w:rPr>
          <w:sz w:val="24"/>
          <w:szCs w:val="24"/>
        </w:rPr>
        <w:t xml:space="preserve">  当</w:t>
      </w:r>
      <w:r>
        <w:rPr>
          <w:bCs/>
          <w:sz w:val="24"/>
          <w:szCs w:val="24"/>
        </w:rPr>
        <w:t>拼缝处</w:t>
      </w:r>
      <w:r>
        <w:rPr>
          <w:sz w:val="24"/>
          <w:szCs w:val="24"/>
        </w:rPr>
        <w:t>的检查结</w:t>
      </w:r>
      <w:r>
        <w:rPr>
          <w:color w:val="000000" w:themeColor="text1"/>
          <w:sz w:val="24"/>
          <w:szCs w:val="24"/>
          <w14:textFill>
            <w14:solidFill>
              <w14:schemeClr w14:val="tx1"/>
            </w14:solidFill>
          </w14:textFill>
        </w:rPr>
        <w:t>果满足</w:t>
      </w:r>
      <w:r>
        <w:rPr>
          <w:sz w:val="24"/>
          <w:szCs w:val="24"/>
        </w:rPr>
        <w:t>下列要求时，应判定所检部位外墙拼缝的防水质量符合要求：</w:t>
      </w:r>
    </w:p>
    <w:p>
      <w:pPr>
        <w:spacing w:line="360" w:lineRule="auto"/>
        <w:ind w:firstLine="481" w:firstLineChars="200"/>
        <w:rPr>
          <w:b/>
          <w:bCs/>
          <w:sz w:val="24"/>
          <w:szCs w:val="24"/>
        </w:rPr>
      </w:pPr>
      <w:r>
        <w:rPr>
          <w:b/>
          <w:bCs/>
          <w:sz w:val="24"/>
          <w:szCs w:val="24"/>
        </w:rPr>
        <w:t xml:space="preserve">1  </w:t>
      </w:r>
      <w:r>
        <w:rPr>
          <w:bCs/>
          <w:sz w:val="24"/>
          <w:szCs w:val="24"/>
        </w:rPr>
        <w:t>拼缝处外侧密封胶无脱胶现象；</w:t>
      </w:r>
    </w:p>
    <w:p>
      <w:pPr>
        <w:spacing w:line="360" w:lineRule="auto"/>
        <w:ind w:firstLine="481" w:firstLineChars="200"/>
        <w:rPr>
          <w:b/>
          <w:bCs/>
          <w:sz w:val="24"/>
          <w:szCs w:val="24"/>
        </w:rPr>
      </w:pPr>
      <w:r>
        <w:rPr>
          <w:b/>
          <w:bCs/>
          <w:sz w:val="24"/>
          <w:szCs w:val="24"/>
        </w:rPr>
        <w:t xml:space="preserve">2  </w:t>
      </w:r>
      <w:r>
        <w:rPr>
          <w:bCs/>
          <w:sz w:val="24"/>
          <w:szCs w:val="24"/>
        </w:rPr>
        <w:t>拼缝处排水顺畅；</w:t>
      </w:r>
    </w:p>
    <w:p>
      <w:pPr>
        <w:spacing w:line="360" w:lineRule="auto"/>
        <w:ind w:firstLine="481" w:firstLineChars="200"/>
        <w:rPr>
          <w:bCs/>
          <w:sz w:val="24"/>
          <w:szCs w:val="24"/>
        </w:rPr>
      </w:pPr>
      <w:r>
        <w:rPr>
          <w:b/>
          <w:bCs/>
          <w:sz w:val="24"/>
          <w:szCs w:val="24"/>
        </w:rPr>
        <w:t xml:space="preserve">3  </w:t>
      </w:r>
      <w:r>
        <w:rPr>
          <w:bCs/>
          <w:sz w:val="24"/>
          <w:szCs w:val="24"/>
        </w:rPr>
        <w:t>拼缝处室内侧无渗漏、水印或水迹；</w:t>
      </w:r>
    </w:p>
    <w:p>
      <w:pPr>
        <w:spacing w:line="360" w:lineRule="auto"/>
        <w:ind w:firstLine="480" w:firstLineChars="200"/>
        <w:rPr>
          <w:b/>
          <w:bCs/>
          <w:sz w:val="24"/>
          <w:szCs w:val="24"/>
        </w:rPr>
      </w:pPr>
      <w:r>
        <w:rPr>
          <w:bCs/>
          <w:sz w:val="24"/>
          <w:szCs w:val="24"/>
        </w:rPr>
        <w:t>4  拼缝处无</w:t>
      </w:r>
      <w:r>
        <w:rPr>
          <w:sz w:val="24"/>
          <w:szCs w:val="24"/>
        </w:rPr>
        <w:t>隐性渗漏</w:t>
      </w:r>
      <w:r>
        <w:rPr>
          <w:bCs/>
          <w:sz w:val="24"/>
          <w:szCs w:val="24"/>
        </w:rPr>
        <w:t>。</w:t>
      </w:r>
    </w:p>
    <w:p>
      <w:pPr>
        <w:spacing w:line="360" w:lineRule="auto"/>
        <w:rPr>
          <w:sz w:val="24"/>
          <w:szCs w:val="24"/>
        </w:rPr>
      </w:pPr>
      <w:r>
        <w:rPr>
          <w:b/>
          <w:color w:val="000000" w:themeColor="text1"/>
          <w:sz w:val="24"/>
          <w:szCs w:val="24"/>
          <w14:textFill>
            <w14:solidFill>
              <w14:schemeClr w14:val="tx1"/>
            </w14:solidFill>
          </w14:textFill>
        </w:rPr>
        <w:t>7.2.5</w:t>
      </w:r>
      <w:r>
        <w:rPr>
          <w:color w:val="000000" w:themeColor="text1"/>
          <w:sz w:val="24"/>
          <w:szCs w:val="24"/>
          <w14:textFill>
            <w14:solidFill>
              <w14:schemeClr w14:val="tx1"/>
            </w14:solidFill>
          </w14:textFill>
        </w:rPr>
        <w:t xml:space="preserve">  当检测批内抽检部位所有</w:t>
      </w:r>
      <w:r>
        <w:rPr>
          <w:bCs/>
          <w:color w:val="000000" w:themeColor="text1"/>
          <w:sz w:val="24"/>
          <w:szCs w:val="24"/>
          <w14:textFill>
            <w14:solidFill>
              <w14:schemeClr w14:val="tx1"/>
            </w14:solidFill>
          </w14:textFill>
        </w:rPr>
        <w:t>拼缝</w:t>
      </w:r>
      <w:r>
        <w:rPr>
          <w:color w:val="000000" w:themeColor="text1"/>
          <w:sz w:val="24"/>
          <w:szCs w:val="24"/>
          <w14:textFill>
            <w14:solidFill>
              <w14:schemeClr w14:val="tx1"/>
            </w14:solidFill>
          </w14:textFill>
        </w:rPr>
        <w:t>的防水质量均符合要求时，应判定检测批外墙拼缝的防水质量符合要求。</w:t>
      </w:r>
    </w:p>
    <w:p>
      <w:pPr>
        <w:widowControl/>
        <w:spacing w:line="360" w:lineRule="auto"/>
        <w:jc w:val="left"/>
        <w:rPr>
          <w:b/>
          <w:bCs/>
          <w:kern w:val="44"/>
          <w:sz w:val="28"/>
          <w:szCs w:val="28"/>
        </w:rPr>
      </w:pPr>
      <w:bookmarkStart w:id="119" w:name="_Toc3749606"/>
      <w:bookmarkStart w:id="120" w:name="_Toc523731126"/>
      <w:bookmarkStart w:id="121" w:name="_Toc508117280"/>
      <w:r>
        <w:rPr>
          <w:b/>
          <w:bCs/>
          <w:kern w:val="44"/>
          <w:sz w:val="28"/>
          <w:szCs w:val="28"/>
        </w:rPr>
        <w:br w:type="page"/>
      </w:r>
    </w:p>
    <w:p>
      <w:pPr>
        <w:keepNext/>
        <w:keepLines/>
        <w:spacing w:before="240" w:beforeLines="100" w:after="240" w:afterLines="100" w:line="400" w:lineRule="exact"/>
        <w:jc w:val="center"/>
        <w:outlineLvl w:val="0"/>
        <w:rPr>
          <w:b/>
          <w:kern w:val="44"/>
          <w:sz w:val="28"/>
          <w:szCs w:val="28"/>
        </w:rPr>
      </w:pPr>
      <w:bookmarkStart w:id="122" w:name="_Toc120020298"/>
      <w:r>
        <w:rPr>
          <w:b/>
          <w:kern w:val="44"/>
          <w:sz w:val="28"/>
          <w:szCs w:val="28"/>
        </w:rPr>
        <w:t>附录A  直径50mm芯样钻芯法检测混凝土抗压强度</w:t>
      </w:r>
      <w:bookmarkEnd w:id="122"/>
      <w:r>
        <w:rPr>
          <w:b/>
          <w:kern w:val="44"/>
          <w:sz w:val="30"/>
          <w:szCs w:val="30"/>
        </w:rPr>
        <w:fldChar w:fldCharType="begin"/>
      </w:r>
      <w:r>
        <w:rPr>
          <w:b/>
          <w:kern w:val="44"/>
          <w:sz w:val="30"/>
          <w:szCs w:val="30"/>
        </w:rPr>
        <w:instrText xml:space="preserve"> TC  "</w:instrText>
      </w:r>
      <w:bookmarkStart w:id="123" w:name="_Toc135038282"/>
      <w:bookmarkStart w:id="124" w:name="_Toc108470246"/>
      <w:r>
        <w:rPr>
          <w:b/>
          <w:kern w:val="44"/>
          <w:sz w:val="30"/>
          <w:szCs w:val="30"/>
        </w:rPr>
        <w:instrText xml:space="preserve">Appendix A  50mm-Diameter drilled core method for testing compression strength of concrete</w:instrText>
      </w:r>
      <w:bookmarkEnd w:id="123"/>
      <w:bookmarkEnd w:id="124"/>
      <w:r>
        <w:rPr>
          <w:b/>
          <w:kern w:val="44"/>
          <w:sz w:val="30"/>
          <w:szCs w:val="30"/>
        </w:rPr>
        <w:instrText xml:space="preserve">" \l 1 </w:instrText>
      </w:r>
      <w:r>
        <w:rPr>
          <w:b/>
          <w:kern w:val="44"/>
          <w:sz w:val="30"/>
          <w:szCs w:val="30"/>
        </w:rPr>
        <w:fldChar w:fldCharType="end"/>
      </w:r>
    </w:p>
    <w:p>
      <w:pPr>
        <w:spacing w:line="360" w:lineRule="auto"/>
        <w:rPr>
          <w:sz w:val="24"/>
          <w:szCs w:val="24"/>
        </w:rPr>
      </w:pPr>
      <w:r>
        <w:rPr>
          <w:b/>
          <w:sz w:val="24"/>
          <w:szCs w:val="24"/>
        </w:rPr>
        <w:t xml:space="preserve">A.0.1  </w:t>
      </w:r>
      <w:r>
        <w:rPr>
          <w:sz w:val="24"/>
          <w:szCs w:val="24"/>
        </w:rPr>
        <w:t>对薄壁或小尺寸构件的混凝土抗压强度，可采用钻取直径50mm芯样进行检测，并应符合下列规定：</w:t>
      </w:r>
    </w:p>
    <w:p>
      <w:pPr>
        <w:tabs>
          <w:tab w:val="left" w:pos="0"/>
          <w:tab w:val="left" w:pos="840"/>
        </w:tabs>
        <w:spacing w:line="360" w:lineRule="auto"/>
        <w:ind w:firstLine="481" w:firstLineChars="200"/>
        <w:rPr>
          <w:sz w:val="24"/>
          <w:szCs w:val="24"/>
        </w:rPr>
      </w:pPr>
      <w:r>
        <w:rPr>
          <w:b/>
          <w:sz w:val="24"/>
          <w:szCs w:val="24"/>
        </w:rPr>
        <w:t xml:space="preserve">1  </w:t>
      </w:r>
      <w:r>
        <w:rPr>
          <w:sz w:val="24"/>
          <w:szCs w:val="24"/>
        </w:rPr>
        <w:t>粗骨料的粒径不宜大于20mm，且不应大于25mm；</w:t>
      </w:r>
    </w:p>
    <w:p>
      <w:pPr>
        <w:tabs>
          <w:tab w:val="left" w:pos="0"/>
          <w:tab w:val="left" w:pos="840"/>
        </w:tabs>
        <w:spacing w:line="360" w:lineRule="auto"/>
        <w:ind w:firstLine="481" w:firstLineChars="20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2  </w:t>
      </w:r>
      <w:r>
        <w:rPr>
          <w:rFonts w:hint="eastAsia"/>
          <w:color w:val="000000" w:themeColor="text1"/>
          <w:sz w:val="24"/>
          <w:szCs w:val="24"/>
          <w14:textFill>
            <w14:solidFill>
              <w14:schemeClr w14:val="tx1"/>
            </w14:solidFill>
          </w14:textFill>
        </w:rPr>
        <w:t>混凝土</w:t>
      </w:r>
      <w:r>
        <w:rPr>
          <w:color w:val="000000" w:themeColor="text1"/>
          <w:sz w:val="24"/>
          <w:szCs w:val="24"/>
          <w14:textFill>
            <w14:solidFill>
              <w14:schemeClr w14:val="tx1"/>
            </w14:solidFill>
          </w14:textFill>
        </w:rPr>
        <w:t>芯样试件直径范围应在45mm～55mm之间，且不应小于粗骨料最大粒径2倍；</w:t>
      </w:r>
    </w:p>
    <w:p>
      <w:pPr>
        <w:tabs>
          <w:tab w:val="left" w:pos="0"/>
          <w:tab w:val="left" w:pos="840"/>
        </w:tabs>
        <w:spacing w:line="360" w:lineRule="auto"/>
        <w:ind w:firstLine="481" w:firstLineChars="20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3  </w:t>
      </w:r>
      <w:r>
        <w:rPr>
          <w:rFonts w:hint="eastAsia"/>
          <w:color w:val="000000" w:themeColor="text1"/>
          <w:sz w:val="24"/>
          <w:szCs w:val="24"/>
          <w14:textFill>
            <w14:solidFill>
              <w14:schemeClr w14:val="tx1"/>
            </w14:solidFill>
          </w14:textFill>
        </w:rPr>
        <w:t>混凝土</w:t>
      </w:r>
      <w:r>
        <w:rPr>
          <w:color w:val="000000" w:themeColor="text1"/>
          <w:sz w:val="24"/>
          <w:szCs w:val="24"/>
          <w14:textFill>
            <w14:solidFill>
              <w14:schemeClr w14:val="tx1"/>
            </w14:solidFill>
          </w14:textFill>
        </w:rPr>
        <w:t>芯样试件高径比宜为1:1，实际高径比应控制在0.95～1.05之间；</w:t>
      </w:r>
    </w:p>
    <w:p>
      <w:pPr>
        <w:tabs>
          <w:tab w:val="left" w:pos="0"/>
          <w:tab w:val="left" w:pos="840"/>
        </w:tabs>
        <w:spacing w:line="360" w:lineRule="auto"/>
        <w:ind w:firstLine="481" w:firstLineChars="200"/>
        <w:rPr>
          <w:sz w:val="24"/>
          <w:szCs w:val="24"/>
        </w:rPr>
      </w:pPr>
      <w:r>
        <w:rPr>
          <w:b/>
          <w:sz w:val="24"/>
          <w:szCs w:val="24"/>
        </w:rPr>
        <w:t xml:space="preserve">4  </w:t>
      </w:r>
      <w:r>
        <w:rPr>
          <w:sz w:val="24"/>
          <w:szCs w:val="24"/>
        </w:rPr>
        <w:t>混凝土设计强度等级宜在C30~C50之间。</w:t>
      </w:r>
    </w:p>
    <w:p>
      <w:pPr>
        <w:spacing w:line="360" w:lineRule="auto"/>
        <w:rPr>
          <w:color w:val="000000" w:themeColor="text1"/>
          <w:sz w:val="24"/>
          <w:szCs w:val="24"/>
          <w14:textFill>
            <w14:solidFill>
              <w14:schemeClr w14:val="tx1"/>
            </w14:solidFill>
          </w14:textFill>
        </w:rPr>
      </w:pPr>
      <w:r>
        <w:rPr>
          <w:b/>
          <w:sz w:val="24"/>
          <w:szCs w:val="24"/>
        </w:rPr>
        <w:t xml:space="preserve">A.0.2  </w:t>
      </w:r>
      <w:r>
        <w:rPr>
          <w:sz w:val="24"/>
          <w:szCs w:val="24"/>
        </w:rPr>
        <w:t>钻取直径50mm芯样检测混凝土抗压强度</w:t>
      </w:r>
      <w:r>
        <w:rPr>
          <w:rFonts w:hint="eastAsia"/>
          <w:sz w:val="24"/>
          <w:szCs w:val="24"/>
        </w:rPr>
        <w:t>时</w:t>
      </w:r>
      <w:r>
        <w:rPr>
          <w:sz w:val="24"/>
          <w:szCs w:val="24"/>
        </w:rPr>
        <w:t>，除应符合现行行业标准《钻芯法检测混凝土强度技术规程》JGJ/T 384的有关规定外，</w:t>
      </w:r>
      <w:r>
        <w:rPr>
          <w:color w:val="000000" w:themeColor="text1"/>
          <w:sz w:val="24"/>
          <w:szCs w:val="24"/>
          <w14:textFill>
            <w14:solidFill>
              <w14:schemeClr w14:val="tx1"/>
            </w14:solidFill>
          </w14:textFill>
        </w:rPr>
        <w:t>尚应符合下列规定：</w:t>
      </w:r>
    </w:p>
    <w:p>
      <w:pPr>
        <w:tabs>
          <w:tab w:val="left" w:pos="0"/>
          <w:tab w:val="left" w:pos="840"/>
        </w:tabs>
        <w:spacing w:line="360" w:lineRule="auto"/>
        <w:ind w:firstLine="481" w:firstLineChars="200"/>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1  </w:t>
      </w:r>
      <w:r>
        <w:rPr>
          <w:color w:val="000000" w:themeColor="text1"/>
          <w:sz w:val="24"/>
          <w:szCs w:val="24"/>
          <w14:textFill>
            <w14:solidFill>
              <w14:schemeClr w14:val="tx1"/>
            </w14:solidFill>
          </w14:textFill>
        </w:rPr>
        <w:t>芯样钻取时，钻芯机应平稳运行，应避免芯样缩颈</w:t>
      </w:r>
      <w:r>
        <w:rPr>
          <w:b/>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当钻透构件取样时，应有防止芯样坠落的措施；</w:t>
      </w:r>
    </w:p>
    <w:p>
      <w:pPr>
        <w:tabs>
          <w:tab w:val="left" w:pos="0"/>
          <w:tab w:val="left" w:pos="840"/>
        </w:tabs>
        <w:spacing w:line="360" w:lineRule="auto"/>
        <w:ind w:firstLine="481" w:firstLineChars="200"/>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2  </w:t>
      </w:r>
      <w:r>
        <w:rPr>
          <w:color w:val="000000" w:themeColor="text1"/>
          <w:sz w:val="24"/>
          <w:szCs w:val="24"/>
          <w14:textFill>
            <w14:solidFill>
              <w14:schemeClr w14:val="tx1"/>
            </w14:solidFill>
          </w14:textFill>
        </w:rPr>
        <w:t>芯样不应有裂缝或其他缺陷，试件内不应含有钢筋；</w:t>
      </w:r>
    </w:p>
    <w:p>
      <w:pPr>
        <w:tabs>
          <w:tab w:val="left" w:pos="0"/>
          <w:tab w:val="left" w:pos="840"/>
        </w:tabs>
        <w:spacing w:line="360" w:lineRule="auto"/>
        <w:ind w:firstLine="481" w:firstLineChars="200"/>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3  </w:t>
      </w:r>
      <w:r>
        <w:rPr>
          <w:color w:val="000000" w:themeColor="text1"/>
          <w:sz w:val="24"/>
          <w:szCs w:val="24"/>
          <w14:textFill>
            <w14:solidFill>
              <w14:schemeClr w14:val="tx1"/>
            </w14:solidFill>
          </w14:textFill>
        </w:rPr>
        <w:t>混凝土芯样试件的端面可采用磨平处理，也可采用硫磺胶泥补平处理，补平层厚度不宜大于2mm。</w:t>
      </w:r>
    </w:p>
    <w:p>
      <w:pPr>
        <w:spacing w:line="360" w:lineRule="auto"/>
        <w:rPr>
          <w:sz w:val="24"/>
          <w:szCs w:val="24"/>
        </w:rPr>
      </w:pPr>
      <w:r>
        <w:rPr>
          <w:b/>
          <w:sz w:val="24"/>
          <w:szCs w:val="24"/>
        </w:rPr>
        <w:t xml:space="preserve">A.0.3  </w:t>
      </w:r>
      <w:r>
        <w:rPr>
          <w:sz w:val="24"/>
          <w:szCs w:val="24"/>
        </w:rPr>
        <w:t>芯样</w:t>
      </w:r>
      <w:r>
        <w:rPr>
          <w:rFonts w:hint="eastAsia"/>
          <w:sz w:val="24"/>
          <w:szCs w:val="24"/>
        </w:rPr>
        <w:t>试</w:t>
      </w:r>
      <w:r>
        <w:rPr>
          <w:rFonts w:hint="eastAsia"/>
          <w:color w:val="000000" w:themeColor="text1"/>
          <w:sz w:val="24"/>
          <w:szCs w:val="24"/>
          <w14:textFill>
            <w14:solidFill>
              <w14:schemeClr w14:val="tx1"/>
            </w14:solidFill>
          </w14:textFill>
        </w:rPr>
        <w:t>件</w:t>
      </w:r>
      <w:r>
        <w:rPr>
          <w:color w:val="000000" w:themeColor="text1"/>
          <w:sz w:val="24"/>
          <w:szCs w:val="24"/>
          <w14:textFill>
            <w14:solidFill>
              <w14:schemeClr w14:val="tx1"/>
            </w14:solidFill>
          </w14:textFill>
        </w:rPr>
        <w:t>混凝土抗压</w:t>
      </w:r>
      <w:r>
        <w:rPr>
          <w:sz w:val="24"/>
          <w:szCs w:val="24"/>
        </w:rPr>
        <w:t>强度换算值可按下式计算：</w:t>
      </w:r>
    </w:p>
    <w:p>
      <w:pPr>
        <w:tabs>
          <w:tab w:val="left" w:pos="0"/>
          <w:tab w:val="left" w:pos="840"/>
        </w:tabs>
        <w:spacing w:line="360" w:lineRule="auto"/>
        <w:ind w:right="240"/>
        <w:jc w:val="right"/>
        <w:rPr>
          <w:sz w:val="24"/>
          <w:szCs w:val="24"/>
        </w:rPr>
      </w:pPr>
      <w:bookmarkStart w:id="125" w:name="_Hlk119936916"/>
      <w:r>
        <w:rPr>
          <w:position w:val="-30"/>
          <w:sz w:val="24"/>
          <w:szCs w:val="24"/>
        </w:rPr>
        <w:object>
          <v:shape id="_x0000_i1075" o:spt="75" type="#_x0000_t75" style="height:34.55pt;width:64.5pt;" o:ole="t" filled="f" o:preferrelative="t" stroked="f" coordsize="21600,21600">
            <v:path/>
            <v:fill on="f" focussize="0,0"/>
            <v:stroke on="f" joinstyle="miter"/>
            <v:imagedata r:id="rId109" o:title=""/>
            <o:lock v:ext="edit" aspectratio="t"/>
            <w10:wrap type="none"/>
            <w10:anchorlock/>
          </v:shape>
          <o:OLEObject Type="Embed" ProgID="Equation.DSMT4" ShapeID="_x0000_i1075" DrawAspect="Content" ObjectID="_1468075775" r:id="rId108">
            <o:LockedField>false</o:LockedField>
          </o:OLEObject>
        </w:object>
      </w:r>
      <w:r>
        <w:rPr>
          <w:sz w:val="24"/>
          <w:szCs w:val="24"/>
        </w:rPr>
        <w:t xml:space="preserve">                      （A.0.3）</w:t>
      </w:r>
    </w:p>
    <w:p>
      <w:pPr>
        <w:tabs>
          <w:tab w:val="left" w:pos="0"/>
          <w:tab w:val="left" w:pos="840"/>
        </w:tabs>
        <w:adjustRightInd w:val="0"/>
        <w:snapToGrid w:val="0"/>
        <w:spacing w:line="360" w:lineRule="auto"/>
        <w:rPr>
          <w:color w:val="000000" w:themeColor="text1"/>
          <w:sz w:val="24"/>
          <w:szCs w:val="24"/>
          <w14:textFill>
            <w14:solidFill>
              <w14:schemeClr w14:val="tx1"/>
            </w14:solidFill>
          </w14:textFill>
        </w:rPr>
      </w:pPr>
      <w:r>
        <w:rPr>
          <w:sz w:val="24"/>
          <w:szCs w:val="24"/>
        </w:rPr>
        <w:t>式中</w:t>
      </w:r>
      <w:r>
        <w:rPr>
          <w:color w:val="000000" w:themeColor="text1"/>
          <w:sz w:val="24"/>
          <w:szCs w:val="24"/>
          <w14:textFill>
            <w14:solidFill>
              <w14:schemeClr w14:val="tx1"/>
            </w14:solidFill>
          </w14:textFill>
        </w:rPr>
        <w:t>：</w:t>
      </w:r>
      <w:r>
        <w:rPr>
          <w:position w:val="-14"/>
          <w:sz w:val="24"/>
          <w:szCs w:val="24"/>
        </w:rPr>
        <w:object>
          <v:shape id="_x0000_i1076" o:spt="75" type="#_x0000_t75" style="height:19.6pt;width:27.05pt;" o:ole="t" filled="f" o:preferrelative="t" stroked="f" coordsize="21600,21600">
            <v:path/>
            <v:fill on="f" focussize="0,0"/>
            <v:stroke on="f" joinstyle="miter"/>
            <v:imagedata r:id="rId111" o:title=""/>
            <o:lock v:ext="edit" aspectratio="t"/>
            <w10:wrap type="none"/>
            <w10:anchorlock/>
          </v:shape>
          <o:OLEObject Type="Embed" ProgID="Equation.DSMT4" ShapeID="_x0000_i1076" DrawAspect="Content" ObjectID="_1468075776" r:id="rId110">
            <o:LockedField>false</o:LockedField>
          </o:OLEObject>
        </w:object>
      </w:r>
      <w:r>
        <w:rPr>
          <w:sz w:val="24"/>
          <w:szCs w:val="24"/>
        </w:rPr>
        <w:t>——芯样试件混凝土抗压强度</w:t>
      </w:r>
      <w:r>
        <w:rPr>
          <w:color w:val="000000" w:themeColor="text1"/>
          <w:sz w:val="24"/>
          <w:szCs w:val="24"/>
          <w14:textFill>
            <w14:solidFill>
              <w14:schemeClr w14:val="tx1"/>
            </w14:solidFill>
          </w14:textFill>
        </w:rPr>
        <w:t>换算值（MPa），应精确至0.1MPa；</w:t>
      </w:r>
    </w:p>
    <w:p>
      <w:pPr>
        <w:tabs>
          <w:tab w:val="left" w:pos="0"/>
          <w:tab w:val="left" w:pos="840"/>
        </w:tabs>
        <w:adjustRightInd w:val="0"/>
        <w:snapToGrid w:val="0"/>
        <w:spacing w:line="360" w:lineRule="auto"/>
        <w:ind w:firstLine="720" w:firstLineChars="300"/>
        <w:rPr>
          <w:color w:val="000000" w:themeColor="text1"/>
          <w:sz w:val="24"/>
          <w:szCs w:val="24"/>
          <w14:textFill>
            <w14:solidFill>
              <w14:schemeClr w14:val="tx1"/>
            </w14:solidFill>
          </w14:textFill>
        </w:rPr>
      </w:pPr>
      <w:r>
        <w:rPr>
          <w:i/>
          <w:iCs/>
          <w:color w:val="000000" w:themeColor="text1"/>
          <w:sz w:val="24"/>
          <w:szCs w:val="24"/>
          <w14:textFill>
            <w14:solidFill>
              <w14:schemeClr w14:val="tx1"/>
            </w14:solidFill>
          </w14:textFill>
        </w:rPr>
        <w:t>F</w:t>
      </w:r>
      <w:r>
        <w:rPr>
          <w:iCs/>
          <w:color w:val="000000" w:themeColor="text1"/>
          <w:sz w:val="24"/>
          <w:szCs w:val="24"/>
          <w:vertAlign w:val="subscript"/>
          <w14:textFill>
            <w14:solidFill>
              <w14:schemeClr w14:val="tx1"/>
            </w14:solidFill>
          </w14:textFill>
        </w:rPr>
        <w:t>c</w:t>
      </w:r>
      <w:r>
        <w:rPr>
          <w:color w:val="000000" w:themeColor="text1"/>
          <w:sz w:val="24"/>
          <w:szCs w:val="24"/>
          <w14:textFill>
            <w14:solidFill>
              <w14:schemeClr w14:val="tx1"/>
            </w14:solidFill>
          </w14:textFill>
        </w:rPr>
        <w:t>——混凝土芯样试件抗压</w:t>
      </w:r>
      <w:r>
        <w:rPr>
          <w:rFonts w:hint="eastAsia"/>
          <w:color w:val="000000" w:themeColor="text1"/>
          <w:sz w:val="24"/>
          <w:szCs w:val="24"/>
          <w14:textFill>
            <w14:solidFill>
              <w14:schemeClr w14:val="tx1"/>
            </w14:solidFill>
          </w14:textFill>
        </w:rPr>
        <w:t>强度</w:t>
      </w:r>
      <w:r>
        <w:rPr>
          <w:color w:val="000000" w:themeColor="text1"/>
          <w:sz w:val="24"/>
          <w:szCs w:val="24"/>
          <w14:textFill>
            <w14:solidFill>
              <w14:schemeClr w14:val="tx1"/>
            </w14:solidFill>
          </w14:textFill>
        </w:rPr>
        <w:t>试验的破坏荷载值（N）；</w:t>
      </w:r>
    </w:p>
    <w:p>
      <w:pPr>
        <w:tabs>
          <w:tab w:val="left" w:pos="0"/>
          <w:tab w:val="left" w:pos="840"/>
        </w:tabs>
        <w:adjustRightInd w:val="0"/>
        <w:snapToGrid w:val="0"/>
        <w:spacing w:line="360" w:lineRule="auto"/>
        <w:ind w:firstLine="720" w:firstLineChars="300"/>
        <w:rPr>
          <w:color w:val="000000" w:themeColor="text1"/>
          <w:sz w:val="24"/>
          <w:szCs w:val="24"/>
          <w14:textFill>
            <w14:solidFill>
              <w14:schemeClr w14:val="tx1"/>
            </w14:solidFill>
          </w14:textFill>
        </w:rPr>
      </w:pPr>
      <w:r>
        <w:rPr>
          <w:i/>
          <w:iCs/>
          <w:color w:val="000000" w:themeColor="text1"/>
          <w:sz w:val="24"/>
          <w:szCs w:val="24"/>
          <w14:textFill>
            <w14:solidFill>
              <w14:schemeClr w14:val="tx1"/>
            </w14:solidFill>
          </w14:textFill>
        </w:rPr>
        <w:t>A</w:t>
      </w:r>
      <w:r>
        <w:rPr>
          <w:iCs/>
          <w:color w:val="000000" w:themeColor="text1"/>
          <w:sz w:val="24"/>
          <w:szCs w:val="24"/>
          <w:vertAlign w:val="subscript"/>
          <w14:textFill>
            <w14:solidFill>
              <w14:schemeClr w14:val="tx1"/>
            </w14:solidFill>
          </w14:textFill>
        </w:rPr>
        <w:t>c</w:t>
      </w:r>
      <w:r>
        <w:rPr>
          <w:color w:val="000000" w:themeColor="text1"/>
          <w:sz w:val="24"/>
          <w:szCs w:val="24"/>
          <w14:textFill>
            <w14:solidFill>
              <w14:schemeClr w14:val="tx1"/>
            </w14:solidFill>
          </w14:textFill>
        </w:rPr>
        <w:t>——混凝土芯样试件抗压截面面积（mm</w:t>
      </w:r>
      <w:r>
        <w:rPr>
          <w:color w:val="000000" w:themeColor="text1"/>
          <w:sz w:val="24"/>
          <w:szCs w:val="24"/>
          <w:vertAlign w:val="superscript"/>
          <w14:textFill>
            <w14:solidFill>
              <w14:schemeClr w14:val="tx1"/>
            </w14:solidFill>
          </w14:textFill>
        </w:rPr>
        <w:t>2</w:t>
      </w:r>
      <w:r>
        <w:rPr>
          <w:color w:val="000000" w:themeColor="text1"/>
          <w:sz w:val="24"/>
          <w:szCs w:val="24"/>
          <w14:textFill>
            <w14:solidFill>
              <w14:schemeClr w14:val="tx1"/>
            </w14:solidFill>
          </w14:textFill>
        </w:rPr>
        <w:t>）；</w:t>
      </w:r>
    </w:p>
    <w:p>
      <w:pPr>
        <w:tabs>
          <w:tab w:val="left" w:pos="0"/>
          <w:tab w:val="left" w:pos="840"/>
        </w:tabs>
        <w:adjustRightInd w:val="0"/>
        <w:snapToGrid w:val="0"/>
        <w:spacing w:line="360" w:lineRule="auto"/>
        <w:ind w:firstLine="720" w:firstLineChars="300"/>
        <w:rPr>
          <w:color w:val="000000" w:themeColor="text1"/>
          <w:sz w:val="24"/>
          <w:szCs w:val="24"/>
          <w14:textFill>
            <w14:solidFill>
              <w14:schemeClr w14:val="tx1"/>
            </w14:solidFill>
          </w14:textFill>
        </w:rPr>
      </w:pPr>
      <w:r>
        <w:rPr>
          <w:position w:val="-12"/>
          <w:sz w:val="24"/>
          <w:szCs w:val="24"/>
        </w:rPr>
        <w:object>
          <v:shape id="_x0000_i1077" o:spt="75" type="#_x0000_t75" style="height:19pt;width:13.25pt;" o:ole="t" filled="f" o:preferrelative="t" stroked="f" coordsize="21600,21600">
            <v:path/>
            <v:fill on="f" focussize="0,0"/>
            <v:stroke on="f" joinstyle="miter"/>
            <v:imagedata r:id="rId113" o:title=""/>
            <o:lock v:ext="edit" aspectratio="t"/>
            <w10:wrap type="none"/>
            <w10:anchorlock/>
          </v:shape>
          <o:OLEObject Type="Embed" ProgID="Equation.DSMT4" ShapeID="_x0000_i1077" DrawAspect="Content" ObjectID="_1468075777" r:id="rId112">
            <o:LockedField>false</o:LockedField>
          </o:OLEObject>
        </w:object>
      </w:r>
      <w:r>
        <w:rPr>
          <w:color w:val="000000" w:themeColor="text1"/>
          <w:sz w:val="24"/>
          <w:szCs w:val="24"/>
          <w14:textFill>
            <w14:solidFill>
              <w14:schemeClr w14:val="tx1"/>
            </w14:solidFill>
          </w14:textFill>
        </w:rPr>
        <w:t>——芯样试件混凝土抗压强度换算系数，可取1.10。</w:t>
      </w:r>
    </w:p>
    <w:bookmarkEnd w:id="125"/>
    <w:p>
      <w:pPr>
        <w:tabs>
          <w:tab w:val="left" w:pos="0"/>
          <w:tab w:val="left" w:pos="840"/>
        </w:tabs>
        <w:spacing w:line="360" w:lineRule="auto"/>
        <w:rPr>
          <w:sz w:val="24"/>
          <w:szCs w:val="24"/>
        </w:rPr>
      </w:pPr>
      <w:r>
        <w:rPr>
          <w:b/>
          <w:sz w:val="24"/>
          <w:szCs w:val="24"/>
        </w:rPr>
        <w:t xml:space="preserve">A.0.4  </w:t>
      </w:r>
      <w:r>
        <w:rPr>
          <w:sz w:val="24"/>
          <w:szCs w:val="24"/>
        </w:rPr>
        <w:t>当钻取直径50mm芯样检测混凝土强度时，宜按检测批推定抗压强度，并应符合下列规定：</w:t>
      </w:r>
    </w:p>
    <w:p>
      <w:pPr>
        <w:tabs>
          <w:tab w:val="left" w:pos="0"/>
          <w:tab w:val="left" w:pos="840"/>
        </w:tabs>
        <w:spacing w:line="360" w:lineRule="auto"/>
        <w:ind w:firstLine="481" w:firstLineChars="200"/>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1</w:t>
      </w:r>
      <w:r>
        <w:rPr>
          <w:color w:val="000000" w:themeColor="text1"/>
          <w:sz w:val="24"/>
          <w:szCs w:val="24"/>
          <w14:textFill>
            <w14:solidFill>
              <w14:schemeClr w14:val="tx1"/>
            </w14:solidFill>
          </w14:textFill>
        </w:rPr>
        <w:t xml:space="preserve">  检测批的芯样数量不宜少于21个</w:t>
      </w:r>
      <w:r>
        <w:rPr>
          <w:rFonts w:hint="eastAsia"/>
          <w:color w:val="000000" w:themeColor="text1"/>
          <w:sz w:val="24"/>
          <w:szCs w:val="24"/>
          <w14:textFill>
            <w14:solidFill>
              <w14:schemeClr w14:val="tx1"/>
            </w14:solidFill>
          </w14:textFill>
        </w:rPr>
        <w:t>，且不应少于1</w:t>
      </w:r>
      <w:r>
        <w:rPr>
          <w:color w:val="000000" w:themeColor="text1"/>
          <w:sz w:val="24"/>
          <w:szCs w:val="24"/>
          <w14:textFill>
            <w14:solidFill>
              <w14:schemeClr w14:val="tx1"/>
            </w14:solidFill>
          </w14:textFill>
        </w:rPr>
        <w:t>5</w:t>
      </w:r>
      <w:r>
        <w:rPr>
          <w:rFonts w:hint="eastAsia"/>
          <w:color w:val="000000" w:themeColor="text1"/>
          <w:sz w:val="24"/>
          <w:szCs w:val="24"/>
          <w14:textFill>
            <w14:solidFill>
              <w14:schemeClr w14:val="tx1"/>
            </w14:solidFill>
          </w14:textFill>
        </w:rPr>
        <w:t>个</w:t>
      </w:r>
      <w:r>
        <w:rPr>
          <w:color w:val="000000" w:themeColor="text1"/>
          <w:sz w:val="24"/>
          <w:szCs w:val="24"/>
          <w14:textFill>
            <w14:solidFill>
              <w14:schemeClr w14:val="tx1"/>
            </w14:solidFill>
          </w14:textFill>
        </w:rPr>
        <w:t>；</w:t>
      </w:r>
    </w:p>
    <w:p>
      <w:pPr>
        <w:tabs>
          <w:tab w:val="left" w:pos="0"/>
          <w:tab w:val="left" w:pos="840"/>
        </w:tabs>
        <w:spacing w:line="360" w:lineRule="auto"/>
        <w:ind w:firstLine="481" w:firstLineChars="200"/>
        <w:rPr>
          <w:sz w:val="24"/>
          <w:szCs w:val="24"/>
        </w:rPr>
      </w:pPr>
      <w:r>
        <w:rPr>
          <w:b/>
          <w:sz w:val="24"/>
          <w:szCs w:val="24"/>
        </w:rPr>
        <w:t>2</w:t>
      </w:r>
      <w:r>
        <w:rPr>
          <w:sz w:val="24"/>
          <w:szCs w:val="24"/>
        </w:rPr>
        <w:t xml:space="preserve">  检测批的混凝土抗压强度推定值应计算推定区间，推定区间的上限值和下限值应按下列公式计算：</w:t>
      </w:r>
    </w:p>
    <w:p>
      <w:pPr>
        <w:adjustRightInd w:val="0"/>
        <w:snapToGrid w:val="0"/>
        <w:spacing w:line="360" w:lineRule="auto"/>
        <w:jc w:val="right"/>
        <w:rPr>
          <w:color w:val="000000"/>
          <w:sz w:val="24"/>
          <w:szCs w:val="24"/>
        </w:rPr>
      </w:pPr>
      <w:bookmarkStart w:id="126" w:name="_Hlk119936934"/>
      <w:r>
        <w:rPr>
          <w:color w:val="000000"/>
          <w:position w:val="-14"/>
          <w:sz w:val="24"/>
          <w:szCs w:val="24"/>
        </w:rPr>
        <w:object>
          <v:shape id="_x0000_i1078" o:spt="75" type="#_x0000_t75" style="height:19.6pt;width:110pt;" o:ole="t" filled="f" o:preferrelative="t" stroked="f" coordsize="21600,21600">
            <v:path/>
            <v:fill on="f" focussize="0,0"/>
            <v:stroke on="f" joinstyle="miter"/>
            <v:imagedata r:id="rId115" o:title=""/>
            <o:lock v:ext="edit" aspectratio="t"/>
            <w10:wrap type="none"/>
            <w10:anchorlock/>
          </v:shape>
          <o:OLEObject Type="Embed" ProgID="Equation.DSMT4" ShapeID="_x0000_i1078" DrawAspect="Content" ObjectID="_1468075778" r:id="rId114">
            <o:LockedField>false</o:LockedField>
          </o:OLEObject>
        </w:object>
      </w:r>
      <w:r>
        <w:rPr>
          <w:color w:val="000000"/>
          <w:sz w:val="24"/>
          <w:szCs w:val="24"/>
        </w:rPr>
        <w:t xml:space="preserve">                    （A.0.4-1）</w:t>
      </w:r>
    </w:p>
    <w:p>
      <w:pPr>
        <w:adjustRightInd w:val="0"/>
        <w:snapToGrid w:val="0"/>
        <w:spacing w:line="360" w:lineRule="auto"/>
        <w:jc w:val="right"/>
        <w:rPr>
          <w:color w:val="000000"/>
          <w:sz w:val="24"/>
          <w:szCs w:val="24"/>
        </w:rPr>
      </w:pPr>
      <w:r>
        <w:rPr>
          <w:color w:val="000000"/>
          <w:position w:val="-14"/>
          <w:sz w:val="24"/>
          <w:szCs w:val="24"/>
        </w:rPr>
        <w:object>
          <v:shape id="_x0000_i1079" o:spt="75" type="#_x0000_t75" style="height:19.6pt;width:111.75pt;" o:ole="t" filled="f" o:preferrelative="t" stroked="f" coordsize="21600,21600">
            <v:path/>
            <v:fill on="f" focussize="0,0"/>
            <v:stroke on="f" joinstyle="miter"/>
            <v:imagedata r:id="rId117" o:title=""/>
            <o:lock v:ext="edit" aspectratio="t"/>
            <w10:wrap type="none"/>
            <w10:anchorlock/>
          </v:shape>
          <o:OLEObject Type="Embed" ProgID="Equation.DSMT4" ShapeID="_x0000_i1079" DrawAspect="Content" ObjectID="_1468075779" r:id="rId116">
            <o:LockedField>false</o:LockedField>
          </o:OLEObject>
        </w:object>
      </w:r>
      <w:r>
        <w:rPr>
          <w:color w:val="000000"/>
          <w:sz w:val="24"/>
          <w:szCs w:val="24"/>
        </w:rPr>
        <w:t xml:space="preserve">                    （A.0.4-2）</w:t>
      </w:r>
    </w:p>
    <w:p>
      <w:pPr>
        <w:adjustRightInd w:val="0"/>
        <w:snapToGrid w:val="0"/>
        <w:spacing w:line="360" w:lineRule="auto"/>
        <w:jc w:val="right"/>
        <w:rPr>
          <w:color w:val="000000"/>
          <w:sz w:val="24"/>
          <w:szCs w:val="24"/>
        </w:rPr>
      </w:pPr>
      <w:r>
        <w:rPr>
          <w:color w:val="000000"/>
          <w:position w:val="-24"/>
          <w:sz w:val="24"/>
          <w:szCs w:val="24"/>
        </w:rPr>
        <w:object>
          <v:shape id="_x0000_i1080" o:spt="75" type="#_x0000_t75" style="height:47.8pt;width:91.6pt;" o:ole="t" filled="f" o:preferrelative="t" stroked="f" coordsize="21600,21600">
            <v:path/>
            <v:fill on="f" focussize="0,0"/>
            <v:stroke on="f" joinstyle="miter"/>
            <v:imagedata r:id="rId119" o:title=""/>
            <o:lock v:ext="edit" aspectratio="t"/>
            <w10:wrap type="none"/>
            <w10:anchorlock/>
          </v:shape>
          <o:OLEObject Type="Embed" ProgID="Equation.DSMT4" ShapeID="_x0000_i1080" DrawAspect="Content" ObjectID="_1468075780" r:id="rId118">
            <o:LockedField>false</o:LockedField>
          </o:OLEObject>
        </w:object>
      </w:r>
      <w:r>
        <w:rPr>
          <w:color w:val="000000"/>
          <w:sz w:val="24"/>
          <w:szCs w:val="24"/>
        </w:rPr>
        <w:t xml:space="preserve">                      （A.0.4-3）</w:t>
      </w:r>
    </w:p>
    <w:p>
      <w:pPr>
        <w:wordWrap w:val="0"/>
        <w:adjustRightInd w:val="0"/>
        <w:snapToGrid w:val="0"/>
        <w:spacing w:line="360" w:lineRule="auto"/>
        <w:jc w:val="right"/>
        <w:rPr>
          <w:color w:val="000000"/>
          <w:sz w:val="24"/>
          <w:szCs w:val="24"/>
        </w:rPr>
      </w:pPr>
      <w:r>
        <w:rPr>
          <w:color w:val="000000"/>
          <w:position w:val="-26"/>
          <w:sz w:val="24"/>
          <w:szCs w:val="24"/>
        </w:rPr>
        <w:object>
          <v:shape id="_x0000_i1081" o:spt="75" type="#_x0000_t75" style="height:52.4pt;width:149.2pt;" o:ole="t" filled="f" o:preferrelative="t" stroked="f" coordsize="21600,21600">
            <v:path/>
            <v:fill on="f" focussize="0,0"/>
            <v:stroke on="f" joinstyle="miter"/>
            <v:imagedata r:id="rId121" o:title=""/>
            <o:lock v:ext="edit" aspectratio="t"/>
            <w10:wrap type="none"/>
            <w10:anchorlock/>
          </v:shape>
          <o:OLEObject Type="Embed" ProgID="Equation.DSMT4" ShapeID="_x0000_i1081" DrawAspect="Content" ObjectID="_1468075781" r:id="rId120">
            <o:LockedField>false</o:LockedField>
          </o:OLEObject>
        </w:object>
      </w:r>
      <w:r>
        <w:rPr>
          <w:color w:val="000000"/>
          <w:sz w:val="24"/>
          <w:szCs w:val="24"/>
        </w:rPr>
        <w:t xml:space="preserve">                  （A.0.4-4）</w:t>
      </w:r>
    </w:p>
    <w:p>
      <w:pPr>
        <w:adjustRightInd w:val="0"/>
        <w:snapToGrid w:val="0"/>
        <w:spacing w:line="360" w:lineRule="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式中：</w:t>
      </w:r>
      <w:r>
        <w:rPr>
          <w:color w:val="000000" w:themeColor="text1"/>
          <w:position w:val="-14"/>
          <w:sz w:val="24"/>
          <w:szCs w:val="24"/>
          <w14:textFill>
            <w14:solidFill>
              <w14:schemeClr w14:val="tx1"/>
            </w14:solidFill>
          </w14:textFill>
        </w:rPr>
        <w:object>
          <v:shape id="_x0000_i1082" o:spt="75" type="#_x0000_t75" style="height:19.6pt;width:22.45pt;" o:ole="t" filled="f" o:preferrelative="t" stroked="f" coordsize="21600,21600">
            <v:path/>
            <v:fill on="f" focussize="0,0"/>
            <v:stroke on="f" joinstyle="miter"/>
            <v:imagedata r:id="rId21" o:title=""/>
            <o:lock v:ext="edit" aspectratio="t"/>
            <w10:wrap type="none"/>
            <w10:anchorlock/>
          </v:shape>
          <o:OLEObject Type="Embed" ProgID="Equation.DSMT4" ShapeID="_x0000_i1082" DrawAspect="Content" ObjectID="_1468075782" r:id="rId122">
            <o:LockedField>false</o:LockedField>
          </o:OLEObject>
        </w:object>
      </w:r>
      <w:r>
        <w:rPr>
          <w:color w:val="000000" w:themeColor="text1"/>
          <w:sz w:val="24"/>
          <w:szCs w:val="24"/>
          <w14:textFill>
            <w14:solidFill>
              <w14:schemeClr w14:val="tx1"/>
            </w14:solidFill>
          </w14:textFill>
        </w:rPr>
        <w:t>——混凝土抗压强度推定上限值（MPa），应精确至0.1MPa；</w:t>
      </w:r>
    </w:p>
    <w:p>
      <w:pPr>
        <w:adjustRightInd w:val="0"/>
        <w:snapToGrid w:val="0"/>
        <w:spacing w:line="360" w:lineRule="auto"/>
        <w:ind w:firstLine="720" w:firstLineChars="300"/>
        <w:rPr>
          <w:color w:val="000000" w:themeColor="text1"/>
          <w:sz w:val="24"/>
          <w:szCs w:val="24"/>
          <w14:textFill>
            <w14:solidFill>
              <w14:schemeClr w14:val="tx1"/>
            </w14:solidFill>
          </w14:textFill>
        </w:rPr>
      </w:pPr>
      <w:r>
        <w:rPr>
          <w:color w:val="000000" w:themeColor="text1"/>
          <w:position w:val="-14"/>
          <w:sz w:val="24"/>
          <w:szCs w:val="24"/>
          <w14:textFill>
            <w14:solidFill>
              <w14:schemeClr w14:val="tx1"/>
            </w14:solidFill>
          </w14:textFill>
        </w:rPr>
        <w:object>
          <v:shape id="_x0000_i1083" o:spt="75" type="#_x0000_t75" style="height:19.6pt;width:24.75pt;" o:ole="t" filled="f" o:preferrelative="t" stroked="f" coordsize="21600,21600">
            <v:path/>
            <v:fill on="f" focussize="0,0"/>
            <v:stroke on="f" joinstyle="miter"/>
            <v:imagedata r:id="rId23" o:title=""/>
            <o:lock v:ext="edit" aspectratio="t"/>
            <w10:wrap type="none"/>
            <w10:anchorlock/>
          </v:shape>
          <o:OLEObject Type="Embed" ProgID="Equation.DSMT4" ShapeID="_x0000_i1083" DrawAspect="Content" ObjectID="_1468075783" r:id="rId123">
            <o:LockedField>false</o:LockedField>
          </o:OLEObject>
        </w:object>
      </w:r>
      <w:r>
        <w:rPr>
          <w:color w:val="000000" w:themeColor="text1"/>
          <w:sz w:val="24"/>
          <w:szCs w:val="24"/>
          <w14:textFill>
            <w14:solidFill>
              <w14:schemeClr w14:val="tx1"/>
            </w14:solidFill>
          </w14:textFill>
        </w:rPr>
        <w:t>——混凝土抗压强度推定下限值（MPa），应精确至0.1MPa；</w:t>
      </w:r>
    </w:p>
    <w:p>
      <w:pPr>
        <w:adjustRightInd w:val="0"/>
        <w:snapToGrid w:val="0"/>
        <w:spacing w:line="360" w:lineRule="auto"/>
        <w:ind w:firstLine="720" w:firstLineChars="300"/>
        <w:rPr>
          <w:color w:val="000000" w:themeColor="text1"/>
          <w:sz w:val="24"/>
          <w:szCs w:val="24"/>
          <w14:textFill>
            <w14:solidFill>
              <w14:schemeClr w14:val="tx1"/>
            </w14:solidFill>
          </w14:textFill>
        </w:rPr>
      </w:pPr>
      <w:r>
        <w:rPr>
          <w:color w:val="000000" w:themeColor="text1"/>
          <w:position w:val="-14"/>
          <w:sz w:val="24"/>
          <w:szCs w:val="24"/>
          <w14:textFill>
            <w14:solidFill>
              <w14:schemeClr w14:val="tx1"/>
            </w14:solidFill>
          </w14:textFill>
        </w:rPr>
        <w:object>
          <v:shape id="_x0000_i1084" o:spt="75" type="#_x0000_t75" style="height:19.6pt;width:34pt;" o:ole="t" filled="f" o:preferrelative="t" stroked="f" coordsize="21600,21600">
            <v:path/>
            <v:fill on="f" focussize="0,0"/>
            <v:stroke on="f" joinstyle="miter"/>
            <v:imagedata r:id="rId19" o:title=""/>
            <o:lock v:ext="edit" aspectratio="t"/>
            <w10:wrap type="none"/>
            <w10:anchorlock/>
          </v:shape>
          <o:OLEObject Type="Embed" ProgID="Equation.DSMT4" ShapeID="_x0000_i1084" DrawAspect="Content" ObjectID="_1468075784" r:id="rId124">
            <o:LockedField>false</o:LockedField>
          </o:OLEObject>
        </w:object>
      </w:r>
      <w:r>
        <w:rPr>
          <w:color w:val="000000" w:themeColor="text1"/>
          <w:sz w:val="24"/>
          <w:szCs w:val="24"/>
          <w14:textFill>
            <w14:solidFill>
              <w14:schemeClr w14:val="tx1"/>
            </w14:solidFill>
          </w14:textFill>
        </w:rPr>
        <w:t>——芯样试件混凝土抗压强度换算值的平均值（MPa），应精确至0.1MPa；</w:t>
      </w:r>
    </w:p>
    <w:p>
      <w:pPr>
        <w:adjustRightInd w:val="0"/>
        <w:snapToGrid w:val="0"/>
        <w:spacing w:line="360" w:lineRule="auto"/>
        <w:ind w:firstLine="720" w:firstLineChars="300"/>
        <w:rPr>
          <w:color w:val="000000" w:themeColor="text1"/>
          <w:sz w:val="24"/>
          <w:szCs w:val="24"/>
          <w14:textFill>
            <w14:solidFill>
              <w14:schemeClr w14:val="tx1"/>
            </w14:solidFill>
          </w14:textFill>
        </w:rPr>
      </w:pPr>
      <w:r>
        <w:rPr>
          <w:color w:val="000000" w:themeColor="text1"/>
          <w:position w:val="-14"/>
          <w:sz w:val="24"/>
          <w:szCs w:val="24"/>
          <w14:textFill>
            <w14:solidFill>
              <w14:schemeClr w14:val="tx1"/>
            </w14:solidFill>
          </w14:textFill>
        </w:rPr>
        <w:object>
          <v:shape id="_x0000_i1085" o:spt="75" type="#_x0000_t75" style="height:19.6pt;width:27.05pt;" o:ole="t" filled="f" o:preferrelative="t" stroked="f" coordsize="21600,21600">
            <v:path/>
            <v:fill on="f" focussize="0,0"/>
            <v:stroke on="f" joinstyle="miter"/>
            <v:imagedata r:id="rId55" o:title=""/>
            <o:lock v:ext="edit" aspectratio="t"/>
            <w10:wrap type="none"/>
            <w10:anchorlock/>
          </v:shape>
          <o:OLEObject Type="Embed" ProgID="Equation.DSMT4" ShapeID="_x0000_i1085" DrawAspect="Content" ObjectID="_1468075785" r:id="rId125">
            <o:LockedField>false</o:LockedField>
          </o:OLEObject>
        </w:object>
      </w:r>
      <w:r>
        <w:rPr>
          <w:color w:val="000000" w:themeColor="text1"/>
          <w:sz w:val="24"/>
          <w:szCs w:val="24"/>
          <w14:textFill>
            <w14:solidFill>
              <w14:schemeClr w14:val="tx1"/>
            </w14:solidFill>
          </w14:textFill>
        </w:rPr>
        <w:t>——芯样试件混凝土抗压强度换算值的标准差（MPa），应精确至0.01MPa；</w:t>
      </w:r>
    </w:p>
    <w:p>
      <w:pPr>
        <w:adjustRightInd w:val="0"/>
        <w:snapToGrid w:val="0"/>
        <w:spacing w:line="360" w:lineRule="auto"/>
        <w:ind w:firstLine="720" w:firstLineChars="300"/>
        <w:rPr>
          <w:color w:val="000000" w:themeColor="text1"/>
          <w:sz w:val="24"/>
          <w:szCs w:val="24"/>
          <w14:textFill>
            <w14:solidFill>
              <w14:schemeClr w14:val="tx1"/>
            </w14:solidFill>
          </w14:textFill>
        </w:rPr>
      </w:pPr>
      <w:r>
        <w:rPr>
          <w:color w:val="000000" w:themeColor="text1"/>
          <w:position w:val="-14"/>
          <w:sz w:val="24"/>
          <w:szCs w:val="24"/>
          <w14:textFill>
            <w14:solidFill>
              <w14:schemeClr w14:val="tx1"/>
            </w14:solidFill>
          </w14:textFill>
        </w:rPr>
        <w:object>
          <v:shape id="_x0000_i1086" o:spt="75" type="#_x0000_t75" style="height:19.6pt;width:30.55pt;" o:ole="t" filled="f" o:preferrelative="t" stroked="f" coordsize="21600,21600">
            <v:path/>
            <v:fill on="f" focussize="0,0"/>
            <v:stroke on="f" joinstyle="miter"/>
            <v:imagedata r:id="rId127" o:title=""/>
            <o:lock v:ext="edit" aspectratio="t"/>
            <w10:wrap type="none"/>
            <w10:anchorlock/>
          </v:shape>
          <o:OLEObject Type="Embed" ProgID="Equation.DSMT4" ShapeID="_x0000_i1086" DrawAspect="Content" ObjectID="_1468075786" r:id="rId126">
            <o:LockedField>false</o:LockedField>
          </o:OLEObject>
        </w:objec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第i个</w:t>
      </w:r>
      <w:r>
        <w:rPr>
          <w:color w:val="000000" w:themeColor="text1"/>
          <w:sz w:val="24"/>
          <w:szCs w:val="24"/>
          <w14:textFill>
            <w14:solidFill>
              <w14:schemeClr w14:val="tx1"/>
            </w14:solidFill>
          </w14:textFill>
        </w:rPr>
        <w:t>芯样试件混凝土抗压强度换算值（MPa），应精确至0.1MPa；</w:t>
      </w:r>
    </w:p>
    <w:p>
      <w:pPr>
        <w:adjustRightInd w:val="0"/>
        <w:snapToGrid w:val="0"/>
        <w:spacing w:line="360" w:lineRule="auto"/>
        <w:ind w:firstLine="720" w:firstLineChars="300"/>
        <w:rPr>
          <w:color w:val="000000" w:themeColor="text1"/>
          <w:sz w:val="24"/>
          <w:szCs w:val="24"/>
          <w14:textFill>
            <w14:solidFill>
              <w14:schemeClr w14:val="tx1"/>
            </w14:solidFill>
          </w14:textFill>
        </w:rPr>
      </w:pPr>
      <w:r>
        <w:rPr>
          <w:color w:val="000000" w:themeColor="text1"/>
          <w:position w:val="-12"/>
          <w:sz w:val="24"/>
          <w:szCs w:val="24"/>
          <w14:textFill>
            <w14:solidFill>
              <w14:schemeClr w14:val="tx1"/>
            </w14:solidFill>
          </w14:textFill>
        </w:rPr>
        <w:object>
          <v:shape id="_x0000_i1087" o:spt="75" type="#_x0000_t75" style="height:19.6pt;width:13.25pt;" o:ole="t" filled="f" o:preferrelative="t" stroked="f" coordsize="21600,21600">
            <v:path/>
            <v:fill on="f" focussize="0,0"/>
            <v:stroke on="f" joinstyle="miter"/>
            <v:imagedata r:id="rId129" o:title=""/>
            <o:lock v:ext="edit" aspectratio="t"/>
            <w10:wrap type="none"/>
            <w10:anchorlock/>
          </v:shape>
          <o:OLEObject Type="Embed" ProgID="Equation.DSMT4" ShapeID="_x0000_i1087" DrawAspect="Content" ObjectID="_1468075787" r:id="rId128">
            <o:LockedField>false</o:LockedField>
          </o:OLEObject>
        </w:object>
      </w:r>
      <w:r>
        <w:rPr>
          <w:color w:val="000000" w:themeColor="text1"/>
          <w:sz w:val="24"/>
          <w:szCs w:val="24"/>
          <w14:textFill>
            <w14:solidFill>
              <w14:schemeClr w14:val="tx1"/>
            </w14:solidFill>
          </w14:textFill>
        </w:rPr>
        <w:t>、</w:t>
      </w:r>
      <w:r>
        <w:rPr>
          <w:color w:val="000000" w:themeColor="text1"/>
          <w:position w:val="-12"/>
          <w:sz w:val="24"/>
          <w:szCs w:val="24"/>
          <w14:textFill>
            <w14:solidFill>
              <w14:schemeClr w14:val="tx1"/>
            </w14:solidFill>
          </w14:textFill>
        </w:rPr>
        <w:object>
          <v:shape id="_x0000_i1088" o:spt="75" type="#_x0000_t75" style="height:19.6pt;width:15pt;" o:ole="t" filled="f" o:preferrelative="t" stroked="f" coordsize="21600,21600">
            <v:path/>
            <v:fill on="f" focussize="0,0"/>
            <v:stroke on="f" joinstyle="miter"/>
            <v:imagedata r:id="rId131" o:title=""/>
            <o:lock v:ext="edit" aspectratio="t"/>
            <w10:wrap type="none"/>
            <w10:anchorlock/>
          </v:shape>
          <o:OLEObject Type="Embed" ProgID="Equation.DSMT4" ShapeID="_x0000_i1088" DrawAspect="Content" ObjectID="_1468075788" r:id="rId130">
            <o:LockedField>false</o:LockedField>
          </o:OLEObject>
        </w:object>
      </w:r>
      <w:r>
        <w:rPr>
          <w:color w:val="000000" w:themeColor="text1"/>
          <w:sz w:val="24"/>
          <w:szCs w:val="24"/>
          <w14:textFill>
            <w14:solidFill>
              <w14:schemeClr w14:val="tx1"/>
            </w14:solidFill>
          </w14:textFill>
        </w:rPr>
        <w:t>——推定系数，</w:t>
      </w:r>
      <w:r>
        <w:rPr>
          <w:rFonts w:hint="eastAsia"/>
          <w:color w:val="000000" w:themeColor="text1"/>
          <w:sz w:val="24"/>
          <w:szCs w:val="24"/>
          <w14:textFill>
            <w14:solidFill>
              <w14:schemeClr w14:val="tx1"/>
            </w14:solidFill>
          </w14:textFill>
        </w:rPr>
        <w:t>可</w:t>
      </w:r>
      <w:r>
        <w:rPr>
          <w:color w:val="000000" w:themeColor="text1"/>
          <w:sz w:val="24"/>
          <w:szCs w:val="24"/>
          <w14:textFill>
            <w14:solidFill>
              <w14:schemeClr w14:val="tx1"/>
            </w14:solidFill>
          </w14:textFill>
        </w:rPr>
        <w:t>按</w:t>
      </w:r>
      <w:r>
        <w:rPr>
          <w:rFonts w:hint="eastAsia"/>
          <w:color w:val="000000" w:themeColor="text1"/>
          <w:sz w:val="24"/>
          <w:szCs w:val="24"/>
          <w14:textFill>
            <w14:solidFill>
              <w14:schemeClr w14:val="tx1"/>
            </w14:solidFill>
          </w14:textFill>
        </w:rPr>
        <w:t>本</w:t>
      </w:r>
      <w:r>
        <w:rPr>
          <w:color w:val="000000" w:themeColor="text1"/>
          <w:sz w:val="24"/>
          <w:szCs w:val="24"/>
          <w14:textFill>
            <w14:solidFill>
              <w14:schemeClr w14:val="tx1"/>
            </w14:solidFill>
          </w14:textFill>
        </w:rPr>
        <w:t>标准</w:t>
      </w:r>
      <w:r>
        <w:rPr>
          <w:rFonts w:hint="eastAsia"/>
          <w:color w:val="000000" w:themeColor="text1"/>
          <w:sz w:val="24"/>
          <w:szCs w:val="24"/>
          <w14:textFill>
            <w14:solidFill>
              <w14:schemeClr w14:val="tx1"/>
            </w14:solidFill>
          </w14:textFill>
        </w:rPr>
        <w:t>附录B</w:t>
      </w:r>
      <w:r>
        <w:rPr>
          <w:color w:val="000000" w:themeColor="text1"/>
          <w:sz w:val="24"/>
          <w:szCs w:val="24"/>
          <w14:textFill>
            <w14:solidFill>
              <w14:schemeClr w14:val="tx1"/>
            </w14:solidFill>
          </w14:textFill>
        </w:rPr>
        <w:t>.0.1</w:t>
      </w:r>
      <w:r>
        <w:rPr>
          <w:rFonts w:hint="eastAsia"/>
          <w:color w:val="000000" w:themeColor="text1"/>
          <w:sz w:val="24"/>
          <w:szCs w:val="24"/>
          <w14:textFill>
            <w14:solidFill>
              <w14:schemeClr w14:val="tx1"/>
            </w14:solidFill>
          </w14:textFill>
        </w:rPr>
        <w:t>条的规定取值</w:t>
      </w:r>
      <w:r>
        <w:rPr>
          <w:color w:val="000000" w:themeColor="text1"/>
          <w:sz w:val="24"/>
          <w:szCs w:val="24"/>
          <w14:textFill>
            <w14:solidFill>
              <w14:schemeClr w14:val="tx1"/>
            </w14:solidFill>
          </w14:textFill>
        </w:rPr>
        <w:t>；</w:t>
      </w:r>
    </w:p>
    <w:p>
      <w:pPr>
        <w:adjustRightInd w:val="0"/>
        <w:snapToGrid w:val="0"/>
        <w:spacing w:line="360" w:lineRule="auto"/>
        <w:ind w:firstLine="720" w:firstLineChars="300"/>
        <w:rPr>
          <w:color w:val="000000" w:themeColor="text1"/>
          <w:sz w:val="24"/>
          <w:szCs w:val="24"/>
          <w14:textFill>
            <w14:solidFill>
              <w14:schemeClr w14:val="tx1"/>
            </w14:solidFill>
          </w14:textFill>
        </w:rPr>
      </w:pPr>
      <m:oMath>
        <m:r>
          <m:rPr>
            <m:sty m:val="p"/>
          </m:rPr>
          <w:rPr>
            <w:rFonts w:ascii="Cambria Math" w:hAnsi="Cambria Math"/>
            <w:color w:val="000000" w:themeColor="text1"/>
            <w:sz w:val="24"/>
            <w:szCs w:val="24"/>
            <w14:textFill>
              <w14:solidFill>
                <w14:schemeClr w14:val="tx1"/>
              </w14:solidFill>
            </w14:textFill>
          </w:rPr>
          <m:t>n</m:t>
        </m:r>
      </m:oMath>
      <w:r>
        <w:rPr>
          <w:color w:val="000000" w:themeColor="text1"/>
          <w:sz w:val="24"/>
          <w:szCs w:val="24"/>
          <w14:textFill>
            <w14:solidFill>
              <w14:schemeClr w14:val="tx1"/>
            </w14:solidFill>
          </w14:textFill>
        </w:rPr>
        <w:t>——芯样数量。</w:t>
      </w:r>
    </w:p>
    <w:bookmarkEnd w:id="126"/>
    <w:p>
      <w:pPr>
        <w:tabs>
          <w:tab w:val="left" w:pos="0"/>
          <w:tab w:val="left" w:pos="840"/>
        </w:tabs>
        <w:spacing w:line="360" w:lineRule="auto"/>
        <w:ind w:firstLine="481" w:firstLineChars="200"/>
        <w:rPr>
          <w:color w:val="000000" w:themeColor="text1"/>
          <w:sz w:val="24"/>
          <w:szCs w:val="24"/>
          <w14:textFill>
            <w14:solidFill>
              <w14:schemeClr w14:val="tx1"/>
            </w14:solidFill>
          </w14:textFill>
        </w:rPr>
      </w:pPr>
      <w:r>
        <w:rPr>
          <w:b/>
          <w:sz w:val="24"/>
          <w:szCs w:val="24"/>
        </w:rPr>
        <w:t>3</w:t>
      </w:r>
      <w:r>
        <w:rPr>
          <w:sz w:val="24"/>
          <w:szCs w:val="24"/>
        </w:rPr>
        <w:t xml:space="preserve">  抗压强度推定上限值</w:t>
      </w:r>
      <w:r>
        <w:rPr>
          <w:i/>
          <w:sz w:val="24"/>
          <w:szCs w:val="24"/>
        </w:rPr>
        <w:t>f</w:t>
      </w:r>
      <w:r>
        <w:rPr>
          <w:sz w:val="24"/>
          <w:szCs w:val="24"/>
          <w:vertAlign w:val="subscript"/>
        </w:rPr>
        <w:t>cu,e1</w:t>
      </w:r>
      <w:r>
        <w:rPr>
          <w:sz w:val="24"/>
          <w:szCs w:val="24"/>
        </w:rPr>
        <w:t>和抗压强度推定下限值</w:t>
      </w:r>
      <w:r>
        <w:rPr>
          <w:i/>
          <w:sz w:val="24"/>
          <w:szCs w:val="24"/>
        </w:rPr>
        <w:t>f</w:t>
      </w:r>
      <w:r>
        <w:rPr>
          <w:sz w:val="24"/>
          <w:szCs w:val="24"/>
          <w:vertAlign w:val="subscript"/>
        </w:rPr>
        <w:t>cu,e2</w:t>
      </w:r>
      <w:r>
        <w:rPr>
          <w:sz w:val="24"/>
          <w:szCs w:val="24"/>
        </w:rPr>
        <w:t>所构成推定区间的</w:t>
      </w:r>
      <w:r>
        <w:rPr>
          <w:color w:val="000000" w:themeColor="text1"/>
          <w:sz w:val="24"/>
          <w:szCs w:val="24"/>
          <w14:textFill>
            <w14:solidFill>
              <w14:schemeClr w14:val="tx1"/>
            </w14:solidFill>
          </w14:textFill>
        </w:rPr>
        <w:t>置信度宜为0.90，也可为0.85；</w:t>
      </w:r>
    </w:p>
    <w:p>
      <w:pPr>
        <w:tabs>
          <w:tab w:val="left" w:pos="0"/>
          <w:tab w:val="left" w:pos="840"/>
        </w:tabs>
        <w:spacing w:line="360" w:lineRule="auto"/>
        <w:ind w:firstLine="481" w:firstLineChars="200"/>
        <w:rPr>
          <w:sz w:val="24"/>
          <w:szCs w:val="24"/>
        </w:rPr>
      </w:pPr>
      <w:r>
        <w:rPr>
          <w:b/>
          <w:sz w:val="24"/>
          <w:szCs w:val="24"/>
        </w:rPr>
        <w:t>4</w:t>
      </w:r>
      <w:r>
        <w:rPr>
          <w:sz w:val="24"/>
          <w:szCs w:val="24"/>
        </w:rPr>
        <w:t xml:space="preserve">  </w:t>
      </w:r>
      <w:r>
        <w:rPr>
          <w:i/>
          <w:sz w:val="24"/>
          <w:szCs w:val="24"/>
        </w:rPr>
        <w:t>f</w:t>
      </w:r>
      <w:r>
        <w:rPr>
          <w:sz w:val="24"/>
          <w:szCs w:val="24"/>
          <w:vertAlign w:val="subscript"/>
        </w:rPr>
        <w:t>cu,e1</w:t>
      </w:r>
      <w:r>
        <w:rPr>
          <w:sz w:val="24"/>
          <w:szCs w:val="24"/>
        </w:rPr>
        <w:t>和</w:t>
      </w:r>
      <w:r>
        <w:rPr>
          <w:i/>
          <w:sz w:val="24"/>
          <w:szCs w:val="24"/>
        </w:rPr>
        <w:t>f</w:t>
      </w:r>
      <w:r>
        <w:rPr>
          <w:sz w:val="24"/>
          <w:szCs w:val="24"/>
          <w:vertAlign w:val="subscript"/>
        </w:rPr>
        <w:t>cu,e2</w:t>
      </w:r>
      <w:r>
        <w:rPr>
          <w:sz w:val="24"/>
          <w:szCs w:val="24"/>
        </w:rPr>
        <w:t>之间的差值不宜大于5.0MPa和0.10</w:t>
      </w:r>
      <w:r>
        <w:rPr>
          <w:color w:val="000000" w:themeColor="text1"/>
          <w:position w:val="-14"/>
          <w:sz w:val="24"/>
          <w:szCs w:val="24"/>
          <w14:textFill>
            <w14:solidFill>
              <w14:schemeClr w14:val="tx1"/>
            </w14:solidFill>
          </w14:textFill>
        </w:rPr>
        <w:object>
          <v:shape id="_x0000_i1089" o:spt="75" type="#_x0000_t75" style="height:19.6pt;width:34pt;" o:ole="t" filled="f" o:preferrelative="t" stroked="f" coordsize="21600,21600">
            <v:path/>
            <v:fill on="f" focussize="0,0"/>
            <v:stroke on="f" joinstyle="miter"/>
            <v:imagedata r:id="rId19" o:title=""/>
            <o:lock v:ext="edit" aspectratio="t"/>
            <w10:wrap type="none"/>
            <w10:anchorlock/>
          </v:shape>
          <o:OLEObject Type="Embed" ProgID="Equation.DSMT4" ShapeID="_x0000_i1089" DrawAspect="Content" ObjectID="_1468075789" r:id="rId132">
            <o:LockedField>false</o:LockedField>
          </o:OLEObject>
        </w:object>
      </w:r>
      <w:r>
        <w:rPr>
          <w:sz w:val="24"/>
          <w:szCs w:val="24"/>
        </w:rPr>
        <w:t>两者的较大值；</w:t>
      </w:r>
    </w:p>
    <w:p>
      <w:pPr>
        <w:tabs>
          <w:tab w:val="left" w:pos="0"/>
          <w:tab w:val="left" w:pos="840"/>
        </w:tabs>
        <w:spacing w:line="360" w:lineRule="auto"/>
        <w:ind w:firstLine="481" w:firstLineChars="200"/>
        <w:rPr>
          <w:sz w:val="24"/>
          <w:szCs w:val="24"/>
        </w:rPr>
      </w:pPr>
      <w:r>
        <w:rPr>
          <w:b/>
          <w:sz w:val="24"/>
          <w:szCs w:val="24"/>
        </w:rPr>
        <w:t>5</w:t>
      </w:r>
      <w:r>
        <w:rPr>
          <w:sz w:val="24"/>
          <w:szCs w:val="24"/>
        </w:rPr>
        <w:t xml:space="preserve">  </w:t>
      </w:r>
      <w:r>
        <w:rPr>
          <w:i/>
          <w:sz w:val="24"/>
          <w:szCs w:val="24"/>
        </w:rPr>
        <w:t>f</w:t>
      </w:r>
      <w:r>
        <w:rPr>
          <w:sz w:val="24"/>
          <w:szCs w:val="24"/>
          <w:vertAlign w:val="subscript"/>
        </w:rPr>
        <w:t>cu,e1</w:t>
      </w:r>
      <w:r>
        <w:rPr>
          <w:sz w:val="24"/>
          <w:szCs w:val="24"/>
        </w:rPr>
        <w:t>和</w:t>
      </w:r>
      <w:r>
        <w:rPr>
          <w:i/>
          <w:sz w:val="24"/>
          <w:szCs w:val="24"/>
        </w:rPr>
        <w:t>f</w:t>
      </w:r>
      <w:r>
        <w:rPr>
          <w:sz w:val="24"/>
          <w:szCs w:val="24"/>
          <w:vertAlign w:val="subscript"/>
        </w:rPr>
        <w:t>cu,e2</w:t>
      </w:r>
      <w:r>
        <w:rPr>
          <w:sz w:val="24"/>
          <w:szCs w:val="24"/>
        </w:rPr>
        <w:t>之间的差值大于5.0MPa和0.10</w:t>
      </w:r>
      <w:r>
        <w:rPr>
          <w:color w:val="000000" w:themeColor="text1"/>
          <w:position w:val="-14"/>
          <w:sz w:val="24"/>
          <w:szCs w:val="24"/>
          <w14:textFill>
            <w14:solidFill>
              <w14:schemeClr w14:val="tx1"/>
            </w14:solidFill>
          </w14:textFill>
        </w:rPr>
        <w:object>
          <v:shape id="_x0000_i1090" o:spt="75" type="#_x0000_t75" style="height:19.6pt;width:34pt;" o:ole="t" filled="f" o:preferrelative="t" stroked="f" coordsize="21600,21600">
            <v:path/>
            <v:fill on="f" focussize="0,0"/>
            <v:stroke on="f" joinstyle="miter"/>
            <v:imagedata r:id="rId19" o:title=""/>
            <o:lock v:ext="edit" aspectratio="t"/>
            <w10:wrap type="none"/>
            <w10:anchorlock/>
          </v:shape>
          <o:OLEObject Type="Embed" ProgID="Equation.DSMT4" ShapeID="_x0000_i1090" DrawAspect="Content" ObjectID="_1468075790" r:id="rId133">
            <o:LockedField>false</o:LockedField>
          </o:OLEObject>
        </w:object>
      </w:r>
      <w:r>
        <w:rPr>
          <w:sz w:val="24"/>
          <w:szCs w:val="24"/>
        </w:rPr>
        <w:t>两者的较大值时，可适当增加样本容量或重新划分检测批进行补充检测，直至满足本条第4款要求；</w:t>
      </w:r>
    </w:p>
    <w:p>
      <w:pPr>
        <w:tabs>
          <w:tab w:val="left" w:pos="0"/>
          <w:tab w:val="left" w:pos="840"/>
        </w:tabs>
        <w:spacing w:line="360" w:lineRule="auto"/>
        <w:ind w:firstLine="481" w:firstLineChars="200"/>
        <w:rPr>
          <w:sz w:val="24"/>
          <w:szCs w:val="24"/>
        </w:rPr>
      </w:pPr>
      <w:r>
        <w:rPr>
          <w:b/>
          <w:bCs/>
          <w:sz w:val="24"/>
          <w:szCs w:val="24"/>
        </w:rPr>
        <w:t>6</w:t>
      </w:r>
      <w:r>
        <w:rPr>
          <w:sz w:val="24"/>
          <w:szCs w:val="24"/>
        </w:rPr>
        <w:t xml:space="preserve">  当不具备本条第5款条件时，不宜进行批量推定；</w:t>
      </w:r>
    </w:p>
    <w:p>
      <w:pPr>
        <w:tabs>
          <w:tab w:val="left" w:pos="0"/>
          <w:tab w:val="left" w:pos="840"/>
        </w:tabs>
        <w:spacing w:line="360" w:lineRule="auto"/>
        <w:ind w:firstLine="481" w:firstLineChars="200"/>
        <w:rPr>
          <w:sz w:val="24"/>
          <w:szCs w:val="24"/>
        </w:rPr>
      </w:pPr>
      <w:r>
        <w:rPr>
          <w:b/>
          <w:bCs/>
          <w:sz w:val="24"/>
          <w:szCs w:val="24"/>
        </w:rPr>
        <w:t>7</w:t>
      </w:r>
      <w:r>
        <w:rPr>
          <w:sz w:val="24"/>
          <w:szCs w:val="24"/>
        </w:rPr>
        <w:t xml:space="preserve">  当具备本条第4款条件时，宜以</w:t>
      </w:r>
      <w:r>
        <w:rPr>
          <w:i/>
          <w:sz w:val="24"/>
          <w:szCs w:val="24"/>
        </w:rPr>
        <w:t>f</w:t>
      </w:r>
      <w:r>
        <w:rPr>
          <w:sz w:val="24"/>
          <w:szCs w:val="24"/>
          <w:vertAlign w:val="subscript"/>
        </w:rPr>
        <w:t>cu,e1</w:t>
      </w:r>
      <w:r>
        <w:rPr>
          <w:sz w:val="24"/>
          <w:szCs w:val="24"/>
        </w:rPr>
        <w:t>作为检测批混凝土强度的推定值；</w:t>
      </w:r>
    </w:p>
    <w:p>
      <w:pPr>
        <w:tabs>
          <w:tab w:val="left" w:pos="0"/>
          <w:tab w:val="left" w:pos="840"/>
        </w:tabs>
        <w:spacing w:line="360" w:lineRule="auto"/>
        <w:ind w:firstLine="481" w:firstLineChars="200"/>
        <w:rPr>
          <w:color w:val="000000" w:themeColor="text1"/>
          <w:sz w:val="24"/>
          <w:szCs w:val="24"/>
          <w14:textFill>
            <w14:solidFill>
              <w14:schemeClr w14:val="tx1"/>
            </w14:solidFill>
          </w14:textFill>
        </w:rPr>
      </w:pPr>
      <w:r>
        <w:rPr>
          <w:b/>
          <w:sz w:val="24"/>
          <w:szCs w:val="24"/>
        </w:rPr>
        <w:t>8</w:t>
      </w:r>
      <w:r>
        <w:rPr>
          <w:sz w:val="24"/>
          <w:szCs w:val="24"/>
        </w:rPr>
        <w:t xml:space="preserve">  确定检测批混凝土抗压强度推定值时，可剔除混凝土芯样试件抗压强度样本中的异常值，剔除规则应符合现行国家标准《数据的统计处理和解释 正态样本离群</w:t>
      </w:r>
      <w:r>
        <w:rPr>
          <w:color w:val="000000" w:themeColor="text1"/>
          <w:sz w:val="24"/>
          <w:szCs w:val="24"/>
          <w14:textFill>
            <w14:solidFill>
              <w14:schemeClr w14:val="tx1"/>
            </w14:solidFill>
          </w14:textFill>
        </w:rPr>
        <w:t>值的判断和处理》GB/T 4883的有关规定。</w:t>
      </w:r>
    </w:p>
    <w:p>
      <w:pPr>
        <w:tabs>
          <w:tab w:val="left" w:pos="0"/>
          <w:tab w:val="left" w:pos="840"/>
        </w:tabs>
        <w:spacing w:line="360" w:lineRule="auto"/>
        <w:rPr>
          <w:color w:val="FF0000"/>
          <w:sz w:val="24"/>
          <w:szCs w:val="24"/>
        </w:rPr>
      </w:pPr>
      <w:r>
        <w:rPr>
          <w:b/>
          <w:color w:val="000000" w:themeColor="text1"/>
          <w:sz w:val="24"/>
          <w:szCs w:val="24"/>
          <w14:textFill>
            <w14:solidFill>
              <w14:schemeClr w14:val="tx1"/>
            </w14:solidFill>
          </w14:textFill>
        </w:rPr>
        <w:t xml:space="preserve">A.0.5  </w:t>
      </w:r>
      <w:r>
        <w:rPr>
          <w:sz w:val="24"/>
          <w:szCs w:val="24"/>
        </w:rPr>
        <w:t>当按单个构件推定混凝土强度时，混凝土芯样试件的数量不应少于3个，</w:t>
      </w:r>
      <w:r>
        <w:rPr>
          <w:color w:val="000000" w:themeColor="text1"/>
          <w:sz w:val="24"/>
          <w:szCs w:val="24"/>
          <w14:textFill>
            <w14:solidFill>
              <w14:schemeClr w14:val="tx1"/>
            </w14:solidFill>
          </w14:textFill>
        </w:rPr>
        <w:t>单个构件的混凝土抗压强度推定</w:t>
      </w:r>
      <w:r>
        <w:rPr>
          <w:rFonts w:hint="eastAsia"/>
          <w:color w:val="000000" w:themeColor="text1"/>
          <w:sz w:val="24"/>
          <w:szCs w:val="24"/>
          <w14:textFill>
            <w14:solidFill>
              <w14:schemeClr w14:val="tx1"/>
            </w14:solidFill>
          </w14:textFill>
        </w:rPr>
        <w:t>时</w:t>
      </w:r>
      <w:r>
        <w:rPr>
          <w:color w:val="000000" w:themeColor="text1"/>
          <w:sz w:val="24"/>
          <w:szCs w:val="24"/>
          <w14:textFill>
            <w14:solidFill>
              <w14:schemeClr w14:val="tx1"/>
            </w14:solidFill>
          </w14:textFill>
        </w:rPr>
        <w:t>不应进行数据的舍弃，且推定值应取芯样试件混凝土抗压强度值中的最小值</w:t>
      </w:r>
      <w:r>
        <w:rPr>
          <w:sz w:val="24"/>
          <w:szCs w:val="24"/>
        </w:rPr>
        <w:t>。</w:t>
      </w:r>
      <w:r>
        <w:rPr>
          <w:bCs/>
          <w:sz w:val="24"/>
          <w:szCs w:val="24"/>
        </w:rPr>
        <w:br w:type="page"/>
      </w:r>
    </w:p>
    <w:p>
      <w:pPr>
        <w:keepNext/>
        <w:keepLines/>
        <w:spacing w:before="240" w:beforeLines="100" w:after="120" w:afterLines="50" w:line="400" w:lineRule="exact"/>
        <w:jc w:val="center"/>
        <w:outlineLvl w:val="0"/>
        <w:rPr>
          <w:b/>
          <w:kern w:val="44"/>
          <w:sz w:val="28"/>
          <w:szCs w:val="28"/>
        </w:rPr>
      </w:pPr>
      <w:bookmarkStart w:id="127" w:name="_Toc120020299"/>
      <w:r>
        <w:rPr>
          <w:b/>
          <w:kern w:val="44"/>
          <w:sz w:val="28"/>
          <w:szCs w:val="28"/>
        </w:rPr>
        <w:t xml:space="preserve">附录B  </w:t>
      </w:r>
      <w:r>
        <w:rPr>
          <w:rFonts w:hint="eastAsia"/>
          <w:b/>
          <w:kern w:val="44"/>
          <w:sz w:val="28"/>
          <w:szCs w:val="28"/>
        </w:rPr>
        <w:t>推定系数</w:t>
      </w:r>
      <w:bookmarkEnd w:id="127"/>
    </w:p>
    <w:p>
      <w:pPr>
        <w:adjustRightInd w:val="0"/>
        <w:snapToGrid w:val="0"/>
        <w:spacing w:line="360" w:lineRule="auto"/>
        <w:rPr>
          <w:b/>
          <w:kern w:val="0"/>
          <w:sz w:val="24"/>
          <w:szCs w:val="24"/>
        </w:rPr>
      </w:pPr>
      <w:r>
        <w:rPr>
          <w:rFonts w:hint="eastAsia"/>
          <w:b/>
          <w:kern w:val="0"/>
          <w:sz w:val="24"/>
          <w:szCs w:val="24"/>
        </w:rPr>
        <w:t>B.0.</w:t>
      </w:r>
      <w:r>
        <w:rPr>
          <w:b/>
          <w:kern w:val="0"/>
          <w:sz w:val="24"/>
          <w:szCs w:val="24"/>
        </w:rPr>
        <w:t>1</w:t>
      </w:r>
      <w:r>
        <w:rPr>
          <w:rFonts w:hint="eastAsia"/>
          <w:b/>
          <w:kern w:val="0"/>
          <w:sz w:val="24"/>
          <w:szCs w:val="24"/>
        </w:rPr>
        <w:t xml:space="preserve"> </w:t>
      </w:r>
      <w:r>
        <w:rPr>
          <w:rFonts w:hint="eastAsia"/>
          <w:kern w:val="0"/>
          <w:sz w:val="24"/>
          <w:szCs w:val="24"/>
        </w:rPr>
        <w:t>对符合正态分布的数据样本，当错判概率和漏判概率为0</w:t>
      </w:r>
      <w:r>
        <w:rPr>
          <w:kern w:val="0"/>
          <w:sz w:val="24"/>
          <w:szCs w:val="24"/>
        </w:rPr>
        <w:t>.05</w:t>
      </w:r>
      <w:r>
        <w:rPr>
          <w:rFonts w:hint="eastAsia"/>
          <w:kern w:val="0"/>
          <w:sz w:val="24"/>
          <w:szCs w:val="24"/>
        </w:rPr>
        <w:t>或0</w:t>
      </w:r>
      <w:r>
        <w:rPr>
          <w:kern w:val="0"/>
          <w:sz w:val="24"/>
          <w:szCs w:val="24"/>
        </w:rPr>
        <w:t>.10</w:t>
      </w:r>
      <w:r>
        <w:rPr>
          <w:rFonts w:hint="eastAsia"/>
          <w:kern w:val="0"/>
          <w:sz w:val="24"/>
          <w:szCs w:val="24"/>
        </w:rPr>
        <w:t>时，0.05分位值的推定系数可按表B.0.</w:t>
      </w:r>
      <w:r>
        <w:rPr>
          <w:kern w:val="0"/>
          <w:sz w:val="24"/>
          <w:szCs w:val="24"/>
        </w:rPr>
        <w:t>1</w:t>
      </w:r>
      <w:r>
        <w:rPr>
          <w:rFonts w:hint="eastAsia"/>
          <w:kern w:val="0"/>
          <w:sz w:val="24"/>
          <w:szCs w:val="24"/>
        </w:rPr>
        <w:t>取值</w:t>
      </w:r>
      <w:r>
        <w:rPr>
          <w:color w:val="000000"/>
          <w:sz w:val="24"/>
        </w:rPr>
        <w:t>。</w:t>
      </w:r>
    </w:p>
    <w:p>
      <w:pPr>
        <w:adjustRightInd w:val="0"/>
        <w:snapToGrid w:val="0"/>
        <w:spacing w:before="120" w:beforeLines="50"/>
        <w:jc w:val="center"/>
        <w:rPr>
          <w:b/>
          <w:bCs/>
          <w:color w:val="000000"/>
          <w:sz w:val="24"/>
        </w:rPr>
      </w:pPr>
      <w:r>
        <w:rPr>
          <w:rFonts w:hint="eastAsia"/>
          <w:b/>
          <w:bCs/>
          <w:color w:val="000000"/>
          <w:sz w:val="24"/>
        </w:rPr>
        <w:t>表B.0.</w:t>
      </w:r>
      <w:r>
        <w:rPr>
          <w:b/>
          <w:bCs/>
          <w:color w:val="000000"/>
          <w:sz w:val="24"/>
        </w:rPr>
        <w:t>1</w:t>
      </w:r>
      <w:r>
        <w:rPr>
          <w:rFonts w:hint="eastAsia"/>
          <w:b/>
          <w:bCs/>
          <w:color w:val="000000"/>
          <w:sz w:val="24"/>
        </w:rPr>
        <w:t xml:space="preserve">  0.05分位值的推定系数</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588"/>
        <w:gridCol w:w="1588"/>
        <w:gridCol w:w="1588"/>
        <w:gridCol w:w="1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88" w:type="dxa"/>
            <w:vMerge w:val="restart"/>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样本</w:t>
            </w:r>
            <w:r>
              <w:rPr>
                <w:color w:val="000000" w:themeColor="text1"/>
                <w14:textFill>
                  <w14:solidFill>
                    <w14:schemeClr w14:val="tx1"/>
                  </w14:solidFill>
                </w14:textFill>
              </w:rPr>
              <w:t>数量</w:t>
            </w:r>
          </w:p>
          <w:p>
            <w:pPr>
              <w:adjustRightInd w:val="0"/>
              <w:snapToGrid w:val="0"/>
              <w:jc w:val="center"/>
              <w:rPr>
                <w:color w:val="000000" w:themeColor="text1"/>
                <w14:textFill>
                  <w14:solidFill>
                    <w14:schemeClr w14:val="tx1"/>
                  </w14:solidFill>
                </w14:textFill>
              </w:rPr>
            </w:pPr>
            <w:r>
              <w:rPr>
                <w:color w:val="000000" w:themeColor="text1"/>
                <w:position w:val="-6"/>
                <w14:textFill>
                  <w14:solidFill>
                    <w14:schemeClr w14:val="tx1"/>
                  </w14:solidFill>
                </w14:textFill>
              </w:rPr>
              <w:object>
                <v:shape id="_x0000_i1091" o:spt="75" type="#_x0000_t75" style="height:11.5pt;width:11.5pt;" o:ole="t" filled="f" o:preferrelative="t" stroked="f" coordsize="21600,21600">
                  <v:path/>
                  <v:fill on="f" focussize="0,0"/>
                  <v:stroke on="f" joinstyle="miter"/>
                  <v:imagedata r:id="rId135" o:title=""/>
                  <o:lock v:ext="edit" aspectratio="t"/>
                  <w10:wrap type="none"/>
                  <w10:anchorlock/>
                </v:shape>
                <o:OLEObject Type="Embed" ProgID="Equation.DSMT4" ShapeID="_x0000_i1091" DrawAspect="Content" ObjectID="_1468075791" r:id="rId134">
                  <o:LockedField>false</o:LockedField>
                </o:OLEObject>
              </w:object>
            </w:r>
          </w:p>
        </w:tc>
        <w:tc>
          <w:tcPr>
            <w:tcW w:w="3176" w:type="dxa"/>
            <w:gridSpan w:val="2"/>
            <w:vAlign w:val="center"/>
          </w:tcPr>
          <w:p>
            <w:pPr>
              <w:adjustRightInd w:val="0"/>
              <w:snapToGrid w:val="0"/>
              <w:jc w:val="center"/>
              <w:rPr>
                <w:color w:val="000000" w:themeColor="text1"/>
                <w14:textFill>
                  <w14:solidFill>
                    <w14:schemeClr w14:val="tx1"/>
                  </w14:solidFill>
                </w14:textFill>
              </w:rPr>
            </w:pPr>
            <w:r>
              <w:rPr>
                <w:color w:val="000000" w:themeColor="text1"/>
                <w:position w:val="-6"/>
                <w14:textFill>
                  <w14:solidFill>
                    <w14:schemeClr w14:val="tx1"/>
                  </w14:solidFill>
                </w14:textFill>
              </w:rPr>
              <w:object>
                <v:shape id="_x0000_i1092" o:spt="75" type="#_x0000_t75" style="height:15pt;width:11.5pt;" o:ole="t" filled="f" o:preferrelative="t" stroked="f" coordsize="21600,21600">
                  <v:path/>
                  <v:fill on="f" focussize="0,0"/>
                  <v:stroke on="f" joinstyle="miter"/>
                  <v:imagedata r:id="rId137" o:title=""/>
                  <o:lock v:ext="edit" aspectratio="t"/>
                  <w10:wrap type="none"/>
                  <w10:anchorlock/>
                </v:shape>
                <o:OLEObject Type="Embed" ProgID="Equation.DSMT4" ShapeID="_x0000_i1092" DrawAspect="Content" ObjectID="_1468075792" r:id="rId136">
                  <o:LockedField>false</o:LockedField>
                </o:OLEObject>
              </w:object>
            </w:r>
            <w:r>
              <w:rPr>
                <w:rFonts w:hint="eastAsia"/>
                <w:color w:val="000000" w:themeColor="text1"/>
                <w:vertAlign w:val="subscript"/>
                <w14:textFill>
                  <w14:solidFill>
                    <w14:schemeClr w14:val="tx1"/>
                  </w14:solidFill>
                </w14:textFill>
              </w:rPr>
              <w:t>1</w:t>
            </w:r>
          </w:p>
        </w:tc>
        <w:tc>
          <w:tcPr>
            <w:tcW w:w="3176" w:type="dxa"/>
            <w:gridSpan w:val="2"/>
            <w:vAlign w:val="center"/>
          </w:tcPr>
          <w:p>
            <w:pPr>
              <w:adjustRightInd w:val="0"/>
              <w:snapToGrid w:val="0"/>
              <w:jc w:val="center"/>
              <w:rPr>
                <w:color w:val="000000" w:themeColor="text1"/>
                <w14:textFill>
                  <w14:solidFill>
                    <w14:schemeClr w14:val="tx1"/>
                  </w14:solidFill>
                </w14:textFill>
              </w:rPr>
            </w:pPr>
            <w:r>
              <w:rPr>
                <w:color w:val="000000" w:themeColor="text1"/>
                <w:position w:val="-6"/>
                <w14:textFill>
                  <w14:solidFill>
                    <w14:schemeClr w14:val="tx1"/>
                  </w14:solidFill>
                </w14:textFill>
              </w:rPr>
              <w:object>
                <v:shape id="_x0000_i1093" o:spt="75" type="#_x0000_t75" style="height:15pt;width:11.5pt;" o:ole="t" filled="f" o:preferrelative="t" stroked="f" coordsize="21600,21600">
                  <v:path/>
                  <v:fill on="f" focussize="0,0"/>
                  <v:stroke on="f" joinstyle="miter"/>
                  <v:imagedata r:id="rId137" o:title=""/>
                  <o:lock v:ext="edit" aspectratio="t"/>
                  <w10:wrap type="none"/>
                  <w10:anchorlock/>
                </v:shape>
                <o:OLEObject Type="Embed" ProgID="Equation.DSMT4" ShapeID="_x0000_i1093" DrawAspect="Content" ObjectID="_1468075793" r:id="rId138">
                  <o:LockedField>false</o:LockedField>
                </o:OLEObject>
              </w:object>
            </w:r>
            <w:r>
              <w:rPr>
                <w:rFonts w:hint="eastAsia"/>
                <w:color w:val="000000" w:themeColor="text1"/>
                <w:vertAlign w:val="sub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88" w:type="dxa"/>
            <w:vMerge w:val="continue"/>
            <w:vAlign w:val="center"/>
          </w:tcPr>
          <w:p>
            <w:pPr>
              <w:adjustRightInd w:val="0"/>
              <w:snapToGrid w:val="0"/>
              <w:jc w:val="center"/>
              <w:rPr>
                <w:color w:val="000000" w:themeColor="text1"/>
                <w:szCs w:val="21"/>
                <w14:textFill>
                  <w14:solidFill>
                    <w14:schemeClr w14:val="tx1"/>
                  </w14:solidFill>
                </w14:textFill>
              </w:rPr>
            </w:pP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.05</w:t>
            </w:r>
          </w:p>
        </w:tc>
        <w:tc>
          <w:tcPr>
            <w:tcW w:w="158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0.10</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.05</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0.818</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0.982</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4.203</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0.875</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1.028</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3.708</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0.920</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1.065</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3.399</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2.894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0.958</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1.096</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3.187</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2.754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0.990</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1.122</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3.031</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1.017</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1.144</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2.911</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1.041</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1.163</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2.815</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12</w:t>
            </w:r>
          </w:p>
        </w:tc>
        <w:tc>
          <w:tcPr>
            <w:tcW w:w="1588" w:type="dxa"/>
            <w:vAlign w:val="center"/>
          </w:tcPr>
          <w:p>
            <w:pPr>
              <w:adjustRightInd w:val="0"/>
              <w:snapToGrid w:val="0"/>
              <w:jc w:val="center"/>
              <w:rPr>
                <w:color w:val="000000"/>
                <w:szCs w:val="21"/>
              </w:rPr>
            </w:pPr>
            <w:r>
              <w:rPr>
                <w:rFonts w:hint="eastAsia"/>
                <w:color w:val="000000"/>
                <w:szCs w:val="21"/>
              </w:rPr>
              <w:t>1.062</w:t>
            </w:r>
          </w:p>
        </w:tc>
        <w:tc>
          <w:tcPr>
            <w:tcW w:w="1588" w:type="dxa"/>
            <w:vAlign w:val="center"/>
          </w:tcPr>
          <w:p>
            <w:pPr>
              <w:adjustRightInd w:val="0"/>
              <w:snapToGrid w:val="0"/>
              <w:jc w:val="center"/>
              <w:rPr>
                <w:color w:val="000000"/>
                <w:szCs w:val="21"/>
              </w:rPr>
            </w:pPr>
            <w:r>
              <w:rPr>
                <w:rFonts w:hint="eastAsia"/>
                <w:szCs w:val="21"/>
              </w:rPr>
              <w:t>1.180</w:t>
            </w:r>
          </w:p>
        </w:tc>
        <w:tc>
          <w:tcPr>
            <w:tcW w:w="1588" w:type="dxa"/>
            <w:vAlign w:val="center"/>
          </w:tcPr>
          <w:p>
            <w:pPr>
              <w:adjustRightInd w:val="0"/>
              <w:snapToGrid w:val="0"/>
              <w:jc w:val="center"/>
              <w:rPr>
                <w:color w:val="000000"/>
                <w:szCs w:val="21"/>
              </w:rPr>
            </w:pPr>
            <w:r>
              <w:rPr>
                <w:rFonts w:hint="eastAsia"/>
                <w:color w:val="000000"/>
                <w:szCs w:val="21"/>
              </w:rPr>
              <w:t>2.736</w:t>
            </w:r>
          </w:p>
        </w:tc>
        <w:tc>
          <w:tcPr>
            <w:tcW w:w="1588" w:type="dxa"/>
            <w:vAlign w:val="center"/>
          </w:tcPr>
          <w:p>
            <w:pPr>
              <w:adjustRightInd w:val="0"/>
              <w:snapToGrid w:val="0"/>
              <w:jc w:val="center"/>
              <w:rPr>
                <w:szCs w:val="21"/>
              </w:rPr>
            </w:pPr>
            <w:r>
              <w:rPr>
                <w:rFonts w:hint="eastAsia"/>
                <w:szCs w:val="21"/>
              </w:rPr>
              <w:t>2.448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13</w:t>
            </w:r>
          </w:p>
        </w:tc>
        <w:tc>
          <w:tcPr>
            <w:tcW w:w="1588" w:type="dxa"/>
            <w:vAlign w:val="center"/>
          </w:tcPr>
          <w:p>
            <w:pPr>
              <w:adjustRightInd w:val="0"/>
              <w:snapToGrid w:val="0"/>
              <w:jc w:val="center"/>
              <w:rPr>
                <w:color w:val="000000"/>
                <w:szCs w:val="21"/>
              </w:rPr>
            </w:pPr>
            <w:r>
              <w:rPr>
                <w:rFonts w:hint="eastAsia"/>
                <w:color w:val="000000"/>
                <w:szCs w:val="21"/>
              </w:rPr>
              <w:t>1.081</w:t>
            </w:r>
          </w:p>
        </w:tc>
        <w:tc>
          <w:tcPr>
            <w:tcW w:w="1588" w:type="dxa"/>
            <w:vAlign w:val="center"/>
          </w:tcPr>
          <w:p>
            <w:pPr>
              <w:adjustRightInd w:val="0"/>
              <w:snapToGrid w:val="0"/>
              <w:jc w:val="center"/>
              <w:rPr>
                <w:color w:val="000000"/>
                <w:szCs w:val="21"/>
              </w:rPr>
            </w:pPr>
            <w:r>
              <w:rPr>
                <w:rFonts w:hint="eastAsia"/>
                <w:szCs w:val="21"/>
              </w:rPr>
              <w:t>1.196</w:t>
            </w:r>
          </w:p>
        </w:tc>
        <w:tc>
          <w:tcPr>
            <w:tcW w:w="1588" w:type="dxa"/>
            <w:vAlign w:val="center"/>
          </w:tcPr>
          <w:p>
            <w:pPr>
              <w:adjustRightInd w:val="0"/>
              <w:snapToGrid w:val="0"/>
              <w:jc w:val="center"/>
              <w:rPr>
                <w:color w:val="000000"/>
                <w:szCs w:val="21"/>
              </w:rPr>
            </w:pPr>
            <w:r>
              <w:rPr>
                <w:rFonts w:hint="eastAsia"/>
                <w:color w:val="000000"/>
                <w:szCs w:val="21"/>
              </w:rPr>
              <w:t>2.671</w:t>
            </w:r>
          </w:p>
        </w:tc>
        <w:tc>
          <w:tcPr>
            <w:tcW w:w="1588" w:type="dxa"/>
            <w:vAlign w:val="center"/>
          </w:tcPr>
          <w:p>
            <w:pPr>
              <w:adjustRightInd w:val="0"/>
              <w:snapToGrid w:val="0"/>
              <w:jc w:val="center"/>
              <w:rPr>
                <w:szCs w:val="21"/>
              </w:rPr>
            </w:pPr>
            <w:r>
              <w:rPr>
                <w:rFonts w:hint="eastAsia"/>
                <w:szCs w:val="21"/>
              </w:rPr>
              <w:t>2.402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14</w:t>
            </w:r>
          </w:p>
        </w:tc>
        <w:tc>
          <w:tcPr>
            <w:tcW w:w="1588" w:type="dxa"/>
            <w:vAlign w:val="center"/>
          </w:tcPr>
          <w:p>
            <w:pPr>
              <w:adjustRightInd w:val="0"/>
              <w:snapToGrid w:val="0"/>
              <w:jc w:val="center"/>
              <w:rPr>
                <w:color w:val="000000"/>
                <w:szCs w:val="21"/>
              </w:rPr>
            </w:pPr>
            <w:r>
              <w:rPr>
                <w:rFonts w:hint="eastAsia"/>
                <w:color w:val="000000"/>
                <w:szCs w:val="21"/>
              </w:rPr>
              <w:t>1.098</w:t>
            </w:r>
          </w:p>
        </w:tc>
        <w:tc>
          <w:tcPr>
            <w:tcW w:w="1588" w:type="dxa"/>
            <w:vAlign w:val="center"/>
          </w:tcPr>
          <w:p>
            <w:pPr>
              <w:adjustRightInd w:val="0"/>
              <w:snapToGrid w:val="0"/>
              <w:jc w:val="center"/>
              <w:rPr>
                <w:color w:val="000000"/>
                <w:szCs w:val="21"/>
              </w:rPr>
            </w:pPr>
            <w:r>
              <w:rPr>
                <w:rFonts w:hint="eastAsia"/>
                <w:szCs w:val="21"/>
              </w:rPr>
              <w:t>1.210</w:t>
            </w:r>
          </w:p>
        </w:tc>
        <w:tc>
          <w:tcPr>
            <w:tcW w:w="1588" w:type="dxa"/>
            <w:vAlign w:val="center"/>
          </w:tcPr>
          <w:p>
            <w:pPr>
              <w:adjustRightInd w:val="0"/>
              <w:snapToGrid w:val="0"/>
              <w:jc w:val="center"/>
              <w:rPr>
                <w:color w:val="000000"/>
                <w:szCs w:val="21"/>
              </w:rPr>
            </w:pPr>
            <w:r>
              <w:rPr>
                <w:rFonts w:hint="eastAsia"/>
                <w:color w:val="000000"/>
                <w:szCs w:val="21"/>
              </w:rPr>
              <w:t>2.614</w:t>
            </w:r>
          </w:p>
        </w:tc>
        <w:tc>
          <w:tcPr>
            <w:tcW w:w="1588" w:type="dxa"/>
            <w:vAlign w:val="center"/>
          </w:tcPr>
          <w:p>
            <w:pPr>
              <w:adjustRightInd w:val="0"/>
              <w:snapToGrid w:val="0"/>
              <w:jc w:val="center"/>
              <w:rPr>
                <w:szCs w:val="21"/>
              </w:rPr>
            </w:pPr>
            <w:r>
              <w:rPr>
                <w:rFonts w:hint="eastAsia"/>
                <w:szCs w:val="21"/>
              </w:rPr>
              <w:t>2.363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15</w:t>
            </w:r>
          </w:p>
        </w:tc>
        <w:tc>
          <w:tcPr>
            <w:tcW w:w="1588" w:type="dxa"/>
            <w:vAlign w:val="center"/>
          </w:tcPr>
          <w:p>
            <w:pPr>
              <w:adjustRightInd w:val="0"/>
              <w:snapToGrid w:val="0"/>
              <w:jc w:val="center"/>
              <w:rPr>
                <w:color w:val="000000"/>
                <w:szCs w:val="21"/>
              </w:rPr>
            </w:pPr>
            <w:r>
              <w:rPr>
                <w:rFonts w:hint="eastAsia"/>
                <w:color w:val="000000"/>
                <w:szCs w:val="21"/>
              </w:rPr>
              <w:t>1.114</w:t>
            </w:r>
          </w:p>
        </w:tc>
        <w:tc>
          <w:tcPr>
            <w:tcW w:w="1588" w:type="dxa"/>
            <w:vAlign w:val="center"/>
          </w:tcPr>
          <w:p>
            <w:pPr>
              <w:adjustRightInd w:val="0"/>
              <w:snapToGrid w:val="0"/>
              <w:jc w:val="center"/>
              <w:rPr>
                <w:color w:val="000000"/>
                <w:szCs w:val="21"/>
              </w:rPr>
            </w:pPr>
            <w:r>
              <w:rPr>
                <w:rFonts w:hint="eastAsia"/>
                <w:szCs w:val="21"/>
              </w:rPr>
              <w:t>1.222</w:t>
            </w:r>
          </w:p>
        </w:tc>
        <w:tc>
          <w:tcPr>
            <w:tcW w:w="1588" w:type="dxa"/>
            <w:vAlign w:val="center"/>
          </w:tcPr>
          <w:p>
            <w:pPr>
              <w:adjustRightInd w:val="0"/>
              <w:snapToGrid w:val="0"/>
              <w:jc w:val="center"/>
              <w:rPr>
                <w:color w:val="000000"/>
                <w:szCs w:val="21"/>
              </w:rPr>
            </w:pPr>
            <w:r>
              <w:rPr>
                <w:rFonts w:hint="eastAsia"/>
                <w:color w:val="000000"/>
                <w:szCs w:val="21"/>
              </w:rPr>
              <w:t>2.566</w:t>
            </w:r>
          </w:p>
        </w:tc>
        <w:tc>
          <w:tcPr>
            <w:tcW w:w="1588" w:type="dxa"/>
            <w:vAlign w:val="center"/>
          </w:tcPr>
          <w:p>
            <w:pPr>
              <w:adjustRightInd w:val="0"/>
              <w:snapToGrid w:val="0"/>
              <w:jc w:val="center"/>
              <w:rPr>
                <w:szCs w:val="21"/>
              </w:rPr>
            </w:pPr>
            <w:r>
              <w:rPr>
                <w:rFonts w:hint="eastAsia"/>
                <w:szCs w:val="21"/>
              </w:rPr>
              <w:t>2.329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16</w:t>
            </w:r>
          </w:p>
        </w:tc>
        <w:tc>
          <w:tcPr>
            <w:tcW w:w="1588" w:type="dxa"/>
            <w:vAlign w:val="center"/>
          </w:tcPr>
          <w:p>
            <w:pPr>
              <w:adjustRightInd w:val="0"/>
              <w:snapToGrid w:val="0"/>
              <w:jc w:val="center"/>
              <w:rPr>
                <w:color w:val="000000"/>
                <w:szCs w:val="21"/>
              </w:rPr>
            </w:pPr>
            <w:r>
              <w:rPr>
                <w:rFonts w:hint="eastAsia"/>
                <w:color w:val="000000"/>
                <w:szCs w:val="21"/>
              </w:rPr>
              <w:t>1.128</w:t>
            </w:r>
          </w:p>
        </w:tc>
        <w:tc>
          <w:tcPr>
            <w:tcW w:w="1588" w:type="dxa"/>
            <w:vAlign w:val="center"/>
          </w:tcPr>
          <w:p>
            <w:pPr>
              <w:adjustRightInd w:val="0"/>
              <w:snapToGrid w:val="0"/>
              <w:jc w:val="center"/>
              <w:rPr>
                <w:color w:val="000000"/>
                <w:szCs w:val="21"/>
              </w:rPr>
            </w:pPr>
            <w:r>
              <w:rPr>
                <w:rFonts w:hint="eastAsia"/>
                <w:szCs w:val="21"/>
              </w:rPr>
              <w:t>1.234</w:t>
            </w:r>
          </w:p>
        </w:tc>
        <w:tc>
          <w:tcPr>
            <w:tcW w:w="1588" w:type="dxa"/>
            <w:vAlign w:val="center"/>
          </w:tcPr>
          <w:p>
            <w:pPr>
              <w:adjustRightInd w:val="0"/>
              <w:snapToGrid w:val="0"/>
              <w:jc w:val="center"/>
              <w:rPr>
                <w:color w:val="000000"/>
                <w:szCs w:val="21"/>
              </w:rPr>
            </w:pPr>
            <w:r>
              <w:rPr>
                <w:rFonts w:hint="eastAsia"/>
                <w:color w:val="000000"/>
                <w:szCs w:val="21"/>
              </w:rPr>
              <w:t>2.524</w:t>
            </w:r>
          </w:p>
        </w:tc>
        <w:tc>
          <w:tcPr>
            <w:tcW w:w="1588" w:type="dxa"/>
            <w:vAlign w:val="center"/>
          </w:tcPr>
          <w:p>
            <w:pPr>
              <w:adjustRightInd w:val="0"/>
              <w:snapToGrid w:val="0"/>
              <w:jc w:val="center"/>
              <w:rPr>
                <w:szCs w:val="21"/>
              </w:rPr>
            </w:pPr>
            <w:r>
              <w:rPr>
                <w:rFonts w:hint="eastAsia"/>
                <w:szCs w:val="21"/>
              </w:rPr>
              <w:t>2.299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17</w:t>
            </w:r>
          </w:p>
        </w:tc>
        <w:tc>
          <w:tcPr>
            <w:tcW w:w="1588" w:type="dxa"/>
            <w:vAlign w:val="center"/>
          </w:tcPr>
          <w:p>
            <w:pPr>
              <w:adjustRightInd w:val="0"/>
              <w:snapToGrid w:val="0"/>
              <w:jc w:val="center"/>
              <w:rPr>
                <w:color w:val="000000"/>
                <w:szCs w:val="21"/>
              </w:rPr>
            </w:pPr>
            <w:r>
              <w:rPr>
                <w:rFonts w:hint="eastAsia"/>
                <w:color w:val="000000"/>
                <w:szCs w:val="21"/>
              </w:rPr>
              <w:t>1.141</w:t>
            </w:r>
          </w:p>
        </w:tc>
        <w:tc>
          <w:tcPr>
            <w:tcW w:w="1588" w:type="dxa"/>
            <w:vAlign w:val="center"/>
          </w:tcPr>
          <w:p>
            <w:pPr>
              <w:adjustRightInd w:val="0"/>
              <w:snapToGrid w:val="0"/>
              <w:jc w:val="center"/>
              <w:rPr>
                <w:color w:val="000000"/>
                <w:szCs w:val="21"/>
              </w:rPr>
            </w:pPr>
            <w:r>
              <w:rPr>
                <w:rFonts w:hint="eastAsia"/>
                <w:szCs w:val="21"/>
              </w:rPr>
              <w:t>1.244</w:t>
            </w:r>
          </w:p>
        </w:tc>
        <w:tc>
          <w:tcPr>
            <w:tcW w:w="1588" w:type="dxa"/>
            <w:vAlign w:val="center"/>
          </w:tcPr>
          <w:p>
            <w:pPr>
              <w:adjustRightInd w:val="0"/>
              <w:snapToGrid w:val="0"/>
              <w:jc w:val="center"/>
              <w:rPr>
                <w:color w:val="000000"/>
                <w:szCs w:val="21"/>
              </w:rPr>
            </w:pPr>
            <w:r>
              <w:rPr>
                <w:rFonts w:hint="eastAsia"/>
                <w:color w:val="000000"/>
                <w:szCs w:val="21"/>
              </w:rPr>
              <w:t>2.486</w:t>
            </w:r>
          </w:p>
        </w:tc>
        <w:tc>
          <w:tcPr>
            <w:tcW w:w="1588" w:type="dxa"/>
            <w:vAlign w:val="center"/>
          </w:tcPr>
          <w:p>
            <w:pPr>
              <w:adjustRightInd w:val="0"/>
              <w:snapToGrid w:val="0"/>
              <w:jc w:val="center"/>
              <w:rPr>
                <w:szCs w:val="21"/>
              </w:rPr>
            </w:pPr>
            <w:r>
              <w:rPr>
                <w:rFonts w:hint="eastAsia"/>
                <w:szCs w:val="21"/>
              </w:rPr>
              <w:t>2.272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18</w:t>
            </w:r>
          </w:p>
        </w:tc>
        <w:tc>
          <w:tcPr>
            <w:tcW w:w="1588" w:type="dxa"/>
            <w:vAlign w:val="center"/>
          </w:tcPr>
          <w:p>
            <w:pPr>
              <w:adjustRightInd w:val="0"/>
              <w:snapToGrid w:val="0"/>
              <w:jc w:val="center"/>
              <w:rPr>
                <w:color w:val="000000"/>
                <w:szCs w:val="21"/>
              </w:rPr>
            </w:pPr>
            <w:r>
              <w:rPr>
                <w:rFonts w:hint="eastAsia"/>
                <w:color w:val="000000"/>
                <w:szCs w:val="21"/>
              </w:rPr>
              <w:t>1.153</w:t>
            </w:r>
          </w:p>
        </w:tc>
        <w:tc>
          <w:tcPr>
            <w:tcW w:w="1588" w:type="dxa"/>
            <w:vAlign w:val="center"/>
          </w:tcPr>
          <w:p>
            <w:pPr>
              <w:adjustRightInd w:val="0"/>
              <w:snapToGrid w:val="0"/>
              <w:jc w:val="center"/>
              <w:rPr>
                <w:color w:val="000000"/>
                <w:szCs w:val="21"/>
              </w:rPr>
            </w:pPr>
            <w:r>
              <w:rPr>
                <w:rFonts w:hint="eastAsia"/>
                <w:szCs w:val="21"/>
              </w:rPr>
              <w:t>1.254</w:t>
            </w:r>
          </w:p>
        </w:tc>
        <w:tc>
          <w:tcPr>
            <w:tcW w:w="1588" w:type="dxa"/>
            <w:vAlign w:val="center"/>
          </w:tcPr>
          <w:p>
            <w:pPr>
              <w:adjustRightInd w:val="0"/>
              <w:snapToGrid w:val="0"/>
              <w:jc w:val="center"/>
              <w:rPr>
                <w:color w:val="000000"/>
                <w:szCs w:val="21"/>
              </w:rPr>
            </w:pPr>
            <w:r>
              <w:rPr>
                <w:rFonts w:hint="eastAsia"/>
                <w:color w:val="000000"/>
                <w:szCs w:val="21"/>
              </w:rPr>
              <w:t>2.453</w:t>
            </w:r>
          </w:p>
        </w:tc>
        <w:tc>
          <w:tcPr>
            <w:tcW w:w="1588" w:type="dxa"/>
            <w:vAlign w:val="center"/>
          </w:tcPr>
          <w:p>
            <w:pPr>
              <w:adjustRightInd w:val="0"/>
              <w:snapToGrid w:val="0"/>
              <w:jc w:val="center"/>
              <w:rPr>
                <w:szCs w:val="21"/>
              </w:rPr>
            </w:pPr>
            <w:r>
              <w:rPr>
                <w:rFonts w:hint="eastAsia"/>
                <w:szCs w:val="21"/>
              </w:rPr>
              <w:t>2.249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19</w:t>
            </w:r>
          </w:p>
        </w:tc>
        <w:tc>
          <w:tcPr>
            <w:tcW w:w="1588" w:type="dxa"/>
            <w:vAlign w:val="center"/>
          </w:tcPr>
          <w:p>
            <w:pPr>
              <w:adjustRightInd w:val="0"/>
              <w:snapToGrid w:val="0"/>
              <w:jc w:val="center"/>
              <w:rPr>
                <w:color w:val="000000"/>
                <w:szCs w:val="21"/>
              </w:rPr>
            </w:pPr>
            <w:r>
              <w:rPr>
                <w:rFonts w:hint="eastAsia"/>
                <w:color w:val="000000"/>
                <w:szCs w:val="21"/>
              </w:rPr>
              <w:t>1.164</w:t>
            </w:r>
          </w:p>
        </w:tc>
        <w:tc>
          <w:tcPr>
            <w:tcW w:w="1588" w:type="dxa"/>
            <w:vAlign w:val="center"/>
          </w:tcPr>
          <w:p>
            <w:pPr>
              <w:adjustRightInd w:val="0"/>
              <w:snapToGrid w:val="0"/>
              <w:jc w:val="center"/>
              <w:rPr>
                <w:color w:val="000000"/>
                <w:szCs w:val="21"/>
              </w:rPr>
            </w:pPr>
            <w:r>
              <w:rPr>
                <w:rFonts w:hint="eastAsia"/>
                <w:szCs w:val="21"/>
              </w:rPr>
              <w:t>1.263</w:t>
            </w:r>
          </w:p>
        </w:tc>
        <w:tc>
          <w:tcPr>
            <w:tcW w:w="1588" w:type="dxa"/>
            <w:vAlign w:val="center"/>
          </w:tcPr>
          <w:p>
            <w:pPr>
              <w:adjustRightInd w:val="0"/>
              <w:snapToGrid w:val="0"/>
              <w:jc w:val="center"/>
              <w:rPr>
                <w:color w:val="000000"/>
                <w:szCs w:val="21"/>
              </w:rPr>
            </w:pPr>
            <w:r>
              <w:rPr>
                <w:rFonts w:hint="eastAsia"/>
                <w:color w:val="000000"/>
                <w:szCs w:val="21"/>
              </w:rPr>
              <w:t>2.423</w:t>
            </w:r>
          </w:p>
        </w:tc>
        <w:tc>
          <w:tcPr>
            <w:tcW w:w="1588" w:type="dxa"/>
            <w:vAlign w:val="center"/>
          </w:tcPr>
          <w:p>
            <w:pPr>
              <w:adjustRightInd w:val="0"/>
              <w:snapToGrid w:val="0"/>
              <w:jc w:val="center"/>
              <w:rPr>
                <w:szCs w:val="21"/>
              </w:rPr>
            </w:pPr>
            <w:r>
              <w:rPr>
                <w:rFonts w:hint="eastAsia"/>
                <w:szCs w:val="21"/>
              </w:rPr>
              <w:t>2.227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20</w:t>
            </w:r>
          </w:p>
        </w:tc>
        <w:tc>
          <w:tcPr>
            <w:tcW w:w="1588" w:type="dxa"/>
            <w:vAlign w:val="center"/>
          </w:tcPr>
          <w:p>
            <w:pPr>
              <w:adjustRightInd w:val="0"/>
              <w:snapToGrid w:val="0"/>
              <w:jc w:val="center"/>
              <w:rPr>
                <w:color w:val="000000"/>
                <w:szCs w:val="21"/>
              </w:rPr>
            </w:pPr>
            <w:r>
              <w:rPr>
                <w:rFonts w:hint="eastAsia"/>
                <w:color w:val="000000"/>
                <w:szCs w:val="21"/>
              </w:rPr>
              <w:t>1.175</w:t>
            </w:r>
          </w:p>
        </w:tc>
        <w:tc>
          <w:tcPr>
            <w:tcW w:w="1588" w:type="dxa"/>
            <w:vAlign w:val="center"/>
          </w:tcPr>
          <w:p>
            <w:pPr>
              <w:adjustRightInd w:val="0"/>
              <w:snapToGrid w:val="0"/>
              <w:jc w:val="center"/>
              <w:rPr>
                <w:color w:val="000000"/>
                <w:szCs w:val="21"/>
              </w:rPr>
            </w:pPr>
            <w:r>
              <w:rPr>
                <w:rFonts w:hint="eastAsia"/>
                <w:szCs w:val="21"/>
              </w:rPr>
              <w:t>1.271</w:t>
            </w:r>
          </w:p>
        </w:tc>
        <w:tc>
          <w:tcPr>
            <w:tcW w:w="1588" w:type="dxa"/>
            <w:vAlign w:val="center"/>
          </w:tcPr>
          <w:p>
            <w:pPr>
              <w:adjustRightInd w:val="0"/>
              <w:snapToGrid w:val="0"/>
              <w:jc w:val="center"/>
              <w:rPr>
                <w:color w:val="000000"/>
                <w:szCs w:val="21"/>
              </w:rPr>
            </w:pPr>
            <w:r>
              <w:rPr>
                <w:rFonts w:hint="eastAsia"/>
                <w:color w:val="000000"/>
                <w:szCs w:val="21"/>
              </w:rPr>
              <w:t>2.396</w:t>
            </w:r>
          </w:p>
        </w:tc>
        <w:tc>
          <w:tcPr>
            <w:tcW w:w="1588" w:type="dxa"/>
            <w:vAlign w:val="center"/>
          </w:tcPr>
          <w:p>
            <w:pPr>
              <w:adjustRightInd w:val="0"/>
              <w:snapToGrid w:val="0"/>
              <w:jc w:val="center"/>
              <w:rPr>
                <w:szCs w:val="21"/>
              </w:rPr>
            </w:pPr>
            <w:r>
              <w:rPr>
                <w:rFonts w:hint="eastAsia"/>
                <w:szCs w:val="21"/>
              </w:rPr>
              <w:t>2.208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21</w:t>
            </w:r>
          </w:p>
        </w:tc>
        <w:tc>
          <w:tcPr>
            <w:tcW w:w="1588" w:type="dxa"/>
            <w:vAlign w:val="center"/>
          </w:tcPr>
          <w:p>
            <w:pPr>
              <w:adjustRightInd w:val="0"/>
              <w:snapToGrid w:val="0"/>
              <w:jc w:val="center"/>
              <w:rPr>
                <w:color w:val="000000"/>
                <w:szCs w:val="21"/>
              </w:rPr>
            </w:pPr>
            <w:r>
              <w:rPr>
                <w:rFonts w:hint="eastAsia"/>
                <w:color w:val="000000"/>
                <w:szCs w:val="21"/>
              </w:rPr>
              <w:t>1.184</w:t>
            </w:r>
          </w:p>
        </w:tc>
        <w:tc>
          <w:tcPr>
            <w:tcW w:w="1588" w:type="dxa"/>
            <w:vAlign w:val="center"/>
          </w:tcPr>
          <w:p>
            <w:pPr>
              <w:adjustRightInd w:val="0"/>
              <w:snapToGrid w:val="0"/>
              <w:jc w:val="center"/>
              <w:rPr>
                <w:color w:val="000000"/>
                <w:szCs w:val="21"/>
              </w:rPr>
            </w:pPr>
            <w:r>
              <w:rPr>
                <w:rFonts w:hint="eastAsia"/>
                <w:szCs w:val="21"/>
              </w:rPr>
              <w:t>1.279</w:t>
            </w:r>
          </w:p>
        </w:tc>
        <w:tc>
          <w:tcPr>
            <w:tcW w:w="1588" w:type="dxa"/>
            <w:vAlign w:val="center"/>
          </w:tcPr>
          <w:p>
            <w:pPr>
              <w:adjustRightInd w:val="0"/>
              <w:snapToGrid w:val="0"/>
              <w:jc w:val="center"/>
              <w:rPr>
                <w:color w:val="000000"/>
                <w:szCs w:val="21"/>
              </w:rPr>
            </w:pPr>
            <w:r>
              <w:rPr>
                <w:rFonts w:hint="eastAsia"/>
                <w:color w:val="000000"/>
                <w:szCs w:val="21"/>
              </w:rPr>
              <w:t>2.371</w:t>
            </w:r>
          </w:p>
        </w:tc>
        <w:tc>
          <w:tcPr>
            <w:tcW w:w="1588" w:type="dxa"/>
            <w:vAlign w:val="center"/>
          </w:tcPr>
          <w:p>
            <w:pPr>
              <w:adjustRightInd w:val="0"/>
              <w:snapToGrid w:val="0"/>
              <w:jc w:val="center"/>
              <w:rPr>
                <w:szCs w:val="21"/>
              </w:rPr>
            </w:pPr>
            <w:r>
              <w:rPr>
                <w:rFonts w:hint="eastAsia"/>
                <w:szCs w:val="21"/>
              </w:rPr>
              <w:t>2.190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22</w:t>
            </w:r>
          </w:p>
        </w:tc>
        <w:tc>
          <w:tcPr>
            <w:tcW w:w="1588" w:type="dxa"/>
            <w:vAlign w:val="center"/>
          </w:tcPr>
          <w:p>
            <w:pPr>
              <w:adjustRightInd w:val="0"/>
              <w:snapToGrid w:val="0"/>
              <w:jc w:val="center"/>
              <w:rPr>
                <w:color w:val="000000"/>
                <w:szCs w:val="21"/>
              </w:rPr>
            </w:pPr>
            <w:r>
              <w:rPr>
                <w:rFonts w:hint="eastAsia"/>
                <w:color w:val="000000"/>
                <w:szCs w:val="21"/>
              </w:rPr>
              <w:t>1.193</w:t>
            </w:r>
          </w:p>
        </w:tc>
        <w:tc>
          <w:tcPr>
            <w:tcW w:w="1588" w:type="dxa"/>
            <w:vAlign w:val="center"/>
          </w:tcPr>
          <w:p>
            <w:pPr>
              <w:adjustRightInd w:val="0"/>
              <w:snapToGrid w:val="0"/>
              <w:jc w:val="center"/>
              <w:rPr>
                <w:color w:val="000000"/>
                <w:szCs w:val="21"/>
              </w:rPr>
            </w:pPr>
            <w:r>
              <w:rPr>
                <w:rFonts w:hint="eastAsia"/>
                <w:szCs w:val="21"/>
              </w:rPr>
              <w:t>1.286</w:t>
            </w:r>
          </w:p>
        </w:tc>
        <w:tc>
          <w:tcPr>
            <w:tcW w:w="1588" w:type="dxa"/>
            <w:vAlign w:val="center"/>
          </w:tcPr>
          <w:p>
            <w:pPr>
              <w:adjustRightInd w:val="0"/>
              <w:snapToGrid w:val="0"/>
              <w:jc w:val="center"/>
              <w:rPr>
                <w:color w:val="000000"/>
                <w:szCs w:val="21"/>
              </w:rPr>
            </w:pPr>
            <w:r>
              <w:rPr>
                <w:rFonts w:hint="eastAsia"/>
                <w:color w:val="000000"/>
                <w:szCs w:val="21"/>
              </w:rPr>
              <w:t>2.349</w:t>
            </w:r>
          </w:p>
        </w:tc>
        <w:tc>
          <w:tcPr>
            <w:tcW w:w="1588" w:type="dxa"/>
            <w:vAlign w:val="center"/>
          </w:tcPr>
          <w:p>
            <w:pPr>
              <w:adjustRightInd w:val="0"/>
              <w:snapToGrid w:val="0"/>
              <w:jc w:val="center"/>
              <w:rPr>
                <w:szCs w:val="21"/>
              </w:rPr>
            </w:pPr>
            <w:r>
              <w:rPr>
                <w:rFonts w:hint="eastAsia"/>
                <w:szCs w:val="21"/>
              </w:rPr>
              <w:t>2.174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23</w:t>
            </w:r>
          </w:p>
        </w:tc>
        <w:tc>
          <w:tcPr>
            <w:tcW w:w="1588" w:type="dxa"/>
            <w:vAlign w:val="center"/>
          </w:tcPr>
          <w:p>
            <w:pPr>
              <w:adjustRightInd w:val="0"/>
              <w:snapToGrid w:val="0"/>
              <w:jc w:val="center"/>
              <w:rPr>
                <w:color w:val="000000"/>
                <w:szCs w:val="21"/>
              </w:rPr>
            </w:pPr>
            <w:r>
              <w:rPr>
                <w:rFonts w:hint="eastAsia"/>
                <w:color w:val="000000"/>
                <w:szCs w:val="21"/>
              </w:rPr>
              <w:t>1.202</w:t>
            </w:r>
          </w:p>
        </w:tc>
        <w:tc>
          <w:tcPr>
            <w:tcW w:w="1588" w:type="dxa"/>
            <w:vAlign w:val="center"/>
          </w:tcPr>
          <w:p>
            <w:pPr>
              <w:adjustRightInd w:val="0"/>
              <w:snapToGrid w:val="0"/>
              <w:jc w:val="center"/>
              <w:rPr>
                <w:color w:val="000000"/>
                <w:szCs w:val="21"/>
              </w:rPr>
            </w:pPr>
            <w:r>
              <w:rPr>
                <w:rFonts w:hint="eastAsia"/>
                <w:szCs w:val="21"/>
              </w:rPr>
              <w:t>1.293</w:t>
            </w:r>
          </w:p>
        </w:tc>
        <w:tc>
          <w:tcPr>
            <w:tcW w:w="1588" w:type="dxa"/>
            <w:vAlign w:val="center"/>
          </w:tcPr>
          <w:p>
            <w:pPr>
              <w:adjustRightInd w:val="0"/>
              <w:snapToGrid w:val="0"/>
              <w:jc w:val="center"/>
              <w:rPr>
                <w:color w:val="000000"/>
                <w:szCs w:val="21"/>
              </w:rPr>
            </w:pPr>
            <w:r>
              <w:rPr>
                <w:rFonts w:hint="eastAsia"/>
                <w:color w:val="000000"/>
                <w:szCs w:val="21"/>
              </w:rPr>
              <w:t>2.328</w:t>
            </w:r>
          </w:p>
        </w:tc>
        <w:tc>
          <w:tcPr>
            <w:tcW w:w="1588" w:type="dxa"/>
            <w:vAlign w:val="center"/>
          </w:tcPr>
          <w:p>
            <w:pPr>
              <w:adjustRightInd w:val="0"/>
              <w:snapToGrid w:val="0"/>
              <w:jc w:val="center"/>
              <w:rPr>
                <w:szCs w:val="21"/>
              </w:rPr>
            </w:pPr>
            <w:r>
              <w:rPr>
                <w:rFonts w:hint="eastAsia"/>
                <w:szCs w:val="21"/>
              </w:rPr>
              <w:t>2.159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24</w:t>
            </w:r>
          </w:p>
        </w:tc>
        <w:tc>
          <w:tcPr>
            <w:tcW w:w="1588" w:type="dxa"/>
            <w:vAlign w:val="center"/>
          </w:tcPr>
          <w:p>
            <w:pPr>
              <w:adjustRightInd w:val="0"/>
              <w:snapToGrid w:val="0"/>
              <w:jc w:val="center"/>
              <w:rPr>
                <w:color w:val="000000"/>
                <w:szCs w:val="21"/>
              </w:rPr>
            </w:pPr>
            <w:r>
              <w:rPr>
                <w:rFonts w:hint="eastAsia"/>
                <w:color w:val="000000"/>
                <w:szCs w:val="21"/>
              </w:rPr>
              <w:t>1.210</w:t>
            </w:r>
          </w:p>
        </w:tc>
        <w:tc>
          <w:tcPr>
            <w:tcW w:w="1588" w:type="dxa"/>
            <w:vAlign w:val="center"/>
          </w:tcPr>
          <w:p>
            <w:pPr>
              <w:adjustRightInd w:val="0"/>
              <w:snapToGrid w:val="0"/>
              <w:jc w:val="center"/>
              <w:rPr>
                <w:color w:val="000000"/>
                <w:szCs w:val="21"/>
              </w:rPr>
            </w:pPr>
            <w:r>
              <w:rPr>
                <w:rFonts w:hint="eastAsia"/>
                <w:szCs w:val="21"/>
              </w:rPr>
              <w:t>1.300</w:t>
            </w:r>
          </w:p>
        </w:tc>
        <w:tc>
          <w:tcPr>
            <w:tcW w:w="1588" w:type="dxa"/>
            <w:vAlign w:val="center"/>
          </w:tcPr>
          <w:p>
            <w:pPr>
              <w:adjustRightInd w:val="0"/>
              <w:snapToGrid w:val="0"/>
              <w:jc w:val="center"/>
              <w:rPr>
                <w:color w:val="000000"/>
                <w:szCs w:val="21"/>
              </w:rPr>
            </w:pPr>
            <w:r>
              <w:rPr>
                <w:rFonts w:hint="eastAsia"/>
                <w:color w:val="000000"/>
                <w:szCs w:val="21"/>
              </w:rPr>
              <w:t>2.309</w:t>
            </w:r>
          </w:p>
        </w:tc>
        <w:tc>
          <w:tcPr>
            <w:tcW w:w="1588" w:type="dxa"/>
            <w:vAlign w:val="center"/>
          </w:tcPr>
          <w:p>
            <w:pPr>
              <w:adjustRightInd w:val="0"/>
              <w:snapToGrid w:val="0"/>
              <w:jc w:val="center"/>
              <w:rPr>
                <w:szCs w:val="21"/>
              </w:rPr>
            </w:pPr>
            <w:r>
              <w:rPr>
                <w:rFonts w:hint="eastAsia"/>
                <w:szCs w:val="21"/>
              </w:rPr>
              <w:t>2.145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25</w:t>
            </w:r>
          </w:p>
        </w:tc>
        <w:tc>
          <w:tcPr>
            <w:tcW w:w="1588" w:type="dxa"/>
            <w:vAlign w:val="center"/>
          </w:tcPr>
          <w:p>
            <w:pPr>
              <w:adjustRightInd w:val="0"/>
              <w:snapToGrid w:val="0"/>
              <w:jc w:val="center"/>
              <w:rPr>
                <w:color w:val="000000"/>
                <w:szCs w:val="21"/>
              </w:rPr>
            </w:pPr>
            <w:r>
              <w:rPr>
                <w:rFonts w:hint="eastAsia"/>
                <w:color w:val="000000"/>
                <w:szCs w:val="21"/>
              </w:rPr>
              <w:t>1.217</w:t>
            </w:r>
          </w:p>
        </w:tc>
        <w:tc>
          <w:tcPr>
            <w:tcW w:w="1588" w:type="dxa"/>
            <w:vAlign w:val="center"/>
          </w:tcPr>
          <w:p>
            <w:pPr>
              <w:adjustRightInd w:val="0"/>
              <w:snapToGrid w:val="0"/>
              <w:jc w:val="center"/>
              <w:rPr>
                <w:color w:val="000000"/>
                <w:szCs w:val="21"/>
              </w:rPr>
            </w:pPr>
            <w:r>
              <w:rPr>
                <w:rFonts w:hint="eastAsia"/>
                <w:color w:val="000000" w:themeColor="text1"/>
                <w:szCs w:val="21"/>
                <w14:textFill>
                  <w14:solidFill>
                    <w14:schemeClr w14:val="tx1"/>
                  </w14:solidFill>
                </w14:textFill>
              </w:rPr>
              <w:t>1.306</w:t>
            </w:r>
          </w:p>
        </w:tc>
        <w:tc>
          <w:tcPr>
            <w:tcW w:w="1588" w:type="dxa"/>
            <w:vAlign w:val="center"/>
          </w:tcPr>
          <w:p>
            <w:pPr>
              <w:adjustRightInd w:val="0"/>
              <w:snapToGrid w:val="0"/>
              <w:jc w:val="center"/>
              <w:rPr>
                <w:color w:val="000000"/>
                <w:szCs w:val="21"/>
              </w:rPr>
            </w:pPr>
            <w:r>
              <w:rPr>
                <w:rFonts w:hint="eastAsia"/>
                <w:color w:val="000000"/>
                <w:szCs w:val="21"/>
              </w:rPr>
              <w:t>2.292</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26</w:t>
            </w:r>
          </w:p>
        </w:tc>
        <w:tc>
          <w:tcPr>
            <w:tcW w:w="1588" w:type="dxa"/>
            <w:vAlign w:val="center"/>
          </w:tcPr>
          <w:p>
            <w:pPr>
              <w:adjustRightInd w:val="0"/>
              <w:snapToGrid w:val="0"/>
              <w:jc w:val="center"/>
              <w:rPr>
                <w:color w:val="000000"/>
                <w:szCs w:val="21"/>
              </w:rPr>
            </w:pPr>
            <w:r>
              <w:rPr>
                <w:rFonts w:hint="eastAsia"/>
                <w:color w:val="000000"/>
                <w:szCs w:val="21"/>
              </w:rPr>
              <w:t>1.225</w:t>
            </w:r>
          </w:p>
        </w:tc>
        <w:tc>
          <w:tcPr>
            <w:tcW w:w="1588" w:type="dxa"/>
            <w:vAlign w:val="center"/>
          </w:tcPr>
          <w:p>
            <w:pPr>
              <w:adjustRightInd w:val="0"/>
              <w:snapToGrid w:val="0"/>
              <w:jc w:val="center"/>
              <w:rPr>
                <w:color w:val="000000"/>
                <w:szCs w:val="21"/>
              </w:rPr>
            </w:pPr>
            <w:r>
              <w:rPr>
                <w:rFonts w:hint="eastAsia"/>
                <w:color w:val="000000" w:themeColor="text1"/>
                <w:szCs w:val="21"/>
                <w14:textFill>
                  <w14:solidFill>
                    <w14:schemeClr w14:val="tx1"/>
                  </w14:solidFill>
                </w14:textFill>
              </w:rPr>
              <w:t>1.311</w:t>
            </w:r>
          </w:p>
        </w:tc>
        <w:tc>
          <w:tcPr>
            <w:tcW w:w="1588" w:type="dxa"/>
            <w:vAlign w:val="center"/>
          </w:tcPr>
          <w:p>
            <w:pPr>
              <w:adjustRightInd w:val="0"/>
              <w:snapToGrid w:val="0"/>
              <w:jc w:val="center"/>
              <w:rPr>
                <w:color w:val="000000"/>
                <w:szCs w:val="21"/>
              </w:rPr>
            </w:pPr>
            <w:r>
              <w:rPr>
                <w:rFonts w:hint="eastAsia"/>
                <w:color w:val="000000"/>
                <w:szCs w:val="21"/>
              </w:rPr>
              <w:t>2.275</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27</w:t>
            </w:r>
          </w:p>
        </w:tc>
        <w:tc>
          <w:tcPr>
            <w:tcW w:w="1588" w:type="dxa"/>
            <w:vAlign w:val="center"/>
          </w:tcPr>
          <w:p>
            <w:pPr>
              <w:adjustRightInd w:val="0"/>
              <w:snapToGrid w:val="0"/>
              <w:jc w:val="center"/>
              <w:rPr>
                <w:color w:val="000000"/>
                <w:szCs w:val="21"/>
              </w:rPr>
            </w:pPr>
            <w:r>
              <w:rPr>
                <w:rFonts w:hint="eastAsia"/>
                <w:color w:val="000000"/>
                <w:szCs w:val="21"/>
              </w:rPr>
              <w:t>1.231</w:t>
            </w:r>
          </w:p>
        </w:tc>
        <w:tc>
          <w:tcPr>
            <w:tcW w:w="1588" w:type="dxa"/>
            <w:vAlign w:val="center"/>
          </w:tcPr>
          <w:p>
            <w:pPr>
              <w:adjustRightInd w:val="0"/>
              <w:snapToGrid w:val="0"/>
              <w:jc w:val="center"/>
              <w:rPr>
                <w:color w:val="000000"/>
                <w:szCs w:val="21"/>
              </w:rPr>
            </w:pPr>
            <w:r>
              <w:rPr>
                <w:rFonts w:hint="eastAsia"/>
                <w:color w:val="000000" w:themeColor="text1"/>
                <w:szCs w:val="21"/>
                <w14:textFill>
                  <w14:solidFill>
                    <w14:schemeClr w14:val="tx1"/>
                  </w14:solidFill>
                </w14:textFill>
              </w:rPr>
              <w:t>1.317</w:t>
            </w:r>
          </w:p>
        </w:tc>
        <w:tc>
          <w:tcPr>
            <w:tcW w:w="1588" w:type="dxa"/>
            <w:vAlign w:val="center"/>
          </w:tcPr>
          <w:p>
            <w:pPr>
              <w:adjustRightInd w:val="0"/>
              <w:snapToGrid w:val="0"/>
              <w:jc w:val="center"/>
              <w:rPr>
                <w:color w:val="000000"/>
                <w:szCs w:val="21"/>
              </w:rPr>
            </w:pPr>
            <w:r>
              <w:rPr>
                <w:rFonts w:hint="eastAsia"/>
                <w:color w:val="000000"/>
                <w:szCs w:val="21"/>
              </w:rPr>
              <w:t>2.260</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28</w:t>
            </w:r>
          </w:p>
        </w:tc>
        <w:tc>
          <w:tcPr>
            <w:tcW w:w="1588" w:type="dxa"/>
            <w:vAlign w:val="center"/>
          </w:tcPr>
          <w:p>
            <w:pPr>
              <w:adjustRightInd w:val="0"/>
              <w:snapToGrid w:val="0"/>
              <w:jc w:val="center"/>
              <w:rPr>
                <w:color w:val="000000"/>
                <w:szCs w:val="21"/>
              </w:rPr>
            </w:pPr>
            <w:r>
              <w:rPr>
                <w:rFonts w:hint="eastAsia"/>
                <w:color w:val="000000"/>
                <w:szCs w:val="21"/>
              </w:rPr>
              <w:t>1.238</w:t>
            </w:r>
          </w:p>
        </w:tc>
        <w:tc>
          <w:tcPr>
            <w:tcW w:w="1588" w:type="dxa"/>
            <w:vAlign w:val="center"/>
          </w:tcPr>
          <w:p>
            <w:pPr>
              <w:adjustRightInd w:val="0"/>
              <w:snapToGrid w:val="0"/>
              <w:jc w:val="center"/>
              <w:rPr>
                <w:color w:val="000000"/>
                <w:szCs w:val="21"/>
              </w:rPr>
            </w:pPr>
            <w:r>
              <w:rPr>
                <w:rFonts w:hint="eastAsia"/>
                <w:color w:val="000000" w:themeColor="text1"/>
                <w:szCs w:val="21"/>
                <w14:textFill>
                  <w14:solidFill>
                    <w14:schemeClr w14:val="tx1"/>
                  </w14:solidFill>
                </w14:textFill>
              </w:rPr>
              <w:t>1.322</w:t>
            </w:r>
          </w:p>
        </w:tc>
        <w:tc>
          <w:tcPr>
            <w:tcW w:w="1588" w:type="dxa"/>
            <w:vAlign w:val="center"/>
          </w:tcPr>
          <w:p>
            <w:pPr>
              <w:adjustRightInd w:val="0"/>
              <w:snapToGrid w:val="0"/>
              <w:jc w:val="center"/>
              <w:rPr>
                <w:color w:val="000000"/>
                <w:szCs w:val="21"/>
              </w:rPr>
            </w:pPr>
            <w:r>
              <w:rPr>
                <w:rFonts w:hint="eastAsia"/>
                <w:color w:val="000000"/>
                <w:szCs w:val="21"/>
              </w:rPr>
              <w:t>2.246</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29</w:t>
            </w:r>
          </w:p>
        </w:tc>
        <w:tc>
          <w:tcPr>
            <w:tcW w:w="1588" w:type="dxa"/>
            <w:vAlign w:val="center"/>
          </w:tcPr>
          <w:p>
            <w:pPr>
              <w:adjustRightInd w:val="0"/>
              <w:snapToGrid w:val="0"/>
              <w:jc w:val="center"/>
              <w:rPr>
                <w:color w:val="000000"/>
                <w:szCs w:val="21"/>
              </w:rPr>
            </w:pPr>
            <w:r>
              <w:rPr>
                <w:rFonts w:hint="eastAsia"/>
                <w:color w:val="000000"/>
                <w:szCs w:val="21"/>
              </w:rPr>
              <w:t>1.244</w:t>
            </w:r>
          </w:p>
        </w:tc>
        <w:tc>
          <w:tcPr>
            <w:tcW w:w="1588" w:type="dxa"/>
            <w:vAlign w:val="center"/>
          </w:tcPr>
          <w:p>
            <w:pPr>
              <w:adjustRightInd w:val="0"/>
              <w:snapToGrid w:val="0"/>
              <w:jc w:val="center"/>
              <w:rPr>
                <w:color w:val="000000"/>
                <w:szCs w:val="21"/>
              </w:rPr>
            </w:pPr>
            <w:r>
              <w:rPr>
                <w:rFonts w:hint="eastAsia"/>
                <w:color w:val="000000" w:themeColor="text1"/>
                <w:szCs w:val="21"/>
                <w14:textFill>
                  <w14:solidFill>
                    <w14:schemeClr w14:val="tx1"/>
                  </w14:solidFill>
                </w14:textFill>
              </w:rPr>
              <w:t>1.327</w:t>
            </w:r>
          </w:p>
        </w:tc>
        <w:tc>
          <w:tcPr>
            <w:tcW w:w="1588" w:type="dxa"/>
            <w:vAlign w:val="center"/>
          </w:tcPr>
          <w:p>
            <w:pPr>
              <w:adjustRightInd w:val="0"/>
              <w:snapToGrid w:val="0"/>
              <w:jc w:val="center"/>
              <w:rPr>
                <w:color w:val="000000"/>
                <w:szCs w:val="21"/>
              </w:rPr>
            </w:pPr>
            <w:r>
              <w:rPr>
                <w:rFonts w:hint="eastAsia"/>
                <w:color w:val="000000"/>
                <w:szCs w:val="21"/>
              </w:rPr>
              <w:t>2.232</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30</w:t>
            </w:r>
          </w:p>
        </w:tc>
        <w:tc>
          <w:tcPr>
            <w:tcW w:w="1588" w:type="dxa"/>
            <w:vAlign w:val="center"/>
          </w:tcPr>
          <w:p>
            <w:pPr>
              <w:adjustRightInd w:val="0"/>
              <w:snapToGrid w:val="0"/>
              <w:jc w:val="center"/>
              <w:rPr>
                <w:color w:val="000000"/>
                <w:szCs w:val="21"/>
              </w:rPr>
            </w:pPr>
            <w:r>
              <w:rPr>
                <w:rFonts w:hint="eastAsia"/>
                <w:color w:val="000000"/>
                <w:szCs w:val="21"/>
              </w:rPr>
              <w:t>1.250</w:t>
            </w:r>
          </w:p>
        </w:tc>
        <w:tc>
          <w:tcPr>
            <w:tcW w:w="1588" w:type="dxa"/>
            <w:vAlign w:val="center"/>
          </w:tcPr>
          <w:p>
            <w:pPr>
              <w:adjustRightInd w:val="0"/>
              <w:snapToGrid w:val="0"/>
              <w:jc w:val="center"/>
              <w:rPr>
                <w:color w:val="000000"/>
                <w:szCs w:val="21"/>
              </w:rPr>
            </w:pPr>
            <w:r>
              <w:rPr>
                <w:rFonts w:hint="eastAsia"/>
                <w:color w:val="000000" w:themeColor="text1"/>
                <w:szCs w:val="21"/>
                <w14:textFill>
                  <w14:solidFill>
                    <w14:schemeClr w14:val="tx1"/>
                  </w14:solidFill>
                </w14:textFill>
              </w:rPr>
              <w:t>1.332</w:t>
            </w:r>
          </w:p>
        </w:tc>
        <w:tc>
          <w:tcPr>
            <w:tcW w:w="1588" w:type="dxa"/>
            <w:vAlign w:val="center"/>
          </w:tcPr>
          <w:p>
            <w:pPr>
              <w:adjustRightInd w:val="0"/>
              <w:snapToGrid w:val="0"/>
              <w:jc w:val="center"/>
              <w:rPr>
                <w:color w:val="000000"/>
                <w:szCs w:val="21"/>
              </w:rPr>
            </w:pPr>
            <w:r>
              <w:rPr>
                <w:rFonts w:hint="eastAsia"/>
                <w:color w:val="000000"/>
                <w:szCs w:val="21"/>
              </w:rPr>
              <w:t>2.220</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31</w:t>
            </w:r>
          </w:p>
        </w:tc>
        <w:tc>
          <w:tcPr>
            <w:tcW w:w="1588" w:type="dxa"/>
            <w:vAlign w:val="center"/>
          </w:tcPr>
          <w:p>
            <w:pPr>
              <w:adjustRightInd w:val="0"/>
              <w:snapToGrid w:val="0"/>
              <w:jc w:val="center"/>
              <w:rPr>
                <w:color w:val="000000"/>
                <w:szCs w:val="21"/>
              </w:rPr>
            </w:pPr>
            <w:r>
              <w:rPr>
                <w:rFonts w:hint="eastAsia"/>
                <w:color w:val="000000"/>
                <w:szCs w:val="21"/>
              </w:rPr>
              <w:t>1.255</w:t>
            </w:r>
          </w:p>
        </w:tc>
        <w:tc>
          <w:tcPr>
            <w:tcW w:w="1588" w:type="dxa"/>
            <w:vAlign w:val="center"/>
          </w:tcPr>
          <w:p>
            <w:pPr>
              <w:adjustRightInd w:val="0"/>
              <w:snapToGrid w:val="0"/>
              <w:jc w:val="center"/>
              <w:rPr>
                <w:color w:val="000000"/>
                <w:szCs w:val="21"/>
              </w:rPr>
            </w:pPr>
            <w:r>
              <w:rPr>
                <w:rFonts w:hint="eastAsia"/>
                <w:color w:val="000000" w:themeColor="text1"/>
                <w:szCs w:val="21"/>
                <w14:textFill>
                  <w14:solidFill>
                    <w14:schemeClr w14:val="tx1"/>
                  </w14:solidFill>
                </w14:textFill>
              </w:rPr>
              <w:t>1.336</w:t>
            </w:r>
          </w:p>
        </w:tc>
        <w:tc>
          <w:tcPr>
            <w:tcW w:w="1588" w:type="dxa"/>
            <w:vAlign w:val="center"/>
          </w:tcPr>
          <w:p>
            <w:pPr>
              <w:adjustRightInd w:val="0"/>
              <w:snapToGrid w:val="0"/>
              <w:jc w:val="center"/>
              <w:rPr>
                <w:color w:val="000000"/>
                <w:szCs w:val="21"/>
              </w:rPr>
            </w:pPr>
            <w:r>
              <w:rPr>
                <w:rFonts w:hint="eastAsia"/>
                <w:color w:val="000000"/>
                <w:szCs w:val="21"/>
              </w:rPr>
              <w:t>2.208</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32</w:t>
            </w:r>
          </w:p>
        </w:tc>
        <w:tc>
          <w:tcPr>
            <w:tcW w:w="1588" w:type="dxa"/>
            <w:vAlign w:val="center"/>
          </w:tcPr>
          <w:p>
            <w:pPr>
              <w:adjustRightInd w:val="0"/>
              <w:snapToGrid w:val="0"/>
              <w:jc w:val="center"/>
              <w:rPr>
                <w:color w:val="000000"/>
                <w:szCs w:val="21"/>
              </w:rPr>
            </w:pPr>
            <w:r>
              <w:rPr>
                <w:rFonts w:hint="eastAsia"/>
                <w:color w:val="000000"/>
                <w:szCs w:val="21"/>
              </w:rPr>
              <w:t>1.261</w:t>
            </w:r>
          </w:p>
        </w:tc>
        <w:tc>
          <w:tcPr>
            <w:tcW w:w="1588" w:type="dxa"/>
            <w:vAlign w:val="center"/>
          </w:tcPr>
          <w:p>
            <w:pPr>
              <w:adjustRightInd w:val="0"/>
              <w:snapToGrid w:val="0"/>
              <w:jc w:val="center"/>
              <w:rPr>
                <w:color w:val="000000"/>
                <w:szCs w:val="21"/>
              </w:rPr>
            </w:pPr>
            <w:r>
              <w:rPr>
                <w:rFonts w:hint="eastAsia"/>
                <w:color w:val="000000" w:themeColor="text1"/>
                <w:szCs w:val="21"/>
                <w14:textFill>
                  <w14:solidFill>
                    <w14:schemeClr w14:val="tx1"/>
                  </w14:solidFill>
                </w14:textFill>
              </w:rPr>
              <w:t>1.341</w:t>
            </w:r>
          </w:p>
        </w:tc>
        <w:tc>
          <w:tcPr>
            <w:tcW w:w="1588" w:type="dxa"/>
            <w:vAlign w:val="center"/>
          </w:tcPr>
          <w:p>
            <w:pPr>
              <w:adjustRightInd w:val="0"/>
              <w:snapToGrid w:val="0"/>
              <w:jc w:val="center"/>
              <w:rPr>
                <w:color w:val="000000"/>
                <w:szCs w:val="21"/>
              </w:rPr>
            </w:pPr>
            <w:r>
              <w:rPr>
                <w:rFonts w:hint="eastAsia"/>
                <w:color w:val="000000"/>
                <w:szCs w:val="21"/>
              </w:rPr>
              <w:t>2.197</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33</w:t>
            </w:r>
          </w:p>
        </w:tc>
        <w:tc>
          <w:tcPr>
            <w:tcW w:w="1588" w:type="dxa"/>
            <w:vAlign w:val="center"/>
          </w:tcPr>
          <w:p>
            <w:pPr>
              <w:adjustRightInd w:val="0"/>
              <w:snapToGrid w:val="0"/>
              <w:jc w:val="center"/>
              <w:rPr>
                <w:color w:val="000000"/>
                <w:szCs w:val="21"/>
              </w:rPr>
            </w:pPr>
            <w:r>
              <w:rPr>
                <w:rFonts w:hint="eastAsia"/>
                <w:color w:val="000000"/>
                <w:szCs w:val="21"/>
              </w:rPr>
              <w:t>1.266</w:t>
            </w:r>
          </w:p>
        </w:tc>
        <w:tc>
          <w:tcPr>
            <w:tcW w:w="1588" w:type="dxa"/>
            <w:vAlign w:val="center"/>
          </w:tcPr>
          <w:p>
            <w:pPr>
              <w:adjustRightInd w:val="0"/>
              <w:snapToGrid w:val="0"/>
              <w:jc w:val="center"/>
              <w:rPr>
                <w:color w:val="000000"/>
                <w:szCs w:val="21"/>
              </w:rPr>
            </w:pPr>
            <w:r>
              <w:rPr>
                <w:rFonts w:hint="eastAsia"/>
                <w:color w:val="000000" w:themeColor="text1"/>
                <w:szCs w:val="21"/>
                <w14:textFill>
                  <w14:solidFill>
                    <w14:schemeClr w14:val="tx1"/>
                  </w14:solidFill>
                </w14:textFill>
              </w:rPr>
              <w:t>1.345</w:t>
            </w:r>
          </w:p>
        </w:tc>
        <w:tc>
          <w:tcPr>
            <w:tcW w:w="1588" w:type="dxa"/>
            <w:vAlign w:val="center"/>
          </w:tcPr>
          <w:p>
            <w:pPr>
              <w:adjustRightInd w:val="0"/>
              <w:snapToGrid w:val="0"/>
              <w:jc w:val="center"/>
              <w:rPr>
                <w:color w:val="000000"/>
                <w:szCs w:val="21"/>
              </w:rPr>
            </w:pPr>
            <w:r>
              <w:rPr>
                <w:rFonts w:hint="eastAsia"/>
                <w:color w:val="000000"/>
                <w:szCs w:val="21"/>
              </w:rPr>
              <w:t>2.186</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34</w:t>
            </w:r>
          </w:p>
        </w:tc>
        <w:tc>
          <w:tcPr>
            <w:tcW w:w="1588" w:type="dxa"/>
            <w:vAlign w:val="center"/>
          </w:tcPr>
          <w:p>
            <w:pPr>
              <w:adjustRightInd w:val="0"/>
              <w:snapToGrid w:val="0"/>
              <w:jc w:val="center"/>
              <w:rPr>
                <w:color w:val="000000"/>
                <w:szCs w:val="21"/>
              </w:rPr>
            </w:pPr>
            <w:r>
              <w:rPr>
                <w:rFonts w:hint="eastAsia"/>
                <w:color w:val="000000"/>
                <w:szCs w:val="21"/>
              </w:rPr>
              <w:t>1.271</w:t>
            </w:r>
          </w:p>
        </w:tc>
        <w:tc>
          <w:tcPr>
            <w:tcW w:w="1588" w:type="dxa"/>
            <w:vAlign w:val="center"/>
          </w:tcPr>
          <w:p>
            <w:pPr>
              <w:adjustRightInd w:val="0"/>
              <w:snapToGrid w:val="0"/>
              <w:jc w:val="center"/>
              <w:rPr>
                <w:color w:val="000000"/>
                <w:szCs w:val="21"/>
              </w:rPr>
            </w:pPr>
            <w:r>
              <w:rPr>
                <w:rFonts w:hint="eastAsia"/>
                <w:color w:val="000000" w:themeColor="text1"/>
                <w:szCs w:val="21"/>
                <w14:textFill>
                  <w14:solidFill>
                    <w14:schemeClr w14:val="tx1"/>
                  </w14:solidFill>
                </w14:textFill>
              </w:rPr>
              <w:t>1.349</w:t>
            </w:r>
          </w:p>
        </w:tc>
        <w:tc>
          <w:tcPr>
            <w:tcW w:w="1588" w:type="dxa"/>
            <w:vAlign w:val="center"/>
          </w:tcPr>
          <w:p>
            <w:pPr>
              <w:adjustRightInd w:val="0"/>
              <w:snapToGrid w:val="0"/>
              <w:jc w:val="center"/>
              <w:rPr>
                <w:color w:val="000000"/>
                <w:szCs w:val="21"/>
              </w:rPr>
            </w:pPr>
            <w:r>
              <w:rPr>
                <w:rFonts w:hint="eastAsia"/>
                <w:color w:val="000000"/>
                <w:szCs w:val="21"/>
              </w:rPr>
              <w:t>2.176</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35</w:t>
            </w:r>
          </w:p>
        </w:tc>
        <w:tc>
          <w:tcPr>
            <w:tcW w:w="1588" w:type="dxa"/>
            <w:vAlign w:val="center"/>
          </w:tcPr>
          <w:p>
            <w:pPr>
              <w:adjustRightInd w:val="0"/>
              <w:snapToGrid w:val="0"/>
              <w:jc w:val="center"/>
              <w:rPr>
                <w:color w:val="000000"/>
                <w:szCs w:val="21"/>
              </w:rPr>
            </w:pPr>
            <w:r>
              <w:rPr>
                <w:rFonts w:hint="eastAsia"/>
                <w:color w:val="000000"/>
                <w:szCs w:val="21"/>
              </w:rPr>
              <w:t>1.276</w:t>
            </w:r>
          </w:p>
        </w:tc>
        <w:tc>
          <w:tcPr>
            <w:tcW w:w="1588" w:type="dxa"/>
            <w:vAlign w:val="center"/>
          </w:tcPr>
          <w:p>
            <w:pPr>
              <w:adjustRightInd w:val="0"/>
              <w:snapToGrid w:val="0"/>
              <w:jc w:val="center"/>
              <w:rPr>
                <w:color w:val="000000"/>
                <w:szCs w:val="21"/>
              </w:rPr>
            </w:pPr>
            <w:r>
              <w:rPr>
                <w:rFonts w:hint="eastAsia"/>
                <w:color w:val="000000" w:themeColor="text1"/>
                <w:szCs w:val="21"/>
                <w14:textFill>
                  <w14:solidFill>
                    <w14:schemeClr w14:val="tx1"/>
                  </w14:solidFill>
                </w14:textFill>
              </w:rPr>
              <w:t>1.352</w:t>
            </w:r>
          </w:p>
        </w:tc>
        <w:tc>
          <w:tcPr>
            <w:tcW w:w="1588" w:type="dxa"/>
            <w:vAlign w:val="center"/>
          </w:tcPr>
          <w:p>
            <w:pPr>
              <w:adjustRightInd w:val="0"/>
              <w:snapToGrid w:val="0"/>
              <w:jc w:val="center"/>
              <w:rPr>
                <w:color w:val="000000"/>
                <w:szCs w:val="21"/>
              </w:rPr>
            </w:pPr>
            <w:r>
              <w:rPr>
                <w:rFonts w:hint="eastAsia"/>
                <w:color w:val="000000"/>
                <w:szCs w:val="21"/>
              </w:rPr>
              <w:t>2.167</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36</w:t>
            </w:r>
          </w:p>
        </w:tc>
        <w:tc>
          <w:tcPr>
            <w:tcW w:w="1588" w:type="dxa"/>
            <w:vAlign w:val="center"/>
          </w:tcPr>
          <w:p>
            <w:pPr>
              <w:adjustRightInd w:val="0"/>
              <w:snapToGrid w:val="0"/>
              <w:jc w:val="center"/>
              <w:rPr>
                <w:color w:val="000000"/>
                <w:szCs w:val="21"/>
              </w:rPr>
            </w:pPr>
            <w:r>
              <w:rPr>
                <w:rFonts w:hint="eastAsia"/>
                <w:color w:val="000000"/>
                <w:szCs w:val="21"/>
              </w:rPr>
              <w:t>1.280</w:t>
            </w:r>
          </w:p>
        </w:tc>
        <w:tc>
          <w:tcPr>
            <w:tcW w:w="1588" w:type="dxa"/>
            <w:vAlign w:val="center"/>
          </w:tcPr>
          <w:p>
            <w:pPr>
              <w:adjustRightInd w:val="0"/>
              <w:snapToGrid w:val="0"/>
              <w:jc w:val="center"/>
              <w:rPr>
                <w:color w:val="000000"/>
                <w:szCs w:val="21"/>
              </w:rPr>
            </w:pPr>
            <w:r>
              <w:rPr>
                <w:rFonts w:hint="eastAsia"/>
                <w:color w:val="000000" w:themeColor="text1"/>
                <w:szCs w:val="21"/>
                <w14:textFill>
                  <w14:solidFill>
                    <w14:schemeClr w14:val="tx1"/>
                  </w14:solidFill>
                </w14:textFill>
              </w:rPr>
              <w:t>1.356</w:t>
            </w:r>
          </w:p>
        </w:tc>
        <w:tc>
          <w:tcPr>
            <w:tcW w:w="1588" w:type="dxa"/>
            <w:vAlign w:val="center"/>
          </w:tcPr>
          <w:p>
            <w:pPr>
              <w:adjustRightInd w:val="0"/>
              <w:snapToGrid w:val="0"/>
              <w:jc w:val="center"/>
              <w:rPr>
                <w:color w:val="000000"/>
                <w:szCs w:val="21"/>
              </w:rPr>
            </w:pPr>
            <w:r>
              <w:rPr>
                <w:rFonts w:hint="eastAsia"/>
                <w:color w:val="000000"/>
                <w:szCs w:val="21"/>
              </w:rPr>
              <w:t>2.158</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37</w:t>
            </w:r>
          </w:p>
        </w:tc>
        <w:tc>
          <w:tcPr>
            <w:tcW w:w="1588" w:type="dxa"/>
            <w:vAlign w:val="center"/>
          </w:tcPr>
          <w:p>
            <w:pPr>
              <w:adjustRightInd w:val="0"/>
              <w:snapToGrid w:val="0"/>
              <w:jc w:val="center"/>
              <w:rPr>
                <w:color w:val="000000"/>
                <w:szCs w:val="21"/>
              </w:rPr>
            </w:pPr>
            <w:r>
              <w:rPr>
                <w:rFonts w:hint="eastAsia"/>
                <w:color w:val="000000"/>
                <w:szCs w:val="21"/>
              </w:rPr>
              <w:t>1.284</w:t>
            </w:r>
          </w:p>
        </w:tc>
        <w:tc>
          <w:tcPr>
            <w:tcW w:w="1588" w:type="dxa"/>
            <w:vAlign w:val="center"/>
          </w:tcPr>
          <w:p>
            <w:pPr>
              <w:adjustRightInd w:val="0"/>
              <w:snapToGrid w:val="0"/>
              <w:jc w:val="center"/>
              <w:rPr>
                <w:color w:val="000000"/>
                <w:szCs w:val="21"/>
              </w:rPr>
            </w:pPr>
            <w:r>
              <w:rPr>
                <w:rFonts w:hint="eastAsia"/>
                <w:color w:val="000000" w:themeColor="text1"/>
                <w:szCs w:val="21"/>
                <w14:textFill>
                  <w14:solidFill>
                    <w14:schemeClr w14:val="tx1"/>
                  </w14:solidFill>
                </w14:textFill>
              </w:rPr>
              <w:t>1.360</w:t>
            </w:r>
          </w:p>
        </w:tc>
        <w:tc>
          <w:tcPr>
            <w:tcW w:w="1588" w:type="dxa"/>
            <w:vAlign w:val="center"/>
          </w:tcPr>
          <w:p>
            <w:pPr>
              <w:adjustRightInd w:val="0"/>
              <w:snapToGrid w:val="0"/>
              <w:jc w:val="center"/>
              <w:rPr>
                <w:color w:val="000000"/>
                <w:szCs w:val="21"/>
              </w:rPr>
            </w:pPr>
            <w:r>
              <w:rPr>
                <w:rFonts w:hint="eastAsia"/>
                <w:color w:val="000000"/>
                <w:szCs w:val="21"/>
              </w:rPr>
              <w:t>2.149</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38</w:t>
            </w:r>
          </w:p>
        </w:tc>
        <w:tc>
          <w:tcPr>
            <w:tcW w:w="1588" w:type="dxa"/>
            <w:vAlign w:val="center"/>
          </w:tcPr>
          <w:p>
            <w:pPr>
              <w:adjustRightInd w:val="0"/>
              <w:snapToGrid w:val="0"/>
              <w:jc w:val="center"/>
              <w:rPr>
                <w:color w:val="000000"/>
                <w:szCs w:val="21"/>
              </w:rPr>
            </w:pPr>
            <w:r>
              <w:rPr>
                <w:rFonts w:hint="eastAsia"/>
                <w:color w:val="000000"/>
                <w:szCs w:val="21"/>
              </w:rPr>
              <w:t>1.289</w:t>
            </w:r>
          </w:p>
        </w:tc>
        <w:tc>
          <w:tcPr>
            <w:tcW w:w="1588" w:type="dxa"/>
            <w:vAlign w:val="center"/>
          </w:tcPr>
          <w:p>
            <w:pPr>
              <w:adjustRightInd w:val="0"/>
              <w:snapToGrid w:val="0"/>
              <w:jc w:val="center"/>
              <w:rPr>
                <w:color w:val="000000"/>
                <w:szCs w:val="21"/>
              </w:rPr>
            </w:pPr>
            <w:r>
              <w:rPr>
                <w:rFonts w:hint="eastAsia"/>
                <w:color w:val="000000" w:themeColor="text1"/>
                <w:szCs w:val="21"/>
                <w14:textFill>
                  <w14:solidFill>
                    <w14:schemeClr w14:val="tx1"/>
                  </w14:solidFill>
                </w14:textFill>
              </w:rPr>
              <w:t>1.362</w:t>
            </w:r>
          </w:p>
        </w:tc>
        <w:tc>
          <w:tcPr>
            <w:tcW w:w="1588" w:type="dxa"/>
            <w:vAlign w:val="center"/>
          </w:tcPr>
          <w:p>
            <w:pPr>
              <w:adjustRightInd w:val="0"/>
              <w:snapToGrid w:val="0"/>
              <w:jc w:val="center"/>
              <w:rPr>
                <w:color w:val="000000"/>
                <w:szCs w:val="21"/>
              </w:rPr>
            </w:pPr>
            <w:r>
              <w:rPr>
                <w:rFonts w:hint="eastAsia"/>
                <w:color w:val="000000"/>
                <w:szCs w:val="21"/>
              </w:rPr>
              <w:t>2.141</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39</w:t>
            </w:r>
          </w:p>
        </w:tc>
        <w:tc>
          <w:tcPr>
            <w:tcW w:w="1588" w:type="dxa"/>
            <w:vAlign w:val="center"/>
          </w:tcPr>
          <w:p>
            <w:pPr>
              <w:adjustRightInd w:val="0"/>
              <w:snapToGrid w:val="0"/>
              <w:jc w:val="center"/>
              <w:rPr>
                <w:color w:val="000000"/>
                <w:szCs w:val="21"/>
              </w:rPr>
            </w:pPr>
            <w:r>
              <w:rPr>
                <w:rFonts w:hint="eastAsia"/>
                <w:color w:val="000000"/>
                <w:szCs w:val="21"/>
              </w:rPr>
              <w:t>1.293</w:t>
            </w:r>
          </w:p>
        </w:tc>
        <w:tc>
          <w:tcPr>
            <w:tcW w:w="1588" w:type="dxa"/>
            <w:vAlign w:val="center"/>
          </w:tcPr>
          <w:p>
            <w:pPr>
              <w:adjustRightInd w:val="0"/>
              <w:snapToGrid w:val="0"/>
              <w:jc w:val="center"/>
              <w:rPr>
                <w:color w:val="000000"/>
                <w:szCs w:val="21"/>
              </w:rPr>
            </w:pPr>
            <w:r>
              <w:rPr>
                <w:rFonts w:hint="eastAsia"/>
                <w:color w:val="000000" w:themeColor="text1"/>
                <w:szCs w:val="21"/>
                <w14:textFill>
                  <w14:solidFill>
                    <w14:schemeClr w14:val="tx1"/>
                  </w14:solidFill>
                </w14:textFill>
              </w:rPr>
              <w:t>1.366</w:t>
            </w:r>
          </w:p>
        </w:tc>
        <w:tc>
          <w:tcPr>
            <w:tcW w:w="1588" w:type="dxa"/>
            <w:vAlign w:val="center"/>
          </w:tcPr>
          <w:p>
            <w:pPr>
              <w:adjustRightInd w:val="0"/>
              <w:snapToGrid w:val="0"/>
              <w:jc w:val="center"/>
              <w:rPr>
                <w:color w:val="000000"/>
                <w:szCs w:val="21"/>
              </w:rPr>
            </w:pPr>
            <w:r>
              <w:rPr>
                <w:rFonts w:hint="eastAsia"/>
                <w:color w:val="000000"/>
                <w:szCs w:val="21"/>
              </w:rPr>
              <w:t>2.133</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40</w:t>
            </w:r>
          </w:p>
        </w:tc>
        <w:tc>
          <w:tcPr>
            <w:tcW w:w="1588" w:type="dxa"/>
            <w:vAlign w:val="center"/>
          </w:tcPr>
          <w:p>
            <w:pPr>
              <w:adjustRightInd w:val="0"/>
              <w:snapToGrid w:val="0"/>
              <w:jc w:val="center"/>
              <w:rPr>
                <w:color w:val="000000"/>
                <w:szCs w:val="21"/>
              </w:rPr>
            </w:pPr>
            <w:r>
              <w:rPr>
                <w:rFonts w:hint="eastAsia"/>
                <w:color w:val="000000"/>
                <w:szCs w:val="21"/>
              </w:rPr>
              <w:t>1.297</w:t>
            </w:r>
          </w:p>
        </w:tc>
        <w:tc>
          <w:tcPr>
            <w:tcW w:w="1588" w:type="dxa"/>
            <w:vAlign w:val="center"/>
          </w:tcPr>
          <w:p>
            <w:pPr>
              <w:adjustRightInd w:val="0"/>
              <w:snapToGrid w:val="0"/>
              <w:jc w:val="center"/>
              <w:rPr>
                <w:color w:val="000000"/>
                <w:szCs w:val="21"/>
              </w:rPr>
            </w:pPr>
            <w:r>
              <w:rPr>
                <w:rFonts w:hint="eastAsia"/>
                <w:color w:val="000000" w:themeColor="text1"/>
                <w:szCs w:val="21"/>
                <w14:textFill>
                  <w14:solidFill>
                    <w14:schemeClr w14:val="tx1"/>
                  </w14:solidFill>
                </w14:textFill>
              </w:rPr>
              <w:t>1.369</w:t>
            </w:r>
          </w:p>
        </w:tc>
        <w:tc>
          <w:tcPr>
            <w:tcW w:w="1588" w:type="dxa"/>
            <w:vAlign w:val="center"/>
          </w:tcPr>
          <w:p>
            <w:pPr>
              <w:adjustRightInd w:val="0"/>
              <w:snapToGrid w:val="0"/>
              <w:jc w:val="center"/>
              <w:rPr>
                <w:color w:val="000000"/>
                <w:szCs w:val="21"/>
              </w:rPr>
            </w:pPr>
            <w:r>
              <w:rPr>
                <w:rFonts w:hint="eastAsia"/>
                <w:color w:val="000000"/>
                <w:szCs w:val="21"/>
              </w:rPr>
              <w:t>2.125</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41</w:t>
            </w:r>
          </w:p>
        </w:tc>
        <w:tc>
          <w:tcPr>
            <w:tcW w:w="1588" w:type="dxa"/>
            <w:vAlign w:val="center"/>
          </w:tcPr>
          <w:p>
            <w:pPr>
              <w:adjustRightInd w:val="0"/>
              <w:snapToGrid w:val="0"/>
              <w:jc w:val="center"/>
              <w:rPr>
                <w:color w:val="000000"/>
                <w:szCs w:val="21"/>
              </w:rPr>
            </w:pPr>
            <w:r>
              <w:rPr>
                <w:rFonts w:hint="eastAsia"/>
                <w:color w:val="000000"/>
                <w:szCs w:val="21"/>
              </w:rPr>
              <w:t>1.300</w:t>
            </w:r>
          </w:p>
        </w:tc>
        <w:tc>
          <w:tcPr>
            <w:tcW w:w="1588" w:type="dxa"/>
            <w:vAlign w:val="center"/>
          </w:tcPr>
          <w:p>
            <w:pPr>
              <w:adjustRightInd w:val="0"/>
              <w:snapToGrid w:val="0"/>
              <w:jc w:val="center"/>
              <w:rPr>
                <w:color w:val="000000"/>
                <w:szCs w:val="21"/>
              </w:rPr>
            </w:pPr>
            <w:r>
              <w:rPr>
                <w:rFonts w:hint="eastAsia"/>
                <w:color w:val="000000" w:themeColor="text1"/>
                <w:szCs w:val="21"/>
                <w14:textFill>
                  <w14:solidFill>
                    <w14:schemeClr w14:val="tx1"/>
                  </w14:solidFill>
                </w14:textFill>
              </w:rPr>
              <w:t>1.372</w:t>
            </w:r>
          </w:p>
        </w:tc>
        <w:tc>
          <w:tcPr>
            <w:tcW w:w="1588" w:type="dxa"/>
            <w:vAlign w:val="center"/>
          </w:tcPr>
          <w:p>
            <w:pPr>
              <w:adjustRightInd w:val="0"/>
              <w:snapToGrid w:val="0"/>
              <w:jc w:val="center"/>
              <w:rPr>
                <w:color w:val="000000"/>
                <w:szCs w:val="21"/>
              </w:rPr>
            </w:pPr>
            <w:r>
              <w:rPr>
                <w:rFonts w:hint="eastAsia"/>
                <w:color w:val="000000"/>
                <w:szCs w:val="21"/>
              </w:rPr>
              <w:t>2.118</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42</w:t>
            </w:r>
          </w:p>
        </w:tc>
        <w:tc>
          <w:tcPr>
            <w:tcW w:w="1588" w:type="dxa"/>
            <w:vAlign w:val="center"/>
          </w:tcPr>
          <w:p>
            <w:pPr>
              <w:adjustRightInd w:val="0"/>
              <w:snapToGrid w:val="0"/>
              <w:jc w:val="center"/>
              <w:rPr>
                <w:color w:val="000000"/>
                <w:szCs w:val="21"/>
              </w:rPr>
            </w:pPr>
            <w:r>
              <w:rPr>
                <w:rFonts w:hint="eastAsia"/>
                <w:color w:val="000000"/>
                <w:szCs w:val="21"/>
              </w:rPr>
              <w:t>1.304</w:t>
            </w:r>
          </w:p>
        </w:tc>
        <w:tc>
          <w:tcPr>
            <w:tcW w:w="1588" w:type="dxa"/>
            <w:vAlign w:val="center"/>
          </w:tcPr>
          <w:p>
            <w:pPr>
              <w:adjustRightInd w:val="0"/>
              <w:snapToGrid w:val="0"/>
              <w:jc w:val="center"/>
              <w:rPr>
                <w:color w:val="000000"/>
                <w:szCs w:val="21"/>
              </w:rPr>
            </w:pPr>
            <w:r>
              <w:rPr>
                <w:rFonts w:hint="eastAsia"/>
                <w:color w:val="000000" w:themeColor="text1"/>
                <w:szCs w:val="21"/>
                <w14:textFill>
                  <w14:solidFill>
                    <w14:schemeClr w14:val="tx1"/>
                  </w14:solidFill>
                </w14:textFill>
              </w:rPr>
              <w:t>1.375</w:t>
            </w:r>
          </w:p>
        </w:tc>
        <w:tc>
          <w:tcPr>
            <w:tcW w:w="1588" w:type="dxa"/>
            <w:vAlign w:val="center"/>
          </w:tcPr>
          <w:p>
            <w:pPr>
              <w:adjustRightInd w:val="0"/>
              <w:snapToGrid w:val="0"/>
              <w:jc w:val="center"/>
              <w:rPr>
                <w:color w:val="000000"/>
                <w:szCs w:val="21"/>
              </w:rPr>
            </w:pPr>
            <w:r>
              <w:rPr>
                <w:rFonts w:hint="eastAsia"/>
                <w:color w:val="000000"/>
                <w:szCs w:val="21"/>
              </w:rPr>
              <w:t>2.111</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43</w:t>
            </w:r>
          </w:p>
        </w:tc>
        <w:tc>
          <w:tcPr>
            <w:tcW w:w="1588" w:type="dxa"/>
            <w:vAlign w:val="center"/>
          </w:tcPr>
          <w:p>
            <w:pPr>
              <w:adjustRightInd w:val="0"/>
              <w:snapToGrid w:val="0"/>
              <w:jc w:val="center"/>
              <w:rPr>
                <w:color w:val="000000"/>
                <w:szCs w:val="21"/>
              </w:rPr>
            </w:pPr>
            <w:r>
              <w:rPr>
                <w:rFonts w:hint="eastAsia"/>
                <w:color w:val="000000"/>
                <w:szCs w:val="21"/>
              </w:rPr>
              <w:t>1.308</w:t>
            </w:r>
          </w:p>
        </w:tc>
        <w:tc>
          <w:tcPr>
            <w:tcW w:w="1588" w:type="dxa"/>
            <w:vAlign w:val="center"/>
          </w:tcPr>
          <w:p>
            <w:pPr>
              <w:adjustRightInd w:val="0"/>
              <w:snapToGrid w:val="0"/>
              <w:jc w:val="center"/>
              <w:rPr>
                <w:color w:val="000000"/>
                <w:szCs w:val="21"/>
              </w:rPr>
            </w:pPr>
            <w:r>
              <w:rPr>
                <w:rFonts w:hint="eastAsia"/>
                <w:color w:val="000000" w:themeColor="text1"/>
                <w:szCs w:val="21"/>
                <w14:textFill>
                  <w14:solidFill>
                    <w14:schemeClr w14:val="tx1"/>
                  </w14:solidFill>
                </w14:textFill>
              </w:rPr>
              <w:t>1.378</w:t>
            </w:r>
          </w:p>
        </w:tc>
        <w:tc>
          <w:tcPr>
            <w:tcW w:w="1588" w:type="dxa"/>
            <w:vAlign w:val="center"/>
          </w:tcPr>
          <w:p>
            <w:pPr>
              <w:adjustRightInd w:val="0"/>
              <w:snapToGrid w:val="0"/>
              <w:jc w:val="center"/>
              <w:rPr>
                <w:color w:val="000000"/>
                <w:szCs w:val="21"/>
              </w:rPr>
            </w:pPr>
            <w:r>
              <w:rPr>
                <w:rFonts w:hint="eastAsia"/>
                <w:color w:val="000000"/>
                <w:szCs w:val="21"/>
              </w:rPr>
              <w:t>2.105</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44</w:t>
            </w:r>
          </w:p>
        </w:tc>
        <w:tc>
          <w:tcPr>
            <w:tcW w:w="1588" w:type="dxa"/>
            <w:vAlign w:val="center"/>
          </w:tcPr>
          <w:p>
            <w:pPr>
              <w:adjustRightInd w:val="0"/>
              <w:snapToGrid w:val="0"/>
              <w:jc w:val="center"/>
              <w:rPr>
                <w:color w:val="000000"/>
                <w:szCs w:val="21"/>
              </w:rPr>
            </w:pPr>
            <w:r>
              <w:rPr>
                <w:rFonts w:hint="eastAsia"/>
                <w:color w:val="000000"/>
                <w:szCs w:val="21"/>
              </w:rPr>
              <w:t>1.311</w:t>
            </w:r>
          </w:p>
        </w:tc>
        <w:tc>
          <w:tcPr>
            <w:tcW w:w="1588" w:type="dxa"/>
            <w:vAlign w:val="center"/>
          </w:tcPr>
          <w:p>
            <w:pPr>
              <w:adjustRightInd w:val="0"/>
              <w:snapToGrid w:val="0"/>
              <w:jc w:val="center"/>
              <w:rPr>
                <w:color w:val="000000"/>
                <w:szCs w:val="21"/>
              </w:rPr>
            </w:pPr>
            <w:r>
              <w:rPr>
                <w:rFonts w:hint="eastAsia"/>
                <w:color w:val="000000" w:themeColor="text1"/>
                <w:szCs w:val="21"/>
                <w14:textFill>
                  <w14:solidFill>
                    <w14:schemeClr w14:val="tx1"/>
                  </w14:solidFill>
                </w14:textFill>
              </w:rPr>
              <w:t>1.381</w:t>
            </w:r>
          </w:p>
        </w:tc>
        <w:tc>
          <w:tcPr>
            <w:tcW w:w="1588" w:type="dxa"/>
            <w:vAlign w:val="center"/>
          </w:tcPr>
          <w:p>
            <w:pPr>
              <w:adjustRightInd w:val="0"/>
              <w:snapToGrid w:val="0"/>
              <w:jc w:val="center"/>
              <w:rPr>
                <w:color w:val="000000"/>
                <w:szCs w:val="21"/>
              </w:rPr>
            </w:pPr>
            <w:r>
              <w:rPr>
                <w:rFonts w:hint="eastAsia"/>
                <w:color w:val="000000"/>
                <w:szCs w:val="21"/>
              </w:rPr>
              <w:t>2.098</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45</w:t>
            </w:r>
          </w:p>
        </w:tc>
        <w:tc>
          <w:tcPr>
            <w:tcW w:w="1588" w:type="dxa"/>
            <w:vAlign w:val="center"/>
          </w:tcPr>
          <w:p>
            <w:pPr>
              <w:adjustRightInd w:val="0"/>
              <w:snapToGrid w:val="0"/>
              <w:jc w:val="center"/>
              <w:rPr>
                <w:color w:val="000000"/>
                <w:szCs w:val="21"/>
              </w:rPr>
            </w:pPr>
            <w:r>
              <w:rPr>
                <w:rFonts w:hint="eastAsia"/>
                <w:color w:val="000000"/>
                <w:szCs w:val="21"/>
              </w:rPr>
              <w:t>1.314</w:t>
            </w:r>
          </w:p>
        </w:tc>
        <w:tc>
          <w:tcPr>
            <w:tcW w:w="1588" w:type="dxa"/>
            <w:vAlign w:val="center"/>
          </w:tcPr>
          <w:p>
            <w:pPr>
              <w:adjustRightInd w:val="0"/>
              <w:snapToGrid w:val="0"/>
              <w:jc w:val="center"/>
              <w:rPr>
                <w:color w:val="000000"/>
                <w:szCs w:val="21"/>
              </w:rPr>
            </w:pPr>
            <w:r>
              <w:rPr>
                <w:rFonts w:hint="eastAsia"/>
                <w:color w:val="000000" w:themeColor="text1"/>
                <w:szCs w:val="21"/>
                <w14:textFill>
                  <w14:solidFill>
                    <w14:schemeClr w14:val="tx1"/>
                  </w14:solidFill>
                </w14:textFill>
              </w:rPr>
              <w:t>1.383</w:t>
            </w:r>
          </w:p>
        </w:tc>
        <w:tc>
          <w:tcPr>
            <w:tcW w:w="1588" w:type="dxa"/>
            <w:vAlign w:val="center"/>
          </w:tcPr>
          <w:p>
            <w:pPr>
              <w:adjustRightInd w:val="0"/>
              <w:snapToGrid w:val="0"/>
              <w:jc w:val="center"/>
              <w:rPr>
                <w:color w:val="000000"/>
                <w:szCs w:val="21"/>
              </w:rPr>
            </w:pPr>
            <w:r>
              <w:rPr>
                <w:rFonts w:hint="eastAsia"/>
                <w:color w:val="000000"/>
                <w:szCs w:val="21"/>
              </w:rPr>
              <w:t>2.092</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46</w:t>
            </w:r>
          </w:p>
        </w:tc>
        <w:tc>
          <w:tcPr>
            <w:tcW w:w="1588" w:type="dxa"/>
            <w:vAlign w:val="center"/>
          </w:tcPr>
          <w:p>
            <w:pPr>
              <w:adjustRightInd w:val="0"/>
              <w:snapToGrid w:val="0"/>
              <w:jc w:val="center"/>
              <w:rPr>
                <w:color w:val="000000"/>
                <w:szCs w:val="21"/>
              </w:rPr>
            </w:pPr>
            <w:r>
              <w:rPr>
                <w:rFonts w:hint="eastAsia"/>
                <w:color w:val="000000"/>
                <w:szCs w:val="21"/>
              </w:rPr>
              <w:t>1.317</w:t>
            </w:r>
          </w:p>
        </w:tc>
        <w:tc>
          <w:tcPr>
            <w:tcW w:w="1588" w:type="dxa"/>
            <w:vAlign w:val="center"/>
          </w:tcPr>
          <w:p>
            <w:pPr>
              <w:adjustRightInd w:val="0"/>
              <w:snapToGrid w:val="0"/>
              <w:jc w:val="center"/>
              <w:rPr>
                <w:color w:val="000000"/>
                <w:szCs w:val="21"/>
              </w:rPr>
            </w:pPr>
            <w:r>
              <w:rPr>
                <w:rFonts w:hint="eastAsia"/>
                <w:color w:val="000000" w:themeColor="text1"/>
                <w:szCs w:val="21"/>
                <w14:textFill>
                  <w14:solidFill>
                    <w14:schemeClr w14:val="tx1"/>
                  </w14:solidFill>
                </w14:textFill>
              </w:rPr>
              <w:t>1.386</w:t>
            </w:r>
          </w:p>
        </w:tc>
        <w:tc>
          <w:tcPr>
            <w:tcW w:w="1588" w:type="dxa"/>
            <w:vAlign w:val="center"/>
          </w:tcPr>
          <w:p>
            <w:pPr>
              <w:adjustRightInd w:val="0"/>
              <w:snapToGrid w:val="0"/>
              <w:jc w:val="center"/>
              <w:rPr>
                <w:color w:val="000000"/>
                <w:szCs w:val="21"/>
              </w:rPr>
            </w:pPr>
            <w:r>
              <w:rPr>
                <w:rFonts w:hint="eastAsia"/>
                <w:color w:val="000000"/>
                <w:szCs w:val="21"/>
              </w:rPr>
              <w:t>2.086</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47</w:t>
            </w:r>
          </w:p>
        </w:tc>
        <w:tc>
          <w:tcPr>
            <w:tcW w:w="1588" w:type="dxa"/>
            <w:vAlign w:val="center"/>
          </w:tcPr>
          <w:p>
            <w:pPr>
              <w:adjustRightInd w:val="0"/>
              <w:snapToGrid w:val="0"/>
              <w:jc w:val="center"/>
              <w:rPr>
                <w:color w:val="000000"/>
                <w:szCs w:val="21"/>
              </w:rPr>
            </w:pPr>
            <w:r>
              <w:rPr>
                <w:rFonts w:hint="eastAsia"/>
                <w:color w:val="000000"/>
                <w:szCs w:val="21"/>
              </w:rPr>
              <w:t>1.321</w:t>
            </w:r>
          </w:p>
        </w:tc>
        <w:tc>
          <w:tcPr>
            <w:tcW w:w="1588" w:type="dxa"/>
            <w:vAlign w:val="center"/>
          </w:tcPr>
          <w:p>
            <w:pPr>
              <w:adjustRightInd w:val="0"/>
              <w:snapToGrid w:val="0"/>
              <w:jc w:val="center"/>
              <w:rPr>
                <w:color w:val="000000"/>
                <w:szCs w:val="21"/>
              </w:rPr>
            </w:pPr>
            <w:r>
              <w:rPr>
                <w:rFonts w:hint="eastAsia"/>
                <w:color w:val="000000" w:themeColor="text1"/>
                <w:szCs w:val="21"/>
                <w14:textFill>
                  <w14:solidFill>
                    <w14:schemeClr w14:val="tx1"/>
                  </w14:solidFill>
                </w14:textFill>
              </w:rPr>
              <w:t>1.389</w:t>
            </w:r>
          </w:p>
        </w:tc>
        <w:tc>
          <w:tcPr>
            <w:tcW w:w="1588" w:type="dxa"/>
            <w:vAlign w:val="center"/>
          </w:tcPr>
          <w:p>
            <w:pPr>
              <w:adjustRightInd w:val="0"/>
              <w:snapToGrid w:val="0"/>
              <w:jc w:val="center"/>
              <w:rPr>
                <w:color w:val="000000"/>
                <w:szCs w:val="21"/>
              </w:rPr>
            </w:pPr>
            <w:r>
              <w:rPr>
                <w:rFonts w:hint="eastAsia"/>
                <w:color w:val="000000"/>
                <w:szCs w:val="21"/>
              </w:rPr>
              <w:t>2.081</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48</w:t>
            </w:r>
          </w:p>
        </w:tc>
        <w:tc>
          <w:tcPr>
            <w:tcW w:w="1588" w:type="dxa"/>
            <w:vAlign w:val="center"/>
          </w:tcPr>
          <w:p>
            <w:pPr>
              <w:adjustRightInd w:val="0"/>
              <w:snapToGrid w:val="0"/>
              <w:jc w:val="center"/>
              <w:rPr>
                <w:color w:val="000000"/>
                <w:szCs w:val="21"/>
              </w:rPr>
            </w:pPr>
            <w:r>
              <w:rPr>
                <w:rFonts w:hint="eastAsia"/>
                <w:color w:val="000000"/>
                <w:szCs w:val="21"/>
              </w:rPr>
              <w:t>1.324</w:t>
            </w:r>
          </w:p>
        </w:tc>
        <w:tc>
          <w:tcPr>
            <w:tcW w:w="1588" w:type="dxa"/>
            <w:vAlign w:val="center"/>
          </w:tcPr>
          <w:p>
            <w:pPr>
              <w:adjustRightInd w:val="0"/>
              <w:snapToGrid w:val="0"/>
              <w:jc w:val="center"/>
              <w:rPr>
                <w:color w:val="000000"/>
                <w:szCs w:val="21"/>
              </w:rPr>
            </w:pPr>
            <w:r>
              <w:rPr>
                <w:rFonts w:hint="eastAsia"/>
                <w:color w:val="000000" w:themeColor="text1"/>
                <w:szCs w:val="21"/>
                <w14:textFill>
                  <w14:solidFill>
                    <w14:schemeClr w14:val="tx1"/>
                  </w14:solidFill>
                </w14:textFill>
              </w:rPr>
              <w:t>1.391</w:t>
            </w:r>
          </w:p>
        </w:tc>
        <w:tc>
          <w:tcPr>
            <w:tcW w:w="1588" w:type="dxa"/>
            <w:vAlign w:val="center"/>
          </w:tcPr>
          <w:p>
            <w:pPr>
              <w:adjustRightInd w:val="0"/>
              <w:snapToGrid w:val="0"/>
              <w:jc w:val="center"/>
              <w:rPr>
                <w:color w:val="000000"/>
                <w:szCs w:val="21"/>
              </w:rPr>
            </w:pPr>
            <w:r>
              <w:rPr>
                <w:rFonts w:hint="eastAsia"/>
                <w:color w:val="000000"/>
                <w:szCs w:val="21"/>
              </w:rPr>
              <w:t>2.075</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1.973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49</w:t>
            </w:r>
          </w:p>
        </w:tc>
        <w:tc>
          <w:tcPr>
            <w:tcW w:w="1588" w:type="dxa"/>
            <w:vAlign w:val="center"/>
          </w:tcPr>
          <w:p>
            <w:pPr>
              <w:adjustRightInd w:val="0"/>
              <w:snapToGrid w:val="0"/>
              <w:jc w:val="center"/>
              <w:rPr>
                <w:color w:val="000000"/>
                <w:szCs w:val="21"/>
              </w:rPr>
            </w:pPr>
            <w:r>
              <w:rPr>
                <w:rFonts w:hint="eastAsia"/>
                <w:color w:val="000000"/>
                <w:szCs w:val="21"/>
              </w:rPr>
              <w:t>1.327</w:t>
            </w:r>
          </w:p>
        </w:tc>
        <w:tc>
          <w:tcPr>
            <w:tcW w:w="1588" w:type="dxa"/>
            <w:vAlign w:val="center"/>
          </w:tcPr>
          <w:p>
            <w:pPr>
              <w:adjustRightInd w:val="0"/>
              <w:snapToGrid w:val="0"/>
              <w:jc w:val="center"/>
              <w:rPr>
                <w:color w:val="000000"/>
                <w:szCs w:val="21"/>
              </w:rPr>
            </w:pPr>
            <w:r>
              <w:rPr>
                <w:rFonts w:hint="eastAsia"/>
                <w:color w:val="000000" w:themeColor="text1"/>
                <w:szCs w:val="21"/>
                <w14:textFill>
                  <w14:solidFill>
                    <w14:schemeClr w14:val="tx1"/>
                  </w14:solidFill>
                </w14:textFill>
              </w:rPr>
              <w:t>1.393</w:t>
            </w:r>
          </w:p>
        </w:tc>
        <w:tc>
          <w:tcPr>
            <w:tcW w:w="1588" w:type="dxa"/>
            <w:vAlign w:val="center"/>
          </w:tcPr>
          <w:p>
            <w:pPr>
              <w:adjustRightInd w:val="0"/>
              <w:snapToGrid w:val="0"/>
              <w:jc w:val="center"/>
              <w:rPr>
                <w:color w:val="000000"/>
                <w:szCs w:val="21"/>
              </w:rPr>
            </w:pPr>
            <w:r>
              <w:rPr>
                <w:rFonts w:hint="eastAsia"/>
                <w:color w:val="000000"/>
                <w:szCs w:val="21"/>
              </w:rPr>
              <w:t>2.070</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50</w:t>
            </w:r>
          </w:p>
        </w:tc>
        <w:tc>
          <w:tcPr>
            <w:tcW w:w="1588" w:type="dxa"/>
            <w:vAlign w:val="center"/>
          </w:tcPr>
          <w:p>
            <w:pPr>
              <w:adjustRightInd w:val="0"/>
              <w:snapToGrid w:val="0"/>
              <w:jc w:val="center"/>
              <w:rPr>
                <w:color w:val="000000"/>
                <w:szCs w:val="21"/>
              </w:rPr>
            </w:pPr>
            <w:r>
              <w:rPr>
                <w:rFonts w:hint="eastAsia"/>
                <w:color w:val="000000"/>
                <w:szCs w:val="21"/>
              </w:rPr>
              <w:t>1.329</w:t>
            </w:r>
          </w:p>
        </w:tc>
        <w:tc>
          <w:tcPr>
            <w:tcW w:w="1588" w:type="dxa"/>
            <w:vAlign w:val="center"/>
          </w:tcPr>
          <w:p>
            <w:pPr>
              <w:adjustRightInd w:val="0"/>
              <w:snapToGrid w:val="0"/>
              <w:jc w:val="center"/>
              <w:rPr>
                <w:color w:val="000000"/>
                <w:szCs w:val="21"/>
              </w:rPr>
            </w:pPr>
            <w:r>
              <w:rPr>
                <w:rFonts w:hint="eastAsia"/>
                <w:color w:val="000000" w:themeColor="text1"/>
                <w:szCs w:val="21"/>
                <w14:textFill>
                  <w14:solidFill>
                    <w14:schemeClr w14:val="tx1"/>
                  </w14:solidFill>
                </w14:textFill>
              </w:rPr>
              <w:t>1.396</w:t>
            </w:r>
          </w:p>
        </w:tc>
        <w:tc>
          <w:tcPr>
            <w:tcW w:w="1588" w:type="dxa"/>
            <w:vAlign w:val="center"/>
          </w:tcPr>
          <w:p>
            <w:pPr>
              <w:adjustRightInd w:val="0"/>
              <w:snapToGrid w:val="0"/>
              <w:jc w:val="center"/>
              <w:rPr>
                <w:color w:val="000000"/>
                <w:szCs w:val="21"/>
              </w:rPr>
            </w:pPr>
            <w:r>
              <w:rPr>
                <w:rFonts w:hint="eastAsia"/>
                <w:color w:val="000000"/>
                <w:szCs w:val="21"/>
              </w:rPr>
              <w:t>2.065</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60</w:t>
            </w:r>
          </w:p>
        </w:tc>
        <w:tc>
          <w:tcPr>
            <w:tcW w:w="1588" w:type="dxa"/>
            <w:vAlign w:val="center"/>
          </w:tcPr>
          <w:p>
            <w:pPr>
              <w:adjustRightInd w:val="0"/>
              <w:snapToGrid w:val="0"/>
              <w:jc w:val="center"/>
              <w:rPr>
                <w:color w:val="000000"/>
                <w:szCs w:val="21"/>
              </w:rPr>
            </w:pPr>
            <w:r>
              <w:rPr>
                <w:rFonts w:hint="eastAsia"/>
                <w:color w:val="000000"/>
                <w:szCs w:val="21"/>
              </w:rPr>
              <w:t>1.354</w:t>
            </w:r>
          </w:p>
        </w:tc>
        <w:tc>
          <w:tcPr>
            <w:tcW w:w="1588" w:type="dxa"/>
            <w:vAlign w:val="center"/>
          </w:tcPr>
          <w:p>
            <w:pPr>
              <w:adjustRightInd w:val="0"/>
              <w:snapToGrid w:val="0"/>
              <w:jc w:val="center"/>
              <w:rPr>
                <w:color w:val="000000"/>
                <w:szCs w:val="21"/>
              </w:rPr>
            </w:pPr>
            <w:r>
              <w:rPr>
                <w:rFonts w:hint="eastAsia"/>
                <w:color w:val="000000" w:themeColor="text1"/>
                <w:szCs w:val="21"/>
                <w14:textFill>
                  <w14:solidFill>
                    <w14:schemeClr w14:val="tx1"/>
                  </w14:solidFill>
                </w14:textFill>
              </w:rPr>
              <w:t>1.415</w:t>
            </w:r>
          </w:p>
        </w:tc>
        <w:tc>
          <w:tcPr>
            <w:tcW w:w="1588" w:type="dxa"/>
            <w:vAlign w:val="center"/>
          </w:tcPr>
          <w:p>
            <w:pPr>
              <w:adjustRightInd w:val="0"/>
              <w:snapToGrid w:val="0"/>
              <w:jc w:val="center"/>
              <w:rPr>
                <w:color w:val="000000"/>
                <w:szCs w:val="21"/>
              </w:rPr>
            </w:pPr>
            <w:r>
              <w:rPr>
                <w:rFonts w:hint="eastAsia"/>
                <w:color w:val="000000"/>
                <w:szCs w:val="21"/>
              </w:rPr>
              <w:t>2.022</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70</w:t>
            </w:r>
          </w:p>
        </w:tc>
        <w:tc>
          <w:tcPr>
            <w:tcW w:w="1588" w:type="dxa"/>
            <w:vAlign w:val="center"/>
          </w:tcPr>
          <w:p>
            <w:pPr>
              <w:adjustRightInd w:val="0"/>
              <w:snapToGrid w:val="0"/>
              <w:jc w:val="center"/>
              <w:rPr>
                <w:color w:val="000000"/>
                <w:szCs w:val="21"/>
              </w:rPr>
            </w:pPr>
            <w:r>
              <w:rPr>
                <w:rFonts w:hint="eastAsia"/>
                <w:color w:val="000000"/>
                <w:szCs w:val="21"/>
              </w:rPr>
              <w:t>1.374</w:t>
            </w:r>
          </w:p>
        </w:tc>
        <w:tc>
          <w:tcPr>
            <w:tcW w:w="1588" w:type="dxa"/>
            <w:vAlign w:val="center"/>
          </w:tcPr>
          <w:p>
            <w:pPr>
              <w:adjustRightInd w:val="0"/>
              <w:snapToGrid w:val="0"/>
              <w:jc w:val="center"/>
              <w:rPr>
                <w:color w:val="000000"/>
                <w:szCs w:val="21"/>
              </w:rPr>
            </w:pPr>
            <w:r>
              <w:rPr>
                <w:rFonts w:hint="eastAsia"/>
                <w:color w:val="000000" w:themeColor="text1"/>
                <w:szCs w:val="21"/>
                <w14:textFill>
                  <w14:solidFill>
                    <w14:schemeClr w14:val="tx1"/>
                  </w14:solidFill>
                </w14:textFill>
              </w:rPr>
              <w:t>1.431</w:t>
            </w:r>
          </w:p>
        </w:tc>
        <w:tc>
          <w:tcPr>
            <w:tcW w:w="1588" w:type="dxa"/>
            <w:vAlign w:val="center"/>
          </w:tcPr>
          <w:p>
            <w:pPr>
              <w:adjustRightInd w:val="0"/>
              <w:snapToGrid w:val="0"/>
              <w:jc w:val="center"/>
              <w:rPr>
                <w:color w:val="000000"/>
                <w:szCs w:val="21"/>
              </w:rPr>
            </w:pPr>
            <w:r>
              <w:rPr>
                <w:rFonts w:hint="eastAsia"/>
                <w:color w:val="000000"/>
                <w:szCs w:val="21"/>
              </w:rPr>
              <w:t>1.990</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80</w:t>
            </w:r>
          </w:p>
        </w:tc>
        <w:tc>
          <w:tcPr>
            <w:tcW w:w="1588" w:type="dxa"/>
            <w:vAlign w:val="center"/>
          </w:tcPr>
          <w:p>
            <w:pPr>
              <w:adjustRightInd w:val="0"/>
              <w:snapToGrid w:val="0"/>
              <w:jc w:val="center"/>
              <w:rPr>
                <w:color w:val="000000"/>
                <w:szCs w:val="21"/>
              </w:rPr>
            </w:pPr>
            <w:r>
              <w:rPr>
                <w:rFonts w:hint="eastAsia"/>
                <w:color w:val="000000"/>
                <w:szCs w:val="21"/>
              </w:rPr>
              <w:t>1.390</w:t>
            </w:r>
          </w:p>
        </w:tc>
        <w:tc>
          <w:tcPr>
            <w:tcW w:w="1588" w:type="dxa"/>
            <w:vAlign w:val="center"/>
          </w:tcPr>
          <w:p>
            <w:pPr>
              <w:adjustRightInd w:val="0"/>
              <w:snapToGrid w:val="0"/>
              <w:jc w:val="center"/>
              <w:rPr>
                <w:color w:val="000000"/>
                <w:szCs w:val="21"/>
              </w:rPr>
            </w:pPr>
            <w:r>
              <w:rPr>
                <w:rFonts w:hint="eastAsia"/>
                <w:color w:val="000000" w:themeColor="text1"/>
                <w:szCs w:val="21"/>
                <w14:textFill>
                  <w14:solidFill>
                    <w14:schemeClr w14:val="tx1"/>
                  </w14:solidFill>
                </w14:textFill>
              </w:rPr>
              <w:t>1.444</w:t>
            </w:r>
          </w:p>
        </w:tc>
        <w:tc>
          <w:tcPr>
            <w:tcW w:w="1588" w:type="dxa"/>
            <w:vAlign w:val="center"/>
          </w:tcPr>
          <w:p>
            <w:pPr>
              <w:adjustRightInd w:val="0"/>
              <w:snapToGrid w:val="0"/>
              <w:jc w:val="center"/>
              <w:rPr>
                <w:color w:val="000000"/>
                <w:szCs w:val="21"/>
              </w:rPr>
            </w:pPr>
            <w:r>
              <w:rPr>
                <w:rFonts w:hint="eastAsia"/>
                <w:color w:val="000000"/>
                <w:szCs w:val="21"/>
              </w:rPr>
              <w:t>1.964</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90</w:t>
            </w:r>
          </w:p>
        </w:tc>
        <w:tc>
          <w:tcPr>
            <w:tcW w:w="1588" w:type="dxa"/>
            <w:vAlign w:val="center"/>
          </w:tcPr>
          <w:p>
            <w:pPr>
              <w:adjustRightInd w:val="0"/>
              <w:snapToGrid w:val="0"/>
              <w:jc w:val="center"/>
              <w:rPr>
                <w:color w:val="000000"/>
                <w:szCs w:val="21"/>
              </w:rPr>
            </w:pPr>
            <w:r>
              <w:rPr>
                <w:rFonts w:hint="eastAsia"/>
                <w:color w:val="000000"/>
                <w:szCs w:val="21"/>
              </w:rPr>
              <w:t>1.403</w:t>
            </w:r>
          </w:p>
        </w:tc>
        <w:tc>
          <w:tcPr>
            <w:tcW w:w="1588" w:type="dxa"/>
            <w:vAlign w:val="center"/>
          </w:tcPr>
          <w:p>
            <w:pPr>
              <w:adjustRightInd w:val="0"/>
              <w:snapToGrid w:val="0"/>
              <w:jc w:val="center"/>
              <w:rPr>
                <w:color w:val="000000"/>
                <w:szCs w:val="21"/>
              </w:rPr>
            </w:pPr>
            <w:r>
              <w:rPr>
                <w:rFonts w:hint="eastAsia"/>
                <w:color w:val="000000" w:themeColor="text1"/>
                <w:szCs w:val="21"/>
                <w14:textFill>
                  <w14:solidFill>
                    <w14:schemeClr w14:val="tx1"/>
                  </w14:solidFill>
                </w14:textFill>
              </w:rPr>
              <w:t>1.454</w:t>
            </w:r>
          </w:p>
        </w:tc>
        <w:tc>
          <w:tcPr>
            <w:tcW w:w="1588" w:type="dxa"/>
            <w:vAlign w:val="center"/>
          </w:tcPr>
          <w:p>
            <w:pPr>
              <w:adjustRightInd w:val="0"/>
              <w:snapToGrid w:val="0"/>
              <w:jc w:val="center"/>
              <w:rPr>
                <w:color w:val="000000"/>
                <w:szCs w:val="21"/>
              </w:rPr>
            </w:pPr>
            <w:r>
              <w:rPr>
                <w:rFonts w:hint="eastAsia"/>
                <w:color w:val="000000"/>
                <w:szCs w:val="21"/>
              </w:rPr>
              <w:t>1.944</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100</w:t>
            </w:r>
          </w:p>
        </w:tc>
        <w:tc>
          <w:tcPr>
            <w:tcW w:w="1588" w:type="dxa"/>
            <w:vAlign w:val="center"/>
          </w:tcPr>
          <w:p>
            <w:pPr>
              <w:adjustRightInd w:val="0"/>
              <w:snapToGrid w:val="0"/>
              <w:jc w:val="center"/>
              <w:rPr>
                <w:color w:val="000000"/>
                <w:szCs w:val="21"/>
              </w:rPr>
            </w:pPr>
            <w:r>
              <w:rPr>
                <w:rFonts w:hint="eastAsia"/>
                <w:color w:val="000000"/>
                <w:szCs w:val="21"/>
              </w:rPr>
              <w:t>1.414</w:t>
            </w:r>
          </w:p>
        </w:tc>
        <w:tc>
          <w:tcPr>
            <w:tcW w:w="1588" w:type="dxa"/>
            <w:vAlign w:val="center"/>
          </w:tcPr>
          <w:p>
            <w:pPr>
              <w:adjustRightInd w:val="0"/>
              <w:snapToGrid w:val="0"/>
              <w:jc w:val="center"/>
              <w:rPr>
                <w:color w:val="000000"/>
                <w:szCs w:val="21"/>
              </w:rPr>
            </w:pPr>
            <w:r>
              <w:rPr>
                <w:rFonts w:hint="eastAsia"/>
                <w:color w:val="000000" w:themeColor="text1"/>
                <w:szCs w:val="21"/>
                <w14:textFill>
                  <w14:solidFill>
                    <w14:schemeClr w14:val="tx1"/>
                  </w14:solidFill>
                </w14:textFill>
              </w:rPr>
              <w:t>1.463</w:t>
            </w:r>
          </w:p>
        </w:tc>
        <w:tc>
          <w:tcPr>
            <w:tcW w:w="1588" w:type="dxa"/>
            <w:vAlign w:val="center"/>
          </w:tcPr>
          <w:p>
            <w:pPr>
              <w:adjustRightInd w:val="0"/>
              <w:snapToGrid w:val="0"/>
              <w:jc w:val="center"/>
              <w:rPr>
                <w:color w:val="000000"/>
                <w:szCs w:val="21"/>
              </w:rPr>
            </w:pPr>
            <w:r>
              <w:rPr>
                <w:rFonts w:hint="eastAsia"/>
                <w:color w:val="000000"/>
                <w:szCs w:val="21"/>
              </w:rPr>
              <w:t>1.927</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110</w:t>
            </w:r>
          </w:p>
        </w:tc>
        <w:tc>
          <w:tcPr>
            <w:tcW w:w="1588" w:type="dxa"/>
            <w:vAlign w:val="center"/>
          </w:tcPr>
          <w:p>
            <w:pPr>
              <w:adjustRightInd w:val="0"/>
              <w:snapToGrid w:val="0"/>
              <w:jc w:val="center"/>
              <w:rPr>
                <w:color w:val="000000"/>
                <w:szCs w:val="21"/>
              </w:rPr>
            </w:pPr>
            <w:r>
              <w:rPr>
                <w:rFonts w:hint="eastAsia"/>
                <w:color w:val="000000"/>
                <w:szCs w:val="21"/>
              </w:rPr>
              <w:t>1.424</w:t>
            </w:r>
          </w:p>
        </w:tc>
        <w:tc>
          <w:tcPr>
            <w:tcW w:w="1588" w:type="dxa"/>
            <w:vAlign w:val="center"/>
          </w:tcPr>
          <w:p>
            <w:pPr>
              <w:adjustRightInd w:val="0"/>
              <w:snapToGrid w:val="0"/>
              <w:jc w:val="center"/>
              <w:rPr>
                <w:color w:val="000000"/>
                <w:szCs w:val="21"/>
              </w:rPr>
            </w:pPr>
            <w:r>
              <w:rPr>
                <w:rFonts w:hint="eastAsia"/>
                <w:color w:val="000000" w:themeColor="text1"/>
                <w:szCs w:val="21"/>
                <w14:textFill>
                  <w14:solidFill>
                    <w14:schemeClr w14:val="tx1"/>
                  </w14:solidFill>
                </w14:textFill>
              </w:rPr>
              <w:t>1.471</w:t>
            </w:r>
          </w:p>
        </w:tc>
        <w:tc>
          <w:tcPr>
            <w:tcW w:w="1588" w:type="dxa"/>
            <w:vAlign w:val="center"/>
          </w:tcPr>
          <w:p>
            <w:pPr>
              <w:adjustRightInd w:val="0"/>
              <w:snapToGrid w:val="0"/>
              <w:jc w:val="center"/>
              <w:rPr>
                <w:color w:val="000000"/>
                <w:szCs w:val="21"/>
              </w:rPr>
            </w:pPr>
            <w:r>
              <w:rPr>
                <w:rFonts w:hint="eastAsia"/>
                <w:color w:val="000000"/>
                <w:szCs w:val="21"/>
              </w:rPr>
              <w:t>1.912</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pPr>
              <w:adjustRightInd w:val="0"/>
              <w:snapToGrid w:val="0"/>
              <w:jc w:val="center"/>
              <w:rPr>
                <w:color w:val="000000"/>
                <w:szCs w:val="21"/>
              </w:rPr>
            </w:pPr>
            <w:r>
              <w:rPr>
                <w:color w:val="000000"/>
                <w:szCs w:val="21"/>
              </w:rPr>
              <w:t>120</w:t>
            </w:r>
          </w:p>
        </w:tc>
        <w:tc>
          <w:tcPr>
            <w:tcW w:w="1588" w:type="dxa"/>
            <w:vAlign w:val="center"/>
          </w:tcPr>
          <w:p>
            <w:pPr>
              <w:adjustRightInd w:val="0"/>
              <w:snapToGrid w:val="0"/>
              <w:jc w:val="center"/>
              <w:rPr>
                <w:color w:val="000000"/>
                <w:szCs w:val="21"/>
              </w:rPr>
            </w:pPr>
            <w:r>
              <w:rPr>
                <w:rFonts w:hint="eastAsia"/>
                <w:color w:val="000000"/>
                <w:szCs w:val="21"/>
              </w:rPr>
              <w:t>1.433</w:t>
            </w:r>
          </w:p>
        </w:tc>
        <w:tc>
          <w:tcPr>
            <w:tcW w:w="1588" w:type="dxa"/>
            <w:vAlign w:val="center"/>
          </w:tcPr>
          <w:p>
            <w:pPr>
              <w:adjustRightInd w:val="0"/>
              <w:snapToGrid w:val="0"/>
              <w:jc w:val="center"/>
              <w:rPr>
                <w:color w:val="000000"/>
                <w:szCs w:val="21"/>
              </w:rPr>
            </w:pPr>
            <w:r>
              <w:rPr>
                <w:rFonts w:hint="eastAsia"/>
                <w:color w:val="000000" w:themeColor="text1"/>
                <w:szCs w:val="21"/>
                <w14:textFill>
                  <w14:solidFill>
                    <w14:schemeClr w14:val="tx1"/>
                  </w14:solidFill>
                </w14:textFill>
              </w:rPr>
              <w:t>1.478</w:t>
            </w:r>
          </w:p>
        </w:tc>
        <w:tc>
          <w:tcPr>
            <w:tcW w:w="1588" w:type="dxa"/>
            <w:vAlign w:val="center"/>
          </w:tcPr>
          <w:p>
            <w:pPr>
              <w:adjustRightInd w:val="0"/>
              <w:snapToGrid w:val="0"/>
              <w:jc w:val="center"/>
              <w:rPr>
                <w:color w:val="000000"/>
                <w:szCs w:val="21"/>
              </w:rPr>
            </w:pPr>
            <w:r>
              <w:rPr>
                <w:rFonts w:hint="eastAsia"/>
                <w:color w:val="000000"/>
                <w:szCs w:val="21"/>
              </w:rPr>
              <w:t>1.899</w:t>
            </w:r>
          </w:p>
        </w:tc>
        <w:tc>
          <w:tcPr>
            <w:tcW w:w="158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1.840</w:t>
            </w:r>
          </w:p>
        </w:tc>
      </w:tr>
    </w:tbl>
    <w:p>
      <w:pPr>
        <w:adjustRightInd w:val="0"/>
        <w:snapToGrid w:val="0"/>
        <w:spacing w:line="360" w:lineRule="auto"/>
        <w:rPr>
          <w:bCs/>
          <w:color w:val="000000"/>
          <w:sz w:val="24"/>
        </w:rPr>
      </w:pPr>
    </w:p>
    <w:p>
      <w:pPr>
        <w:adjustRightInd w:val="0"/>
        <w:snapToGrid w:val="0"/>
        <w:spacing w:line="360" w:lineRule="auto"/>
        <w:rPr>
          <w:color w:val="000000"/>
          <w:sz w:val="24"/>
        </w:rPr>
      </w:pPr>
      <w:r>
        <w:rPr>
          <w:rFonts w:hint="eastAsia"/>
          <w:b/>
          <w:kern w:val="0"/>
          <w:sz w:val="24"/>
          <w:szCs w:val="24"/>
        </w:rPr>
        <w:t>B.0.</w:t>
      </w:r>
      <w:r>
        <w:rPr>
          <w:b/>
          <w:kern w:val="0"/>
          <w:sz w:val="24"/>
          <w:szCs w:val="24"/>
        </w:rPr>
        <w:t>2</w:t>
      </w:r>
      <w:r>
        <w:rPr>
          <w:rFonts w:hint="eastAsia"/>
          <w:b/>
          <w:kern w:val="0"/>
          <w:sz w:val="24"/>
          <w:szCs w:val="24"/>
        </w:rPr>
        <w:t xml:space="preserve"> </w:t>
      </w:r>
      <w:r>
        <w:rPr>
          <w:rFonts w:hint="eastAsia"/>
          <w:kern w:val="0"/>
          <w:sz w:val="24"/>
          <w:szCs w:val="24"/>
        </w:rPr>
        <w:t>对符合正态分布的数据样本，当错判概率和漏判概率为0</w:t>
      </w:r>
      <w:r>
        <w:rPr>
          <w:kern w:val="0"/>
          <w:sz w:val="24"/>
          <w:szCs w:val="24"/>
        </w:rPr>
        <w:t>.05</w:t>
      </w:r>
      <w:r>
        <w:rPr>
          <w:rFonts w:hint="eastAsia"/>
          <w:kern w:val="0"/>
          <w:sz w:val="24"/>
          <w:szCs w:val="24"/>
        </w:rPr>
        <w:t>或0</w:t>
      </w:r>
      <w:r>
        <w:rPr>
          <w:kern w:val="0"/>
          <w:sz w:val="24"/>
          <w:szCs w:val="24"/>
        </w:rPr>
        <w:t>.10</w:t>
      </w:r>
      <w:r>
        <w:rPr>
          <w:rFonts w:hint="eastAsia"/>
          <w:kern w:val="0"/>
          <w:sz w:val="24"/>
          <w:szCs w:val="24"/>
        </w:rPr>
        <w:t>时，0.5分位值的推定系数可按表B.0.</w:t>
      </w:r>
      <w:r>
        <w:rPr>
          <w:kern w:val="0"/>
          <w:sz w:val="24"/>
          <w:szCs w:val="24"/>
        </w:rPr>
        <w:t>2</w:t>
      </w:r>
      <w:r>
        <w:rPr>
          <w:rFonts w:hint="eastAsia"/>
          <w:kern w:val="0"/>
          <w:sz w:val="24"/>
          <w:szCs w:val="24"/>
        </w:rPr>
        <w:t>取值</w:t>
      </w:r>
      <w:r>
        <w:rPr>
          <w:color w:val="000000"/>
          <w:sz w:val="24"/>
        </w:rPr>
        <w:t>。</w:t>
      </w:r>
    </w:p>
    <w:p>
      <w:pPr>
        <w:adjustRightInd w:val="0"/>
        <w:snapToGrid w:val="0"/>
        <w:spacing w:before="120" w:beforeLines="50"/>
        <w:jc w:val="center"/>
        <w:rPr>
          <w:b/>
          <w:bCs/>
          <w:color w:val="000000"/>
          <w:sz w:val="24"/>
        </w:rPr>
      </w:pPr>
      <w:r>
        <w:rPr>
          <w:rFonts w:hint="eastAsia"/>
          <w:b/>
          <w:bCs/>
          <w:color w:val="000000"/>
          <w:sz w:val="24"/>
        </w:rPr>
        <w:t>表B.0.</w:t>
      </w:r>
      <w:r>
        <w:rPr>
          <w:b/>
          <w:bCs/>
          <w:color w:val="000000"/>
          <w:sz w:val="24"/>
        </w:rPr>
        <w:t>2</w:t>
      </w:r>
      <w:r>
        <w:rPr>
          <w:rFonts w:hint="eastAsia"/>
          <w:b/>
          <w:bCs/>
          <w:color w:val="000000"/>
          <w:sz w:val="24"/>
        </w:rPr>
        <w:t xml:space="preserve">  0.5分位值的推定系数</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2835"/>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68" w:type="dxa"/>
            <w:vMerge w:val="restart"/>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样本</w:t>
            </w:r>
            <w:r>
              <w:rPr>
                <w:color w:val="000000" w:themeColor="text1"/>
                <w14:textFill>
                  <w14:solidFill>
                    <w14:schemeClr w14:val="tx1"/>
                  </w14:solidFill>
                </w14:textFill>
              </w:rPr>
              <w:t>数量</w:t>
            </w:r>
          </w:p>
          <w:p>
            <w:pPr>
              <w:adjustRightInd w:val="0"/>
              <w:snapToGrid w:val="0"/>
              <w:jc w:val="center"/>
              <w:rPr>
                <w:color w:val="000000" w:themeColor="text1"/>
                <w14:textFill>
                  <w14:solidFill>
                    <w14:schemeClr w14:val="tx1"/>
                  </w14:solidFill>
                </w14:textFill>
              </w:rPr>
            </w:pPr>
            <w:r>
              <w:rPr>
                <w:color w:val="000000" w:themeColor="text1"/>
                <w:position w:val="-6"/>
                <w14:textFill>
                  <w14:solidFill>
                    <w14:schemeClr w14:val="tx1"/>
                  </w14:solidFill>
                </w14:textFill>
              </w:rPr>
              <w:object>
                <v:shape id="_x0000_i1094" o:spt="75" type="#_x0000_t75" style="height:11.5pt;width:11.5pt;" o:ole="t" filled="f" o:preferrelative="t" stroked="f" coordsize="21600,21600">
                  <v:path/>
                  <v:fill on="f" focussize="0,0"/>
                  <v:stroke on="f" joinstyle="miter"/>
                  <v:imagedata r:id="rId135" o:title=""/>
                  <o:lock v:ext="edit" aspectratio="t"/>
                  <w10:wrap type="none"/>
                  <w10:anchorlock/>
                </v:shape>
                <o:OLEObject Type="Embed" ProgID="Equation.DSMT4" ShapeID="_x0000_i1094" DrawAspect="Content" ObjectID="_1468075794" r:id="rId139">
                  <o:LockedField>false</o:LockedField>
                </o:OLEObject>
              </w:object>
            </w:r>
          </w:p>
        </w:tc>
        <w:tc>
          <w:tcPr>
            <w:tcW w:w="5670" w:type="dxa"/>
            <w:gridSpan w:val="2"/>
            <w:vAlign w:val="center"/>
          </w:tcPr>
          <w:p>
            <w:pPr>
              <w:adjustRightInd w:val="0"/>
              <w:snapToGrid w:val="0"/>
              <w:jc w:val="center"/>
              <w:rPr>
                <w:color w:val="000000" w:themeColor="text1"/>
                <w14:textFill>
                  <w14:solidFill>
                    <w14:schemeClr w14:val="tx1"/>
                  </w14:solidFill>
                </w14:textFill>
              </w:rPr>
            </w:pPr>
            <w:r>
              <w:rPr>
                <w:color w:val="000000" w:themeColor="text1"/>
                <w:position w:val="-6"/>
                <w14:textFill>
                  <w14:solidFill>
                    <w14:schemeClr w14:val="tx1"/>
                  </w14:solidFill>
                </w14:textFill>
              </w:rPr>
              <w:object>
                <v:shape id="_x0000_i1095" o:spt="75" type="#_x0000_t75" style="height:15pt;width:11.5pt;" o:ole="t" filled="f" o:preferrelative="t" stroked="f" coordsize="21600,21600">
                  <v:path/>
                  <v:fill on="f" focussize="0,0"/>
                  <v:stroke on="f" joinstyle="miter"/>
                  <v:imagedata r:id="rId137" o:title=""/>
                  <o:lock v:ext="edit" aspectratio="t"/>
                  <w10:wrap type="none"/>
                  <w10:anchorlock/>
                </v:shape>
                <o:OLEObject Type="Embed" ProgID="Equation.DSMT4" ShapeID="_x0000_i1095" DrawAspect="Content" ObjectID="_1468075795" r:id="rId14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68" w:type="dxa"/>
            <w:vMerge w:val="continue"/>
            <w:vAlign w:val="center"/>
          </w:tcPr>
          <w:p>
            <w:pPr>
              <w:adjustRightInd w:val="0"/>
              <w:snapToGrid w:val="0"/>
              <w:jc w:val="center"/>
              <w:rPr>
                <w:color w:val="000000" w:themeColor="text1"/>
                <w14:textFill>
                  <w14:solidFill>
                    <w14:schemeClr w14:val="tx1"/>
                  </w14:solidFill>
                </w14:textFill>
              </w:rPr>
            </w:pPr>
          </w:p>
        </w:tc>
        <w:tc>
          <w:tcPr>
            <w:tcW w:w="2835"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0.05</w:t>
            </w:r>
          </w:p>
        </w:tc>
        <w:tc>
          <w:tcPr>
            <w:tcW w:w="2835"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0.1</w:t>
            </w:r>
            <w:r>
              <w:rPr>
                <w:color w:val="000000" w:themeColor="text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pPr>
              <w:adjustRightInd w:val="0"/>
              <w:snapToGrid w:val="0"/>
              <w:jc w:val="center"/>
              <w:rPr>
                <w:color w:val="000000"/>
                <w:szCs w:val="21"/>
              </w:rPr>
            </w:pPr>
            <w:r>
              <w:rPr>
                <w:rFonts w:hint="eastAsia"/>
                <w:color w:val="000000"/>
                <w:szCs w:val="21"/>
              </w:rPr>
              <w:t>5</w:t>
            </w:r>
          </w:p>
        </w:tc>
        <w:tc>
          <w:tcPr>
            <w:tcW w:w="283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0.953</w:t>
            </w:r>
          </w:p>
        </w:tc>
        <w:tc>
          <w:tcPr>
            <w:tcW w:w="2835"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pPr>
              <w:adjustRightInd w:val="0"/>
              <w:snapToGrid w:val="0"/>
              <w:jc w:val="center"/>
              <w:rPr>
                <w:color w:val="000000"/>
                <w:szCs w:val="21"/>
              </w:rPr>
            </w:pPr>
            <w:r>
              <w:rPr>
                <w:rFonts w:hint="eastAsia"/>
                <w:color w:val="000000"/>
                <w:szCs w:val="21"/>
              </w:rPr>
              <w:t>6</w:t>
            </w:r>
          </w:p>
        </w:tc>
        <w:tc>
          <w:tcPr>
            <w:tcW w:w="283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0.823</w:t>
            </w:r>
          </w:p>
        </w:tc>
        <w:tc>
          <w:tcPr>
            <w:tcW w:w="283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pPr>
              <w:adjustRightInd w:val="0"/>
              <w:snapToGrid w:val="0"/>
              <w:jc w:val="center"/>
              <w:rPr>
                <w:color w:val="000000"/>
                <w:szCs w:val="21"/>
              </w:rPr>
            </w:pPr>
            <w:r>
              <w:rPr>
                <w:rFonts w:hint="eastAsia"/>
                <w:color w:val="000000"/>
                <w:szCs w:val="21"/>
              </w:rPr>
              <w:t>7</w:t>
            </w:r>
          </w:p>
        </w:tc>
        <w:tc>
          <w:tcPr>
            <w:tcW w:w="283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0.734</w:t>
            </w:r>
          </w:p>
        </w:tc>
        <w:tc>
          <w:tcPr>
            <w:tcW w:w="283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pPr>
              <w:adjustRightInd w:val="0"/>
              <w:snapToGrid w:val="0"/>
              <w:jc w:val="center"/>
              <w:rPr>
                <w:color w:val="000000"/>
                <w:szCs w:val="21"/>
              </w:rPr>
            </w:pPr>
            <w:r>
              <w:rPr>
                <w:rFonts w:hint="eastAsia"/>
                <w:color w:val="000000"/>
                <w:szCs w:val="21"/>
              </w:rPr>
              <w:t>8</w:t>
            </w:r>
          </w:p>
        </w:tc>
        <w:tc>
          <w:tcPr>
            <w:tcW w:w="283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0.670</w:t>
            </w:r>
          </w:p>
        </w:tc>
        <w:tc>
          <w:tcPr>
            <w:tcW w:w="283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pPr>
              <w:adjustRightInd w:val="0"/>
              <w:snapToGrid w:val="0"/>
              <w:jc w:val="center"/>
              <w:rPr>
                <w:color w:val="000000"/>
                <w:szCs w:val="21"/>
              </w:rPr>
            </w:pPr>
            <w:r>
              <w:rPr>
                <w:rFonts w:hint="eastAsia"/>
                <w:color w:val="000000"/>
                <w:szCs w:val="21"/>
              </w:rPr>
              <w:t>9</w:t>
            </w:r>
          </w:p>
        </w:tc>
        <w:tc>
          <w:tcPr>
            <w:tcW w:w="283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0.620</w:t>
            </w:r>
          </w:p>
        </w:tc>
        <w:tc>
          <w:tcPr>
            <w:tcW w:w="283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10</w:t>
            </w:r>
          </w:p>
        </w:tc>
        <w:tc>
          <w:tcPr>
            <w:tcW w:w="283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0.580</w:t>
            </w:r>
          </w:p>
        </w:tc>
        <w:tc>
          <w:tcPr>
            <w:tcW w:w="283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11</w:t>
            </w:r>
          </w:p>
        </w:tc>
        <w:tc>
          <w:tcPr>
            <w:tcW w:w="2835" w:type="dxa"/>
            <w:vAlign w:val="center"/>
          </w:tcPr>
          <w:p>
            <w:pPr>
              <w:adjustRightInd w:val="0"/>
              <w:snapToGrid w:val="0"/>
              <w:jc w:val="center"/>
              <w:rPr>
                <w:color w:val="000000"/>
                <w:szCs w:val="21"/>
              </w:rPr>
            </w:pPr>
            <w:r>
              <w:rPr>
                <w:rFonts w:hint="eastAsia"/>
                <w:color w:val="000000"/>
                <w:szCs w:val="21"/>
              </w:rPr>
              <w:t>0.546</w:t>
            </w:r>
          </w:p>
        </w:tc>
        <w:tc>
          <w:tcPr>
            <w:tcW w:w="2835" w:type="dxa"/>
            <w:vAlign w:val="center"/>
          </w:tcPr>
          <w:p>
            <w:pPr>
              <w:adjustRightInd w:val="0"/>
              <w:snapToGrid w:val="0"/>
              <w:jc w:val="center"/>
              <w:rPr>
                <w:color w:val="000000"/>
                <w:szCs w:val="21"/>
              </w:rPr>
            </w:pPr>
            <w:r>
              <w:rPr>
                <w:rFonts w:hint="eastAsia"/>
                <w:color w:val="000000"/>
                <w:szCs w:val="21"/>
              </w:rPr>
              <w:t>0.414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12</w:t>
            </w:r>
          </w:p>
        </w:tc>
        <w:tc>
          <w:tcPr>
            <w:tcW w:w="2835" w:type="dxa"/>
            <w:vAlign w:val="center"/>
          </w:tcPr>
          <w:p>
            <w:pPr>
              <w:adjustRightInd w:val="0"/>
              <w:snapToGrid w:val="0"/>
              <w:jc w:val="center"/>
              <w:rPr>
                <w:color w:val="000000"/>
                <w:szCs w:val="21"/>
              </w:rPr>
            </w:pPr>
            <w:r>
              <w:rPr>
                <w:rFonts w:hint="eastAsia"/>
                <w:color w:val="000000"/>
                <w:szCs w:val="21"/>
              </w:rPr>
              <w:t>0.518</w:t>
            </w:r>
          </w:p>
        </w:tc>
        <w:tc>
          <w:tcPr>
            <w:tcW w:w="2835" w:type="dxa"/>
            <w:vAlign w:val="center"/>
          </w:tcPr>
          <w:p>
            <w:pPr>
              <w:snapToGrid w:val="0"/>
              <w:jc w:val="center"/>
              <w:rPr>
                <w:color w:val="000000"/>
                <w:szCs w:val="21"/>
              </w:rPr>
            </w:pPr>
            <w:r>
              <w:rPr>
                <w:rFonts w:hint="eastAsia"/>
                <w:color w:val="000000"/>
                <w:szCs w:val="21"/>
              </w:rPr>
              <w:t>0.394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13</w:t>
            </w:r>
          </w:p>
        </w:tc>
        <w:tc>
          <w:tcPr>
            <w:tcW w:w="2835" w:type="dxa"/>
            <w:vAlign w:val="center"/>
          </w:tcPr>
          <w:p>
            <w:pPr>
              <w:adjustRightInd w:val="0"/>
              <w:snapToGrid w:val="0"/>
              <w:jc w:val="center"/>
              <w:rPr>
                <w:color w:val="000000"/>
                <w:szCs w:val="21"/>
              </w:rPr>
            </w:pPr>
            <w:r>
              <w:rPr>
                <w:rFonts w:hint="eastAsia"/>
                <w:color w:val="000000"/>
                <w:szCs w:val="21"/>
              </w:rPr>
              <w:t>0.494</w:t>
            </w:r>
          </w:p>
        </w:tc>
        <w:tc>
          <w:tcPr>
            <w:tcW w:w="2835" w:type="dxa"/>
            <w:vAlign w:val="center"/>
          </w:tcPr>
          <w:p>
            <w:pPr>
              <w:adjustRightInd w:val="0"/>
              <w:snapToGrid w:val="0"/>
              <w:jc w:val="center"/>
              <w:rPr>
                <w:color w:val="000000"/>
                <w:szCs w:val="21"/>
              </w:rPr>
            </w:pPr>
            <w:r>
              <w:rPr>
                <w:rFonts w:hint="eastAsia"/>
                <w:color w:val="000000"/>
                <w:szCs w:val="21"/>
              </w:rPr>
              <w:t>0.376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14</w:t>
            </w:r>
          </w:p>
        </w:tc>
        <w:tc>
          <w:tcPr>
            <w:tcW w:w="2835" w:type="dxa"/>
            <w:vAlign w:val="center"/>
          </w:tcPr>
          <w:p>
            <w:pPr>
              <w:adjustRightInd w:val="0"/>
              <w:snapToGrid w:val="0"/>
              <w:jc w:val="center"/>
              <w:rPr>
                <w:color w:val="000000"/>
                <w:szCs w:val="21"/>
              </w:rPr>
            </w:pPr>
            <w:r>
              <w:rPr>
                <w:rFonts w:hint="eastAsia"/>
                <w:color w:val="000000"/>
                <w:szCs w:val="21"/>
              </w:rPr>
              <w:t>0.473</w:t>
            </w:r>
          </w:p>
        </w:tc>
        <w:tc>
          <w:tcPr>
            <w:tcW w:w="2835" w:type="dxa"/>
            <w:vAlign w:val="center"/>
          </w:tcPr>
          <w:p>
            <w:pPr>
              <w:adjustRightInd w:val="0"/>
              <w:snapToGrid w:val="0"/>
              <w:jc w:val="center"/>
              <w:rPr>
                <w:color w:val="000000"/>
                <w:szCs w:val="21"/>
              </w:rPr>
            </w:pPr>
            <w:r>
              <w:rPr>
                <w:rFonts w:hint="eastAsia"/>
                <w:color w:val="000000"/>
                <w:szCs w:val="21"/>
              </w:rPr>
              <w:t>0.361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15</w:t>
            </w:r>
          </w:p>
        </w:tc>
        <w:tc>
          <w:tcPr>
            <w:tcW w:w="2835" w:type="dxa"/>
            <w:vAlign w:val="center"/>
          </w:tcPr>
          <w:p>
            <w:pPr>
              <w:adjustRightInd w:val="0"/>
              <w:snapToGrid w:val="0"/>
              <w:jc w:val="center"/>
              <w:rPr>
                <w:color w:val="000000"/>
                <w:szCs w:val="21"/>
              </w:rPr>
            </w:pPr>
            <w:r>
              <w:rPr>
                <w:rFonts w:hint="eastAsia"/>
                <w:color w:val="000000"/>
                <w:szCs w:val="21"/>
              </w:rPr>
              <w:t>0.455</w:t>
            </w:r>
          </w:p>
        </w:tc>
        <w:tc>
          <w:tcPr>
            <w:tcW w:w="2835" w:type="dxa"/>
            <w:vAlign w:val="center"/>
          </w:tcPr>
          <w:p>
            <w:pPr>
              <w:adjustRightInd w:val="0"/>
              <w:snapToGrid w:val="0"/>
              <w:jc w:val="center"/>
              <w:rPr>
                <w:color w:val="000000"/>
                <w:szCs w:val="21"/>
              </w:rPr>
            </w:pPr>
            <w:r>
              <w:rPr>
                <w:rFonts w:hint="eastAsia"/>
                <w:color w:val="000000"/>
                <w:szCs w:val="21"/>
              </w:rPr>
              <w:t>0.347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16</w:t>
            </w:r>
          </w:p>
        </w:tc>
        <w:tc>
          <w:tcPr>
            <w:tcW w:w="2835" w:type="dxa"/>
            <w:vAlign w:val="center"/>
          </w:tcPr>
          <w:p>
            <w:pPr>
              <w:adjustRightInd w:val="0"/>
              <w:snapToGrid w:val="0"/>
              <w:jc w:val="center"/>
              <w:rPr>
                <w:color w:val="000000"/>
                <w:szCs w:val="21"/>
              </w:rPr>
            </w:pPr>
            <w:r>
              <w:rPr>
                <w:rFonts w:hint="eastAsia"/>
                <w:color w:val="000000"/>
                <w:szCs w:val="21"/>
              </w:rPr>
              <w:t>0.438</w:t>
            </w:r>
          </w:p>
        </w:tc>
        <w:tc>
          <w:tcPr>
            <w:tcW w:w="2835" w:type="dxa"/>
            <w:vAlign w:val="center"/>
          </w:tcPr>
          <w:p>
            <w:pPr>
              <w:adjustRightInd w:val="0"/>
              <w:snapToGrid w:val="0"/>
              <w:jc w:val="center"/>
              <w:rPr>
                <w:color w:val="000000"/>
                <w:szCs w:val="21"/>
              </w:rPr>
            </w:pPr>
            <w:r>
              <w:rPr>
                <w:rFonts w:hint="eastAsia"/>
                <w:color w:val="000000"/>
                <w:szCs w:val="21"/>
              </w:rPr>
              <w:t>0.335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17</w:t>
            </w:r>
          </w:p>
        </w:tc>
        <w:tc>
          <w:tcPr>
            <w:tcW w:w="2835" w:type="dxa"/>
            <w:vAlign w:val="center"/>
          </w:tcPr>
          <w:p>
            <w:pPr>
              <w:adjustRightInd w:val="0"/>
              <w:snapToGrid w:val="0"/>
              <w:jc w:val="center"/>
              <w:rPr>
                <w:color w:val="000000"/>
                <w:szCs w:val="21"/>
              </w:rPr>
            </w:pPr>
            <w:r>
              <w:rPr>
                <w:rFonts w:hint="eastAsia"/>
                <w:color w:val="000000"/>
                <w:szCs w:val="21"/>
              </w:rPr>
              <w:t>0.423</w:t>
            </w:r>
          </w:p>
        </w:tc>
        <w:tc>
          <w:tcPr>
            <w:tcW w:w="2835" w:type="dxa"/>
            <w:vAlign w:val="center"/>
          </w:tcPr>
          <w:p>
            <w:pPr>
              <w:adjustRightInd w:val="0"/>
              <w:snapToGrid w:val="0"/>
              <w:jc w:val="center"/>
              <w:rPr>
                <w:color w:val="000000"/>
                <w:szCs w:val="21"/>
              </w:rPr>
            </w:pPr>
            <w:r>
              <w:rPr>
                <w:rFonts w:hint="eastAsia"/>
                <w:color w:val="000000"/>
                <w:szCs w:val="21"/>
              </w:rPr>
              <w:t>0.324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18</w:t>
            </w:r>
          </w:p>
        </w:tc>
        <w:tc>
          <w:tcPr>
            <w:tcW w:w="2835" w:type="dxa"/>
            <w:vAlign w:val="center"/>
          </w:tcPr>
          <w:p>
            <w:pPr>
              <w:adjustRightInd w:val="0"/>
              <w:snapToGrid w:val="0"/>
              <w:jc w:val="center"/>
              <w:rPr>
                <w:color w:val="000000"/>
                <w:szCs w:val="21"/>
              </w:rPr>
            </w:pPr>
            <w:r>
              <w:rPr>
                <w:rFonts w:hint="eastAsia"/>
                <w:color w:val="000000"/>
                <w:szCs w:val="21"/>
              </w:rPr>
              <w:t>0.410</w:t>
            </w:r>
          </w:p>
        </w:tc>
        <w:tc>
          <w:tcPr>
            <w:tcW w:w="2835" w:type="dxa"/>
            <w:vAlign w:val="center"/>
          </w:tcPr>
          <w:p>
            <w:pPr>
              <w:adjustRightInd w:val="0"/>
              <w:snapToGrid w:val="0"/>
              <w:jc w:val="center"/>
              <w:rPr>
                <w:color w:val="000000"/>
                <w:szCs w:val="21"/>
              </w:rPr>
            </w:pPr>
            <w:r>
              <w:rPr>
                <w:rFonts w:hint="eastAsia"/>
                <w:color w:val="000000"/>
                <w:szCs w:val="21"/>
              </w:rPr>
              <w:t>0.314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19</w:t>
            </w:r>
          </w:p>
        </w:tc>
        <w:tc>
          <w:tcPr>
            <w:tcW w:w="2835" w:type="dxa"/>
            <w:vAlign w:val="center"/>
          </w:tcPr>
          <w:p>
            <w:pPr>
              <w:adjustRightInd w:val="0"/>
              <w:snapToGrid w:val="0"/>
              <w:jc w:val="center"/>
              <w:rPr>
                <w:color w:val="000000"/>
                <w:szCs w:val="21"/>
              </w:rPr>
            </w:pPr>
            <w:r>
              <w:rPr>
                <w:rFonts w:hint="eastAsia"/>
                <w:color w:val="000000"/>
                <w:szCs w:val="21"/>
              </w:rPr>
              <w:t>0.398</w:t>
            </w:r>
          </w:p>
        </w:tc>
        <w:tc>
          <w:tcPr>
            <w:tcW w:w="2835" w:type="dxa"/>
            <w:vAlign w:val="center"/>
          </w:tcPr>
          <w:p>
            <w:pPr>
              <w:snapToGrid w:val="0"/>
              <w:jc w:val="center"/>
              <w:rPr>
                <w:color w:val="000000"/>
                <w:szCs w:val="21"/>
              </w:rPr>
            </w:pPr>
            <w:r>
              <w:rPr>
                <w:rFonts w:hint="eastAsia"/>
                <w:color w:val="000000"/>
                <w:szCs w:val="21"/>
              </w:rPr>
              <w:t>0.305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20</w:t>
            </w:r>
          </w:p>
        </w:tc>
        <w:tc>
          <w:tcPr>
            <w:tcW w:w="2835" w:type="dxa"/>
            <w:vAlign w:val="center"/>
          </w:tcPr>
          <w:p>
            <w:pPr>
              <w:adjustRightInd w:val="0"/>
              <w:snapToGrid w:val="0"/>
              <w:jc w:val="center"/>
              <w:rPr>
                <w:color w:val="000000"/>
                <w:szCs w:val="21"/>
              </w:rPr>
            </w:pPr>
            <w:r>
              <w:rPr>
                <w:rFonts w:hint="eastAsia"/>
                <w:color w:val="000000"/>
                <w:szCs w:val="21"/>
              </w:rPr>
              <w:t>0.387</w:t>
            </w:r>
          </w:p>
        </w:tc>
        <w:tc>
          <w:tcPr>
            <w:tcW w:w="2835" w:type="dxa"/>
            <w:vAlign w:val="center"/>
          </w:tcPr>
          <w:p>
            <w:pPr>
              <w:adjustRightInd w:val="0"/>
              <w:snapToGrid w:val="0"/>
              <w:jc w:val="center"/>
              <w:rPr>
                <w:color w:val="000000"/>
                <w:szCs w:val="21"/>
              </w:rPr>
            </w:pPr>
            <w:r>
              <w:rPr>
                <w:rFonts w:hint="eastAsia"/>
                <w:color w:val="000000"/>
                <w:szCs w:val="21"/>
              </w:rPr>
              <w:t>0.297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21</w:t>
            </w:r>
          </w:p>
        </w:tc>
        <w:tc>
          <w:tcPr>
            <w:tcW w:w="2835" w:type="dxa"/>
            <w:vAlign w:val="center"/>
          </w:tcPr>
          <w:p>
            <w:pPr>
              <w:adjustRightInd w:val="0"/>
              <w:snapToGrid w:val="0"/>
              <w:jc w:val="center"/>
              <w:rPr>
                <w:color w:val="000000"/>
                <w:szCs w:val="21"/>
              </w:rPr>
            </w:pPr>
            <w:r>
              <w:rPr>
                <w:rFonts w:hint="eastAsia"/>
                <w:color w:val="000000"/>
                <w:szCs w:val="21"/>
              </w:rPr>
              <w:t>0.376</w:t>
            </w:r>
          </w:p>
        </w:tc>
        <w:tc>
          <w:tcPr>
            <w:tcW w:w="2835" w:type="dxa"/>
            <w:vAlign w:val="center"/>
          </w:tcPr>
          <w:p>
            <w:pPr>
              <w:adjustRightInd w:val="0"/>
              <w:snapToGrid w:val="0"/>
              <w:jc w:val="center"/>
              <w:rPr>
                <w:color w:val="000000"/>
                <w:szCs w:val="21"/>
              </w:rPr>
            </w:pPr>
            <w:r>
              <w:rPr>
                <w:rFonts w:hint="eastAsia"/>
                <w:color w:val="000000"/>
                <w:szCs w:val="21"/>
              </w:rPr>
              <w:t>0.289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22</w:t>
            </w:r>
          </w:p>
        </w:tc>
        <w:tc>
          <w:tcPr>
            <w:tcW w:w="2835" w:type="dxa"/>
            <w:vAlign w:val="center"/>
          </w:tcPr>
          <w:p>
            <w:pPr>
              <w:adjustRightInd w:val="0"/>
              <w:snapToGrid w:val="0"/>
              <w:jc w:val="center"/>
              <w:rPr>
                <w:color w:val="000000"/>
                <w:szCs w:val="21"/>
              </w:rPr>
            </w:pPr>
            <w:r>
              <w:rPr>
                <w:rFonts w:hint="eastAsia"/>
                <w:color w:val="000000"/>
                <w:szCs w:val="21"/>
              </w:rPr>
              <w:t>0.367</w:t>
            </w:r>
          </w:p>
        </w:tc>
        <w:tc>
          <w:tcPr>
            <w:tcW w:w="2835" w:type="dxa"/>
            <w:vAlign w:val="center"/>
          </w:tcPr>
          <w:p>
            <w:pPr>
              <w:adjustRightInd w:val="0"/>
              <w:snapToGrid w:val="0"/>
              <w:jc w:val="center"/>
              <w:rPr>
                <w:color w:val="000000"/>
                <w:szCs w:val="21"/>
              </w:rPr>
            </w:pPr>
            <w:r>
              <w:rPr>
                <w:rFonts w:hint="eastAsia"/>
                <w:color w:val="000000"/>
                <w:szCs w:val="21"/>
              </w:rPr>
              <w:t>0.282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23</w:t>
            </w:r>
          </w:p>
        </w:tc>
        <w:tc>
          <w:tcPr>
            <w:tcW w:w="2835" w:type="dxa"/>
            <w:vAlign w:val="center"/>
          </w:tcPr>
          <w:p>
            <w:pPr>
              <w:adjustRightInd w:val="0"/>
              <w:snapToGrid w:val="0"/>
              <w:jc w:val="center"/>
              <w:rPr>
                <w:color w:val="000000"/>
                <w:szCs w:val="21"/>
              </w:rPr>
            </w:pPr>
            <w:r>
              <w:rPr>
                <w:rFonts w:hint="eastAsia"/>
                <w:color w:val="000000"/>
                <w:szCs w:val="21"/>
              </w:rPr>
              <w:t>0.358</w:t>
            </w:r>
          </w:p>
        </w:tc>
        <w:tc>
          <w:tcPr>
            <w:tcW w:w="2835" w:type="dxa"/>
            <w:vAlign w:val="center"/>
          </w:tcPr>
          <w:p>
            <w:pPr>
              <w:adjustRightInd w:val="0"/>
              <w:snapToGrid w:val="0"/>
              <w:jc w:val="center"/>
              <w:rPr>
                <w:color w:val="000000"/>
                <w:szCs w:val="21"/>
              </w:rPr>
            </w:pPr>
            <w:r>
              <w:rPr>
                <w:rFonts w:hint="eastAsia"/>
                <w:color w:val="000000"/>
                <w:szCs w:val="21"/>
              </w:rPr>
              <w:t>0.276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24</w:t>
            </w:r>
          </w:p>
        </w:tc>
        <w:tc>
          <w:tcPr>
            <w:tcW w:w="2835" w:type="dxa"/>
            <w:vAlign w:val="center"/>
          </w:tcPr>
          <w:p>
            <w:pPr>
              <w:adjustRightInd w:val="0"/>
              <w:snapToGrid w:val="0"/>
              <w:jc w:val="center"/>
              <w:rPr>
                <w:color w:val="000000"/>
                <w:szCs w:val="21"/>
              </w:rPr>
            </w:pPr>
            <w:r>
              <w:rPr>
                <w:rFonts w:hint="eastAsia"/>
                <w:color w:val="000000"/>
                <w:szCs w:val="21"/>
              </w:rPr>
              <w:t>0.350</w:t>
            </w:r>
          </w:p>
        </w:tc>
        <w:tc>
          <w:tcPr>
            <w:tcW w:w="2835" w:type="dxa"/>
            <w:vAlign w:val="center"/>
          </w:tcPr>
          <w:p>
            <w:pPr>
              <w:adjustRightInd w:val="0"/>
              <w:snapToGrid w:val="0"/>
              <w:jc w:val="center"/>
              <w:rPr>
                <w:color w:val="000000"/>
                <w:szCs w:val="21"/>
              </w:rPr>
            </w:pPr>
            <w:r>
              <w:rPr>
                <w:rFonts w:hint="eastAsia"/>
                <w:color w:val="000000"/>
                <w:szCs w:val="21"/>
              </w:rPr>
              <w:t>0.269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25</w:t>
            </w:r>
          </w:p>
        </w:tc>
        <w:tc>
          <w:tcPr>
            <w:tcW w:w="2835" w:type="dxa"/>
            <w:vAlign w:val="center"/>
          </w:tcPr>
          <w:p>
            <w:pPr>
              <w:adjustRightInd w:val="0"/>
              <w:snapToGrid w:val="0"/>
              <w:jc w:val="center"/>
              <w:rPr>
                <w:color w:val="000000"/>
                <w:szCs w:val="21"/>
              </w:rPr>
            </w:pPr>
            <w:r>
              <w:rPr>
                <w:rFonts w:hint="eastAsia"/>
                <w:color w:val="000000"/>
                <w:szCs w:val="21"/>
              </w:rPr>
              <w:t>0.342</w:t>
            </w:r>
          </w:p>
        </w:tc>
        <w:tc>
          <w:tcPr>
            <w:tcW w:w="283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26</w:t>
            </w:r>
          </w:p>
        </w:tc>
        <w:tc>
          <w:tcPr>
            <w:tcW w:w="2835" w:type="dxa"/>
            <w:vAlign w:val="center"/>
          </w:tcPr>
          <w:p>
            <w:pPr>
              <w:adjustRightInd w:val="0"/>
              <w:snapToGrid w:val="0"/>
              <w:jc w:val="center"/>
              <w:rPr>
                <w:color w:val="000000"/>
                <w:szCs w:val="21"/>
              </w:rPr>
            </w:pPr>
            <w:r>
              <w:rPr>
                <w:rFonts w:hint="eastAsia"/>
                <w:color w:val="000000"/>
                <w:szCs w:val="21"/>
              </w:rPr>
              <w:t>0.335</w:t>
            </w:r>
          </w:p>
        </w:tc>
        <w:tc>
          <w:tcPr>
            <w:tcW w:w="283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27</w:t>
            </w:r>
          </w:p>
        </w:tc>
        <w:tc>
          <w:tcPr>
            <w:tcW w:w="2835" w:type="dxa"/>
            <w:vAlign w:val="center"/>
          </w:tcPr>
          <w:p>
            <w:pPr>
              <w:adjustRightInd w:val="0"/>
              <w:snapToGrid w:val="0"/>
              <w:jc w:val="center"/>
              <w:rPr>
                <w:color w:val="000000"/>
                <w:szCs w:val="21"/>
              </w:rPr>
            </w:pPr>
            <w:r>
              <w:rPr>
                <w:rFonts w:hint="eastAsia"/>
                <w:color w:val="000000"/>
                <w:szCs w:val="21"/>
              </w:rPr>
              <w:t>0.328</w:t>
            </w:r>
          </w:p>
        </w:tc>
        <w:tc>
          <w:tcPr>
            <w:tcW w:w="283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28</w:t>
            </w:r>
          </w:p>
        </w:tc>
        <w:tc>
          <w:tcPr>
            <w:tcW w:w="2835" w:type="dxa"/>
            <w:vAlign w:val="center"/>
          </w:tcPr>
          <w:p>
            <w:pPr>
              <w:adjustRightInd w:val="0"/>
              <w:snapToGrid w:val="0"/>
              <w:jc w:val="center"/>
              <w:rPr>
                <w:color w:val="000000"/>
                <w:szCs w:val="21"/>
              </w:rPr>
            </w:pPr>
            <w:r>
              <w:rPr>
                <w:rFonts w:hint="eastAsia"/>
                <w:color w:val="000000"/>
                <w:szCs w:val="21"/>
              </w:rPr>
              <w:t>0.322</w:t>
            </w:r>
          </w:p>
        </w:tc>
        <w:tc>
          <w:tcPr>
            <w:tcW w:w="283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29</w:t>
            </w:r>
          </w:p>
        </w:tc>
        <w:tc>
          <w:tcPr>
            <w:tcW w:w="2835" w:type="dxa"/>
            <w:vAlign w:val="center"/>
          </w:tcPr>
          <w:p>
            <w:pPr>
              <w:adjustRightInd w:val="0"/>
              <w:snapToGrid w:val="0"/>
              <w:jc w:val="center"/>
              <w:rPr>
                <w:color w:val="000000"/>
                <w:szCs w:val="21"/>
              </w:rPr>
            </w:pPr>
            <w:r>
              <w:rPr>
                <w:rFonts w:hint="eastAsia"/>
                <w:color w:val="000000"/>
                <w:szCs w:val="21"/>
              </w:rPr>
              <w:t>0.316</w:t>
            </w:r>
          </w:p>
        </w:tc>
        <w:tc>
          <w:tcPr>
            <w:tcW w:w="283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30</w:t>
            </w:r>
          </w:p>
        </w:tc>
        <w:tc>
          <w:tcPr>
            <w:tcW w:w="2835" w:type="dxa"/>
            <w:vAlign w:val="center"/>
          </w:tcPr>
          <w:p>
            <w:pPr>
              <w:adjustRightInd w:val="0"/>
              <w:snapToGrid w:val="0"/>
              <w:jc w:val="center"/>
              <w:rPr>
                <w:color w:val="000000"/>
                <w:szCs w:val="21"/>
              </w:rPr>
            </w:pPr>
            <w:r>
              <w:rPr>
                <w:rFonts w:hint="eastAsia"/>
                <w:color w:val="000000"/>
                <w:szCs w:val="21"/>
              </w:rPr>
              <w:t>0.310</w:t>
            </w:r>
          </w:p>
        </w:tc>
        <w:tc>
          <w:tcPr>
            <w:tcW w:w="283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31</w:t>
            </w:r>
          </w:p>
        </w:tc>
        <w:tc>
          <w:tcPr>
            <w:tcW w:w="2835" w:type="dxa"/>
            <w:vAlign w:val="center"/>
          </w:tcPr>
          <w:p>
            <w:pPr>
              <w:adjustRightInd w:val="0"/>
              <w:snapToGrid w:val="0"/>
              <w:jc w:val="center"/>
              <w:rPr>
                <w:color w:val="000000"/>
                <w:szCs w:val="21"/>
              </w:rPr>
            </w:pPr>
            <w:r>
              <w:rPr>
                <w:rFonts w:hint="eastAsia"/>
                <w:color w:val="000000"/>
                <w:szCs w:val="21"/>
              </w:rPr>
              <w:t>0.305</w:t>
            </w:r>
          </w:p>
        </w:tc>
        <w:tc>
          <w:tcPr>
            <w:tcW w:w="283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32</w:t>
            </w:r>
          </w:p>
        </w:tc>
        <w:tc>
          <w:tcPr>
            <w:tcW w:w="2835" w:type="dxa"/>
            <w:vAlign w:val="center"/>
          </w:tcPr>
          <w:p>
            <w:pPr>
              <w:adjustRightInd w:val="0"/>
              <w:snapToGrid w:val="0"/>
              <w:jc w:val="center"/>
              <w:rPr>
                <w:color w:val="000000"/>
                <w:szCs w:val="21"/>
              </w:rPr>
            </w:pPr>
            <w:r>
              <w:rPr>
                <w:rFonts w:hint="eastAsia"/>
                <w:color w:val="000000"/>
                <w:szCs w:val="21"/>
              </w:rPr>
              <w:t>0.300</w:t>
            </w:r>
          </w:p>
        </w:tc>
        <w:tc>
          <w:tcPr>
            <w:tcW w:w="283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33</w:t>
            </w:r>
          </w:p>
        </w:tc>
        <w:tc>
          <w:tcPr>
            <w:tcW w:w="2835" w:type="dxa"/>
            <w:vAlign w:val="center"/>
          </w:tcPr>
          <w:p>
            <w:pPr>
              <w:adjustRightInd w:val="0"/>
              <w:snapToGrid w:val="0"/>
              <w:jc w:val="center"/>
              <w:rPr>
                <w:color w:val="000000"/>
                <w:szCs w:val="21"/>
              </w:rPr>
            </w:pPr>
            <w:r>
              <w:rPr>
                <w:rFonts w:hint="eastAsia"/>
                <w:color w:val="000000"/>
                <w:szCs w:val="21"/>
              </w:rPr>
              <w:t>0.295</w:t>
            </w:r>
          </w:p>
        </w:tc>
        <w:tc>
          <w:tcPr>
            <w:tcW w:w="283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34</w:t>
            </w:r>
          </w:p>
        </w:tc>
        <w:tc>
          <w:tcPr>
            <w:tcW w:w="2835" w:type="dxa"/>
            <w:vAlign w:val="center"/>
          </w:tcPr>
          <w:p>
            <w:pPr>
              <w:adjustRightInd w:val="0"/>
              <w:snapToGrid w:val="0"/>
              <w:jc w:val="center"/>
              <w:rPr>
                <w:color w:val="000000"/>
                <w:szCs w:val="21"/>
              </w:rPr>
            </w:pPr>
            <w:r>
              <w:rPr>
                <w:rFonts w:hint="eastAsia"/>
                <w:color w:val="000000"/>
                <w:szCs w:val="21"/>
              </w:rPr>
              <w:t>0.290</w:t>
            </w:r>
          </w:p>
        </w:tc>
        <w:tc>
          <w:tcPr>
            <w:tcW w:w="283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35</w:t>
            </w:r>
          </w:p>
        </w:tc>
        <w:tc>
          <w:tcPr>
            <w:tcW w:w="2835" w:type="dxa"/>
            <w:vAlign w:val="center"/>
          </w:tcPr>
          <w:p>
            <w:pPr>
              <w:adjustRightInd w:val="0"/>
              <w:snapToGrid w:val="0"/>
              <w:jc w:val="center"/>
              <w:rPr>
                <w:color w:val="000000"/>
                <w:szCs w:val="21"/>
              </w:rPr>
            </w:pPr>
            <w:r>
              <w:rPr>
                <w:rFonts w:hint="eastAsia"/>
                <w:color w:val="000000"/>
                <w:szCs w:val="21"/>
              </w:rPr>
              <w:t>0.286</w:t>
            </w:r>
          </w:p>
        </w:tc>
        <w:tc>
          <w:tcPr>
            <w:tcW w:w="283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36</w:t>
            </w:r>
          </w:p>
        </w:tc>
        <w:tc>
          <w:tcPr>
            <w:tcW w:w="2835" w:type="dxa"/>
            <w:vAlign w:val="center"/>
          </w:tcPr>
          <w:p>
            <w:pPr>
              <w:adjustRightInd w:val="0"/>
              <w:snapToGrid w:val="0"/>
              <w:jc w:val="center"/>
              <w:rPr>
                <w:color w:val="000000"/>
                <w:szCs w:val="21"/>
              </w:rPr>
            </w:pPr>
            <w:r>
              <w:rPr>
                <w:rFonts w:hint="eastAsia"/>
                <w:color w:val="000000"/>
                <w:szCs w:val="21"/>
              </w:rPr>
              <w:t>0.282</w:t>
            </w:r>
          </w:p>
        </w:tc>
        <w:tc>
          <w:tcPr>
            <w:tcW w:w="283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37</w:t>
            </w:r>
          </w:p>
        </w:tc>
        <w:tc>
          <w:tcPr>
            <w:tcW w:w="2835" w:type="dxa"/>
            <w:vAlign w:val="center"/>
          </w:tcPr>
          <w:p>
            <w:pPr>
              <w:adjustRightInd w:val="0"/>
              <w:snapToGrid w:val="0"/>
              <w:jc w:val="center"/>
              <w:rPr>
                <w:color w:val="FF0000"/>
                <w:szCs w:val="21"/>
              </w:rPr>
            </w:pPr>
            <w:r>
              <w:rPr>
                <w:rFonts w:hint="eastAsia"/>
                <w:color w:val="FF0000"/>
                <w:szCs w:val="21"/>
              </w:rPr>
              <w:t>0.278</w:t>
            </w:r>
          </w:p>
        </w:tc>
        <w:tc>
          <w:tcPr>
            <w:tcW w:w="283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38</w:t>
            </w:r>
          </w:p>
        </w:tc>
        <w:tc>
          <w:tcPr>
            <w:tcW w:w="2835" w:type="dxa"/>
            <w:vAlign w:val="center"/>
          </w:tcPr>
          <w:p>
            <w:pPr>
              <w:adjustRightInd w:val="0"/>
              <w:snapToGrid w:val="0"/>
              <w:jc w:val="center"/>
              <w:rPr>
                <w:color w:val="000000"/>
                <w:szCs w:val="21"/>
              </w:rPr>
            </w:pPr>
            <w:r>
              <w:rPr>
                <w:rFonts w:hint="eastAsia"/>
                <w:color w:val="000000"/>
                <w:szCs w:val="21"/>
              </w:rPr>
              <w:t>0.274</w:t>
            </w:r>
          </w:p>
        </w:tc>
        <w:tc>
          <w:tcPr>
            <w:tcW w:w="283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39</w:t>
            </w:r>
          </w:p>
        </w:tc>
        <w:tc>
          <w:tcPr>
            <w:tcW w:w="2835" w:type="dxa"/>
            <w:vAlign w:val="center"/>
          </w:tcPr>
          <w:p>
            <w:pPr>
              <w:adjustRightInd w:val="0"/>
              <w:snapToGrid w:val="0"/>
              <w:jc w:val="center"/>
              <w:rPr>
                <w:color w:val="000000"/>
                <w:szCs w:val="21"/>
              </w:rPr>
            </w:pPr>
            <w:r>
              <w:rPr>
                <w:rFonts w:hint="eastAsia"/>
                <w:color w:val="000000"/>
                <w:szCs w:val="21"/>
              </w:rPr>
              <w:t>0.270</w:t>
            </w:r>
          </w:p>
        </w:tc>
        <w:tc>
          <w:tcPr>
            <w:tcW w:w="283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40</w:t>
            </w:r>
          </w:p>
        </w:tc>
        <w:tc>
          <w:tcPr>
            <w:tcW w:w="2835" w:type="dxa"/>
            <w:vAlign w:val="center"/>
          </w:tcPr>
          <w:p>
            <w:pPr>
              <w:adjustRightInd w:val="0"/>
              <w:snapToGrid w:val="0"/>
              <w:jc w:val="center"/>
              <w:rPr>
                <w:color w:val="000000"/>
                <w:szCs w:val="21"/>
              </w:rPr>
            </w:pPr>
            <w:r>
              <w:rPr>
                <w:rFonts w:hint="eastAsia"/>
                <w:color w:val="000000"/>
                <w:szCs w:val="21"/>
              </w:rPr>
              <w:t>0.266</w:t>
            </w:r>
          </w:p>
        </w:tc>
        <w:tc>
          <w:tcPr>
            <w:tcW w:w="283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41</w:t>
            </w:r>
          </w:p>
        </w:tc>
        <w:tc>
          <w:tcPr>
            <w:tcW w:w="2835" w:type="dxa"/>
            <w:vAlign w:val="center"/>
          </w:tcPr>
          <w:p>
            <w:pPr>
              <w:adjustRightInd w:val="0"/>
              <w:snapToGrid w:val="0"/>
              <w:jc w:val="center"/>
              <w:rPr>
                <w:color w:val="000000"/>
                <w:szCs w:val="21"/>
              </w:rPr>
            </w:pPr>
            <w:r>
              <w:rPr>
                <w:rFonts w:hint="eastAsia"/>
                <w:color w:val="000000"/>
                <w:szCs w:val="21"/>
              </w:rPr>
              <w:t>0.263</w:t>
            </w:r>
          </w:p>
        </w:tc>
        <w:tc>
          <w:tcPr>
            <w:tcW w:w="283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42</w:t>
            </w:r>
          </w:p>
        </w:tc>
        <w:tc>
          <w:tcPr>
            <w:tcW w:w="2835" w:type="dxa"/>
            <w:vAlign w:val="center"/>
          </w:tcPr>
          <w:p>
            <w:pPr>
              <w:adjustRightInd w:val="0"/>
              <w:snapToGrid w:val="0"/>
              <w:jc w:val="center"/>
              <w:rPr>
                <w:color w:val="000000"/>
                <w:szCs w:val="21"/>
              </w:rPr>
            </w:pPr>
            <w:r>
              <w:rPr>
                <w:rFonts w:hint="eastAsia"/>
                <w:color w:val="000000"/>
                <w:szCs w:val="21"/>
              </w:rPr>
              <w:t>0.260</w:t>
            </w:r>
          </w:p>
        </w:tc>
        <w:tc>
          <w:tcPr>
            <w:tcW w:w="283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43</w:t>
            </w:r>
          </w:p>
        </w:tc>
        <w:tc>
          <w:tcPr>
            <w:tcW w:w="2835" w:type="dxa"/>
            <w:vAlign w:val="center"/>
          </w:tcPr>
          <w:p>
            <w:pPr>
              <w:adjustRightInd w:val="0"/>
              <w:snapToGrid w:val="0"/>
              <w:jc w:val="center"/>
              <w:rPr>
                <w:color w:val="000000"/>
                <w:szCs w:val="21"/>
              </w:rPr>
            </w:pPr>
            <w:r>
              <w:rPr>
                <w:rFonts w:hint="eastAsia"/>
                <w:color w:val="000000"/>
                <w:szCs w:val="21"/>
              </w:rPr>
              <w:t>0.257</w:t>
            </w:r>
          </w:p>
        </w:tc>
        <w:tc>
          <w:tcPr>
            <w:tcW w:w="283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44</w:t>
            </w:r>
          </w:p>
        </w:tc>
        <w:tc>
          <w:tcPr>
            <w:tcW w:w="2835" w:type="dxa"/>
            <w:vAlign w:val="center"/>
          </w:tcPr>
          <w:p>
            <w:pPr>
              <w:adjustRightInd w:val="0"/>
              <w:snapToGrid w:val="0"/>
              <w:jc w:val="center"/>
              <w:rPr>
                <w:color w:val="000000"/>
                <w:szCs w:val="21"/>
              </w:rPr>
            </w:pPr>
            <w:r>
              <w:rPr>
                <w:rFonts w:hint="eastAsia"/>
                <w:color w:val="000000"/>
                <w:szCs w:val="21"/>
              </w:rPr>
              <w:t>0.253</w:t>
            </w:r>
          </w:p>
        </w:tc>
        <w:tc>
          <w:tcPr>
            <w:tcW w:w="283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45</w:t>
            </w:r>
          </w:p>
        </w:tc>
        <w:tc>
          <w:tcPr>
            <w:tcW w:w="2835" w:type="dxa"/>
            <w:vAlign w:val="center"/>
          </w:tcPr>
          <w:p>
            <w:pPr>
              <w:adjustRightInd w:val="0"/>
              <w:snapToGrid w:val="0"/>
              <w:jc w:val="center"/>
              <w:rPr>
                <w:color w:val="000000"/>
                <w:szCs w:val="21"/>
              </w:rPr>
            </w:pPr>
            <w:r>
              <w:rPr>
                <w:rFonts w:hint="eastAsia"/>
                <w:color w:val="000000"/>
                <w:szCs w:val="21"/>
              </w:rPr>
              <w:t>0.250</w:t>
            </w:r>
          </w:p>
        </w:tc>
        <w:tc>
          <w:tcPr>
            <w:tcW w:w="283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46</w:t>
            </w:r>
          </w:p>
        </w:tc>
        <w:tc>
          <w:tcPr>
            <w:tcW w:w="2835" w:type="dxa"/>
            <w:vAlign w:val="center"/>
          </w:tcPr>
          <w:p>
            <w:pPr>
              <w:adjustRightInd w:val="0"/>
              <w:snapToGrid w:val="0"/>
              <w:jc w:val="center"/>
              <w:rPr>
                <w:color w:val="000000"/>
                <w:szCs w:val="21"/>
              </w:rPr>
            </w:pPr>
            <w:r>
              <w:rPr>
                <w:rFonts w:hint="eastAsia"/>
                <w:color w:val="000000"/>
                <w:szCs w:val="21"/>
              </w:rPr>
              <w:t>0.248</w:t>
            </w:r>
          </w:p>
        </w:tc>
        <w:tc>
          <w:tcPr>
            <w:tcW w:w="283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47</w:t>
            </w:r>
          </w:p>
        </w:tc>
        <w:tc>
          <w:tcPr>
            <w:tcW w:w="2835" w:type="dxa"/>
            <w:vAlign w:val="center"/>
          </w:tcPr>
          <w:p>
            <w:pPr>
              <w:adjustRightInd w:val="0"/>
              <w:snapToGrid w:val="0"/>
              <w:jc w:val="center"/>
              <w:rPr>
                <w:color w:val="000000"/>
                <w:szCs w:val="21"/>
              </w:rPr>
            </w:pPr>
            <w:r>
              <w:rPr>
                <w:rFonts w:hint="eastAsia"/>
                <w:color w:val="000000"/>
                <w:szCs w:val="21"/>
              </w:rPr>
              <w:t>0.245</w:t>
            </w:r>
          </w:p>
        </w:tc>
        <w:tc>
          <w:tcPr>
            <w:tcW w:w="283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48</w:t>
            </w:r>
          </w:p>
        </w:tc>
        <w:tc>
          <w:tcPr>
            <w:tcW w:w="2835" w:type="dxa"/>
            <w:vAlign w:val="center"/>
          </w:tcPr>
          <w:p>
            <w:pPr>
              <w:adjustRightInd w:val="0"/>
              <w:snapToGrid w:val="0"/>
              <w:jc w:val="center"/>
              <w:rPr>
                <w:color w:val="000000"/>
                <w:szCs w:val="21"/>
              </w:rPr>
            </w:pPr>
            <w:r>
              <w:rPr>
                <w:rFonts w:hint="eastAsia"/>
                <w:color w:val="000000"/>
                <w:szCs w:val="21"/>
              </w:rPr>
              <w:t>0.242</w:t>
            </w:r>
          </w:p>
        </w:tc>
        <w:tc>
          <w:tcPr>
            <w:tcW w:w="283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49</w:t>
            </w:r>
          </w:p>
        </w:tc>
        <w:tc>
          <w:tcPr>
            <w:tcW w:w="2835" w:type="dxa"/>
            <w:vAlign w:val="center"/>
          </w:tcPr>
          <w:p>
            <w:pPr>
              <w:adjustRightInd w:val="0"/>
              <w:snapToGrid w:val="0"/>
              <w:jc w:val="center"/>
              <w:rPr>
                <w:color w:val="000000"/>
                <w:szCs w:val="21"/>
              </w:rPr>
            </w:pPr>
            <w:r>
              <w:rPr>
                <w:rFonts w:hint="eastAsia"/>
                <w:color w:val="000000"/>
                <w:szCs w:val="21"/>
              </w:rPr>
              <w:t>0.240</w:t>
            </w:r>
          </w:p>
        </w:tc>
        <w:tc>
          <w:tcPr>
            <w:tcW w:w="283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50</w:t>
            </w:r>
          </w:p>
        </w:tc>
        <w:tc>
          <w:tcPr>
            <w:tcW w:w="2835" w:type="dxa"/>
            <w:vAlign w:val="center"/>
          </w:tcPr>
          <w:p>
            <w:pPr>
              <w:adjustRightInd w:val="0"/>
              <w:snapToGrid w:val="0"/>
              <w:jc w:val="center"/>
              <w:rPr>
                <w:color w:val="000000"/>
                <w:szCs w:val="21"/>
              </w:rPr>
            </w:pPr>
            <w:r>
              <w:rPr>
                <w:rFonts w:hint="eastAsia"/>
                <w:color w:val="000000"/>
                <w:szCs w:val="21"/>
              </w:rPr>
              <w:t>0.237</w:t>
            </w:r>
          </w:p>
        </w:tc>
        <w:tc>
          <w:tcPr>
            <w:tcW w:w="283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60</w:t>
            </w:r>
          </w:p>
        </w:tc>
        <w:tc>
          <w:tcPr>
            <w:tcW w:w="2835" w:type="dxa"/>
            <w:vAlign w:val="center"/>
          </w:tcPr>
          <w:p>
            <w:pPr>
              <w:adjustRightInd w:val="0"/>
              <w:snapToGrid w:val="0"/>
              <w:jc w:val="center"/>
              <w:rPr>
                <w:color w:val="000000"/>
                <w:szCs w:val="21"/>
              </w:rPr>
            </w:pPr>
            <w:r>
              <w:rPr>
                <w:rFonts w:hint="eastAsia"/>
                <w:color w:val="000000"/>
                <w:szCs w:val="21"/>
              </w:rPr>
              <w:t>0.216</w:t>
            </w:r>
          </w:p>
        </w:tc>
        <w:tc>
          <w:tcPr>
            <w:tcW w:w="283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70</w:t>
            </w:r>
          </w:p>
        </w:tc>
        <w:tc>
          <w:tcPr>
            <w:tcW w:w="2835" w:type="dxa"/>
            <w:vAlign w:val="center"/>
          </w:tcPr>
          <w:p>
            <w:pPr>
              <w:adjustRightInd w:val="0"/>
              <w:snapToGrid w:val="0"/>
              <w:jc w:val="center"/>
              <w:rPr>
                <w:color w:val="000000"/>
                <w:szCs w:val="21"/>
              </w:rPr>
            </w:pPr>
            <w:r>
              <w:rPr>
                <w:rFonts w:hint="eastAsia"/>
                <w:color w:val="000000"/>
                <w:szCs w:val="21"/>
              </w:rPr>
              <w:t>0.199</w:t>
            </w:r>
          </w:p>
        </w:tc>
        <w:tc>
          <w:tcPr>
            <w:tcW w:w="283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80</w:t>
            </w:r>
          </w:p>
        </w:tc>
        <w:tc>
          <w:tcPr>
            <w:tcW w:w="2835" w:type="dxa"/>
            <w:vAlign w:val="center"/>
          </w:tcPr>
          <w:p>
            <w:pPr>
              <w:adjustRightInd w:val="0"/>
              <w:snapToGrid w:val="0"/>
              <w:jc w:val="center"/>
              <w:rPr>
                <w:color w:val="000000"/>
                <w:szCs w:val="21"/>
              </w:rPr>
            </w:pPr>
            <w:r>
              <w:rPr>
                <w:rFonts w:hint="eastAsia"/>
                <w:color w:val="000000"/>
                <w:szCs w:val="21"/>
              </w:rPr>
              <w:t>0.186</w:t>
            </w:r>
          </w:p>
        </w:tc>
        <w:tc>
          <w:tcPr>
            <w:tcW w:w="283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90</w:t>
            </w:r>
          </w:p>
        </w:tc>
        <w:tc>
          <w:tcPr>
            <w:tcW w:w="2835" w:type="dxa"/>
            <w:vAlign w:val="center"/>
          </w:tcPr>
          <w:p>
            <w:pPr>
              <w:adjustRightInd w:val="0"/>
              <w:snapToGrid w:val="0"/>
              <w:jc w:val="center"/>
              <w:rPr>
                <w:color w:val="000000"/>
                <w:szCs w:val="21"/>
              </w:rPr>
            </w:pPr>
            <w:r>
              <w:rPr>
                <w:rFonts w:hint="eastAsia"/>
                <w:color w:val="000000"/>
                <w:szCs w:val="21"/>
              </w:rPr>
              <w:t>0.175</w:t>
            </w:r>
          </w:p>
        </w:tc>
        <w:tc>
          <w:tcPr>
            <w:tcW w:w="283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100</w:t>
            </w:r>
          </w:p>
        </w:tc>
        <w:tc>
          <w:tcPr>
            <w:tcW w:w="2835" w:type="dxa"/>
            <w:vAlign w:val="center"/>
          </w:tcPr>
          <w:p>
            <w:pPr>
              <w:adjustRightInd w:val="0"/>
              <w:snapToGrid w:val="0"/>
              <w:jc w:val="center"/>
              <w:rPr>
                <w:color w:val="000000"/>
                <w:szCs w:val="21"/>
              </w:rPr>
            </w:pPr>
            <w:r>
              <w:rPr>
                <w:rFonts w:hint="eastAsia"/>
                <w:color w:val="000000"/>
                <w:szCs w:val="21"/>
              </w:rPr>
              <w:t>0.166</w:t>
            </w:r>
          </w:p>
        </w:tc>
        <w:tc>
          <w:tcPr>
            <w:tcW w:w="283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110</w:t>
            </w:r>
          </w:p>
        </w:tc>
        <w:tc>
          <w:tcPr>
            <w:tcW w:w="2835" w:type="dxa"/>
            <w:vAlign w:val="center"/>
          </w:tcPr>
          <w:p>
            <w:pPr>
              <w:adjustRightInd w:val="0"/>
              <w:snapToGrid w:val="0"/>
              <w:jc w:val="center"/>
              <w:rPr>
                <w:color w:val="000000"/>
                <w:szCs w:val="21"/>
              </w:rPr>
            </w:pPr>
            <w:r>
              <w:rPr>
                <w:rFonts w:hint="eastAsia"/>
                <w:color w:val="000000"/>
                <w:szCs w:val="21"/>
              </w:rPr>
              <w:t>0.158</w:t>
            </w:r>
          </w:p>
        </w:tc>
        <w:tc>
          <w:tcPr>
            <w:tcW w:w="283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268" w:type="dxa"/>
            <w:vAlign w:val="center"/>
          </w:tcPr>
          <w:p>
            <w:pPr>
              <w:adjustRightInd w:val="0"/>
              <w:snapToGrid w:val="0"/>
              <w:jc w:val="center"/>
              <w:rPr>
                <w:color w:val="000000"/>
                <w:szCs w:val="21"/>
              </w:rPr>
            </w:pPr>
            <w:r>
              <w:rPr>
                <w:color w:val="000000"/>
                <w:szCs w:val="21"/>
              </w:rPr>
              <w:t>120</w:t>
            </w:r>
          </w:p>
        </w:tc>
        <w:tc>
          <w:tcPr>
            <w:tcW w:w="2835" w:type="dxa"/>
            <w:vAlign w:val="center"/>
          </w:tcPr>
          <w:p>
            <w:pPr>
              <w:adjustRightInd w:val="0"/>
              <w:snapToGrid w:val="0"/>
              <w:jc w:val="center"/>
              <w:rPr>
                <w:color w:val="000000"/>
                <w:szCs w:val="21"/>
              </w:rPr>
            </w:pPr>
            <w:r>
              <w:rPr>
                <w:rFonts w:hint="eastAsia"/>
                <w:color w:val="000000"/>
                <w:szCs w:val="21"/>
              </w:rPr>
              <w:t>0.151</w:t>
            </w:r>
          </w:p>
        </w:tc>
        <w:tc>
          <w:tcPr>
            <w:tcW w:w="283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0.118</w:t>
            </w:r>
          </w:p>
        </w:tc>
      </w:tr>
    </w:tbl>
    <w:p>
      <w:pPr>
        <w:widowControl/>
        <w:jc w:val="left"/>
        <w:rPr>
          <w:b/>
          <w:kern w:val="44"/>
          <w:sz w:val="28"/>
          <w:szCs w:val="28"/>
        </w:rPr>
      </w:pPr>
      <w:r>
        <w:rPr>
          <w:b/>
          <w:kern w:val="44"/>
          <w:sz w:val="28"/>
          <w:szCs w:val="28"/>
        </w:rPr>
        <w:br w:type="page"/>
      </w:r>
    </w:p>
    <w:p>
      <w:pPr>
        <w:keepNext/>
        <w:keepLines/>
        <w:spacing w:before="240" w:beforeLines="100" w:after="120" w:afterLines="50" w:line="400" w:lineRule="exact"/>
        <w:jc w:val="center"/>
        <w:outlineLvl w:val="0"/>
        <w:rPr>
          <w:b/>
          <w:kern w:val="44"/>
          <w:sz w:val="28"/>
          <w:szCs w:val="28"/>
        </w:rPr>
      </w:pPr>
      <w:bookmarkStart w:id="128" w:name="_Toc120020300"/>
      <w:r>
        <w:rPr>
          <w:b/>
          <w:color w:val="000000" w:themeColor="text1"/>
          <w:kern w:val="44"/>
          <w:sz w:val="28"/>
          <w:szCs w:val="28"/>
          <w14:textFill>
            <w14:solidFill>
              <w14:schemeClr w14:val="tx1"/>
            </w14:solidFill>
          </w14:textFill>
        </w:rPr>
        <w:t xml:space="preserve">附录C  </w:t>
      </w:r>
      <w:r>
        <w:rPr>
          <w:b/>
          <w:kern w:val="44"/>
          <w:sz w:val="28"/>
          <w:szCs w:val="28"/>
        </w:rPr>
        <w:t>阵列超声法检测混凝土内部缺陷</w:t>
      </w:r>
      <w:bookmarkEnd w:id="128"/>
      <w:r>
        <w:rPr>
          <w:b/>
          <w:kern w:val="44"/>
          <w:sz w:val="30"/>
          <w:szCs w:val="30"/>
        </w:rPr>
        <w:fldChar w:fldCharType="begin"/>
      </w:r>
      <w:r>
        <w:rPr>
          <w:b/>
          <w:kern w:val="44"/>
          <w:sz w:val="30"/>
          <w:szCs w:val="30"/>
        </w:rPr>
        <w:instrText xml:space="preserve"> TC  "</w:instrText>
      </w:r>
      <w:bookmarkStart w:id="129" w:name="_Toc108470247"/>
      <w:bookmarkStart w:id="130" w:name="_Toc135038283"/>
      <w:r>
        <w:rPr>
          <w:b/>
          <w:kern w:val="44"/>
          <w:sz w:val="30"/>
          <w:szCs w:val="30"/>
        </w:rPr>
        <w:instrText xml:space="preserve">Appendix C  Array ultrasonic method for inspection of </w:instrText>
      </w:r>
      <w:bookmarkEnd w:id="129"/>
      <w:r>
        <w:rPr>
          <w:b/>
          <w:kern w:val="44"/>
          <w:sz w:val="30"/>
          <w:szCs w:val="30"/>
        </w:rPr>
        <w:instrText xml:space="preserve">defects in concrete</w:instrText>
      </w:r>
      <w:bookmarkEnd w:id="130"/>
      <w:r>
        <w:rPr>
          <w:b/>
          <w:kern w:val="44"/>
          <w:sz w:val="30"/>
          <w:szCs w:val="30"/>
        </w:rPr>
        <w:instrText xml:space="preserve"> " \l 1 </w:instrText>
      </w:r>
      <w:r>
        <w:rPr>
          <w:b/>
          <w:kern w:val="44"/>
          <w:sz w:val="30"/>
          <w:szCs w:val="30"/>
        </w:rPr>
        <w:fldChar w:fldCharType="end"/>
      </w:r>
    </w:p>
    <w:p>
      <w:pPr>
        <w:spacing w:line="360" w:lineRule="auto"/>
        <w:rPr>
          <w:sz w:val="24"/>
          <w:szCs w:val="24"/>
        </w:rPr>
      </w:pPr>
      <w:r>
        <w:rPr>
          <w:b/>
          <w:sz w:val="24"/>
          <w:szCs w:val="24"/>
        </w:rPr>
        <w:t xml:space="preserve">C.0.1  </w:t>
      </w:r>
      <w:r>
        <w:rPr>
          <w:sz w:val="24"/>
          <w:szCs w:val="24"/>
        </w:rPr>
        <w:t>阵列超声法检测的缺陷可包括下列类型：</w:t>
      </w:r>
    </w:p>
    <w:p>
      <w:pPr>
        <w:spacing w:line="360" w:lineRule="auto"/>
        <w:ind w:firstLine="481" w:firstLineChars="200"/>
        <w:rPr>
          <w:color w:val="FF0000"/>
          <w:sz w:val="24"/>
          <w:szCs w:val="24"/>
        </w:rPr>
      </w:pPr>
      <w:r>
        <w:rPr>
          <w:b/>
          <w:bCs/>
          <w:sz w:val="24"/>
          <w:szCs w:val="24"/>
        </w:rPr>
        <w:t xml:space="preserve">1  </w:t>
      </w:r>
      <w:r>
        <w:rPr>
          <w:sz w:val="24"/>
          <w:szCs w:val="24"/>
        </w:rPr>
        <w:t>现浇混凝土内部的孔洞、空洞、不密实、</w:t>
      </w:r>
      <w:r>
        <w:rPr>
          <w:rFonts w:hint="eastAsia"/>
          <w:sz w:val="24"/>
          <w:szCs w:val="24"/>
        </w:rPr>
        <w:t>夹渣</w:t>
      </w:r>
      <w:r>
        <w:rPr>
          <w:sz w:val="24"/>
          <w:szCs w:val="24"/>
        </w:rPr>
        <w:t>、裂缝等缺陷；</w:t>
      </w:r>
    </w:p>
    <w:p>
      <w:pPr>
        <w:spacing w:line="360" w:lineRule="auto"/>
        <w:ind w:firstLine="481" w:firstLineChars="200"/>
        <w:rPr>
          <w:b/>
          <w:bCs/>
          <w:sz w:val="24"/>
          <w:szCs w:val="24"/>
        </w:rPr>
      </w:pPr>
      <w:r>
        <w:rPr>
          <w:b/>
          <w:bCs/>
          <w:sz w:val="24"/>
          <w:szCs w:val="24"/>
        </w:rPr>
        <w:t xml:space="preserve">2  </w:t>
      </w:r>
      <w:r>
        <w:rPr>
          <w:sz w:val="24"/>
          <w:szCs w:val="24"/>
        </w:rPr>
        <w:t>混凝土内部结合面的剥离、脱粘、缝隙；</w:t>
      </w:r>
    </w:p>
    <w:p>
      <w:pPr>
        <w:spacing w:line="360" w:lineRule="auto"/>
        <w:ind w:firstLine="481" w:firstLineChars="200"/>
        <w:rPr>
          <w:sz w:val="24"/>
          <w:szCs w:val="24"/>
        </w:rPr>
      </w:pPr>
      <w:r>
        <w:rPr>
          <w:b/>
          <w:bCs/>
          <w:color w:val="000000" w:themeColor="text1"/>
          <w:sz w:val="24"/>
          <w:szCs w:val="24"/>
          <w14:textFill>
            <w14:solidFill>
              <w14:schemeClr w14:val="tx1"/>
            </w14:solidFill>
          </w14:textFill>
        </w:rPr>
        <w:t xml:space="preserve">3  </w:t>
      </w:r>
      <w:r>
        <w:rPr>
          <w:sz w:val="24"/>
          <w:szCs w:val="24"/>
        </w:rPr>
        <w:t>采用</w:t>
      </w:r>
      <w:r>
        <w:rPr>
          <w:rFonts w:hint="eastAsia"/>
          <w:sz w:val="24"/>
          <w:szCs w:val="24"/>
        </w:rPr>
        <w:t>超声单面</w:t>
      </w:r>
      <w:r>
        <w:rPr>
          <w:sz w:val="24"/>
          <w:szCs w:val="24"/>
        </w:rPr>
        <w:t>平测法可以发现的其他内部缺陷。</w:t>
      </w:r>
    </w:p>
    <w:p>
      <w:pPr>
        <w:spacing w:line="360" w:lineRule="auto"/>
        <w:rPr>
          <w:sz w:val="24"/>
          <w:szCs w:val="24"/>
        </w:rPr>
      </w:pPr>
      <w:r>
        <w:rPr>
          <w:b/>
          <w:sz w:val="24"/>
          <w:szCs w:val="24"/>
        </w:rPr>
        <w:t xml:space="preserve">C.0.2  </w:t>
      </w:r>
      <w:r>
        <w:rPr>
          <w:sz w:val="24"/>
          <w:szCs w:val="24"/>
        </w:rPr>
        <w:t>阵列式多探头超声设备应符合下列规定：</w:t>
      </w:r>
    </w:p>
    <w:p>
      <w:pPr>
        <w:spacing w:line="360" w:lineRule="auto"/>
        <w:ind w:firstLine="481" w:firstLineChars="200"/>
        <w:rPr>
          <w:sz w:val="24"/>
          <w:szCs w:val="24"/>
        </w:rPr>
      </w:pPr>
      <w:r>
        <w:rPr>
          <w:b/>
          <w:bCs/>
          <w:sz w:val="24"/>
          <w:szCs w:val="24"/>
        </w:rPr>
        <w:t xml:space="preserve">1  </w:t>
      </w:r>
      <w:r>
        <w:rPr>
          <w:sz w:val="24"/>
          <w:szCs w:val="24"/>
        </w:rPr>
        <w:t>设备可由主机、阵列式排布的超声探头和分析软件等组成；</w:t>
      </w:r>
    </w:p>
    <w:p>
      <w:pPr>
        <w:spacing w:line="360" w:lineRule="auto"/>
        <w:ind w:firstLine="481" w:firstLineChars="200"/>
        <w:rPr>
          <w:sz w:val="24"/>
          <w:szCs w:val="24"/>
        </w:rPr>
      </w:pPr>
      <w:r>
        <w:rPr>
          <w:b/>
          <w:bCs/>
          <w:sz w:val="24"/>
          <w:szCs w:val="24"/>
        </w:rPr>
        <w:t xml:space="preserve">2  </w:t>
      </w:r>
      <w:r>
        <w:rPr>
          <w:sz w:val="24"/>
          <w:szCs w:val="24"/>
        </w:rPr>
        <w:t>仪器应具备扫描成像、波形及图像实时查看、原始数据保存和导出等功能；</w:t>
      </w:r>
    </w:p>
    <w:p>
      <w:pPr>
        <w:spacing w:line="360" w:lineRule="auto"/>
        <w:ind w:firstLine="481" w:firstLineChars="200"/>
        <w:rPr>
          <w:sz w:val="24"/>
          <w:szCs w:val="24"/>
        </w:rPr>
      </w:pPr>
      <w:r>
        <w:rPr>
          <w:b/>
          <w:bCs/>
          <w:sz w:val="24"/>
          <w:szCs w:val="24"/>
        </w:rPr>
        <w:t xml:space="preserve">3  </w:t>
      </w:r>
      <w:r>
        <w:rPr>
          <w:sz w:val="24"/>
          <w:szCs w:val="24"/>
        </w:rPr>
        <w:t>探头宜采用干耦合式换能器，探头数量不宜少于24个；</w:t>
      </w:r>
    </w:p>
    <w:p>
      <w:pPr>
        <w:spacing w:line="360" w:lineRule="auto"/>
        <w:ind w:firstLine="481" w:firstLineChars="200"/>
        <w:rPr>
          <w:sz w:val="24"/>
          <w:szCs w:val="24"/>
        </w:rPr>
      </w:pPr>
      <w:r>
        <w:rPr>
          <w:b/>
          <w:sz w:val="24"/>
          <w:szCs w:val="24"/>
        </w:rPr>
        <w:t xml:space="preserve">4  </w:t>
      </w:r>
      <w:r>
        <w:rPr>
          <w:sz w:val="24"/>
          <w:szCs w:val="24"/>
        </w:rPr>
        <w:t>探头主频范围宜在10kHz~100kHz之间，且换能器的实测主频与标称频率之差不应大于10%；</w:t>
      </w:r>
    </w:p>
    <w:p>
      <w:pPr>
        <w:spacing w:line="360" w:lineRule="auto"/>
        <w:ind w:firstLine="481" w:firstLineChars="200"/>
        <w:rPr>
          <w:sz w:val="24"/>
          <w:szCs w:val="24"/>
        </w:rPr>
      </w:pPr>
      <w:r>
        <w:rPr>
          <w:b/>
          <w:sz w:val="24"/>
          <w:szCs w:val="24"/>
        </w:rPr>
        <w:t xml:space="preserve">5  </w:t>
      </w:r>
      <w:r>
        <w:rPr>
          <w:sz w:val="24"/>
          <w:szCs w:val="24"/>
        </w:rPr>
        <w:t>接收放大器频率响应范围应在10kHz~500kHz之间，增益不宜小于40dB；</w:t>
      </w:r>
    </w:p>
    <w:p>
      <w:pPr>
        <w:spacing w:line="360" w:lineRule="auto"/>
        <w:rPr>
          <w:b/>
          <w:sz w:val="24"/>
          <w:szCs w:val="24"/>
        </w:rPr>
      </w:pPr>
      <w:r>
        <w:rPr>
          <w:b/>
          <w:sz w:val="24"/>
          <w:szCs w:val="24"/>
        </w:rPr>
        <w:t xml:space="preserve">C.0.3  </w:t>
      </w:r>
      <w:r>
        <w:rPr>
          <w:bCs/>
          <w:sz w:val="24"/>
          <w:szCs w:val="24"/>
        </w:rPr>
        <w:t>测区、测线及测点布置应符合下列规定</w:t>
      </w:r>
      <w:r>
        <w:rPr>
          <w:b/>
          <w:sz w:val="24"/>
          <w:szCs w:val="24"/>
        </w:rPr>
        <w:t>：</w:t>
      </w:r>
    </w:p>
    <w:p>
      <w:pPr>
        <w:spacing w:line="360" w:lineRule="auto"/>
        <w:ind w:firstLine="481" w:firstLineChars="200"/>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1  </w:t>
      </w:r>
      <w:r>
        <w:rPr>
          <w:color w:val="000000" w:themeColor="text1"/>
          <w:sz w:val="24"/>
          <w:szCs w:val="24"/>
          <w14:textFill>
            <w14:solidFill>
              <w14:schemeClr w14:val="tx1"/>
            </w14:solidFill>
          </w14:textFill>
        </w:rPr>
        <w:t>待测混凝土表面不应有抹灰、饰面等装饰层，并应避开存在蜂窝、麻面、裂缝等外观缺陷的区域，当表面不平整时可进行磨平处理；</w:t>
      </w:r>
    </w:p>
    <w:p>
      <w:pPr>
        <w:spacing w:line="360" w:lineRule="auto"/>
        <w:ind w:firstLine="481" w:firstLineChars="200"/>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2  </w:t>
      </w:r>
      <w:r>
        <w:rPr>
          <w:color w:val="000000" w:themeColor="text1"/>
          <w:sz w:val="24"/>
          <w:szCs w:val="24"/>
          <w14:textFill>
            <w14:solidFill>
              <w14:schemeClr w14:val="tx1"/>
            </w14:solidFill>
          </w14:textFill>
        </w:rPr>
        <w:t>测区的布置和大小应覆盖怀疑存在缺陷的全部范围，测区与被测构件边缘的距离、测试深度应满足仪器设备的使用要求；</w:t>
      </w:r>
    </w:p>
    <w:p>
      <w:pPr>
        <w:spacing w:line="360" w:lineRule="auto"/>
        <w:ind w:firstLine="481" w:firstLineChars="200"/>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3</w:t>
      </w:r>
      <w:r>
        <w:rPr>
          <w:color w:val="000000" w:themeColor="text1"/>
          <w:sz w:val="24"/>
          <w:szCs w:val="24"/>
          <w14:textFill>
            <w14:solidFill>
              <w14:schemeClr w14:val="tx1"/>
            </w14:solidFill>
          </w14:textFill>
        </w:rPr>
        <w:t xml:space="preserve">  测线宜沿测区的长度方向布置，测点宜在测线上均匀连续布置，测线间距不宜大于探头区宽度与探头行距之差，测点间距不宜大于探头区长度与探头列距之差（图C.0.3）；</w:t>
      </w:r>
    </w:p>
    <w:p>
      <w:pPr>
        <w:spacing w:line="360" w:lineRule="auto"/>
        <w:ind w:firstLine="481" w:firstLineChars="200"/>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4  </w:t>
      </w:r>
      <w:r>
        <w:rPr>
          <w:color w:val="000000" w:themeColor="text1"/>
          <w:sz w:val="24"/>
          <w:szCs w:val="24"/>
          <w14:textFill>
            <w14:solidFill>
              <w14:schemeClr w14:val="tx1"/>
            </w14:solidFill>
          </w14:textFill>
        </w:rPr>
        <w:t>应对测区、测线和测点进行编号，并应记录所在位置。</w:t>
      </w:r>
    </w:p>
    <w:p>
      <w:pPr>
        <w:spacing w:line="360" w:lineRule="auto"/>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drawing>
          <wp:inline distT="0" distB="0" distL="0" distR="0">
            <wp:extent cx="3956685" cy="1799590"/>
            <wp:effectExtent l="19050" t="0" r="5257" b="0"/>
            <wp:docPr id="261" name="图片 261" descr="C:\Users\l\Desktop\7-正式报批稿修改0703\标准附图0709\阵列超声仪.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1" name="图片 261" descr="C:\Users\l\Desktop\7-正式报批稿修改0703\标准附图0709\阵列超声仪.png"/>
                    <pic:cNvPicPr>
                      <a:picLocks noChangeAspect="true" noChangeArrowheads="true"/>
                    </pic:cNvPicPr>
                  </pic:nvPicPr>
                  <pic:blipFill>
                    <a:blip r:embed="rId141" cstate="print"/>
                    <a:srcRect/>
                    <a:stretch>
                      <a:fillRect/>
                    </a:stretch>
                  </pic:blipFill>
                  <pic:spPr>
                    <a:xfrm>
                      <a:off x="0" y="0"/>
                      <a:ext cx="3957143" cy="1800000"/>
                    </a:xfrm>
                    <a:prstGeom prst="rect">
                      <a:avLst/>
                    </a:prstGeom>
                    <a:noFill/>
                    <a:ln w="9525">
                      <a:noFill/>
                      <a:miter lim="800000"/>
                      <a:headEnd/>
                      <a:tailEnd/>
                    </a:ln>
                  </pic:spPr>
                </pic:pic>
              </a:graphicData>
            </a:graphic>
          </wp:inline>
        </w:drawing>
      </w:r>
    </w:p>
    <w:p>
      <w:pPr>
        <w:spacing w:before="120" w:beforeLines="50" w:after="120" w:afterLines="50"/>
        <w:jc w:val="center"/>
        <w:rPr>
          <w:szCs w:val="21"/>
        </w:rPr>
      </w:pPr>
      <w:r>
        <w:rPr>
          <w:szCs w:val="21"/>
        </w:rPr>
        <w:t>L—探头区长度；l</w:t>
      </w:r>
      <w:r>
        <w:rPr>
          <w:szCs w:val="21"/>
          <w:vertAlign w:val="subscript"/>
        </w:rPr>
        <w:t>i</w:t>
      </w:r>
      <w:r>
        <w:rPr>
          <w:szCs w:val="21"/>
        </w:rPr>
        <w:t>—探头列距；W—探头区宽度；w</w:t>
      </w:r>
      <w:r>
        <w:rPr>
          <w:szCs w:val="21"/>
          <w:vertAlign w:val="subscript"/>
        </w:rPr>
        <w:t>i</w:t>
      </w:r>
      <w:r>
        <w:rPr>
          <w:szCs w:val="21"/>
        </w:rPr>
        <w:t>—探头行距</w:t>
      </w:r>
    </w:p>
    <w:p>
      <w:pPr>
        <w:spacing w:line="36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图C.0.3  阵列超声检测仪探头布置示意图</w:t>
      </w:r>
    </w:p>
    <w:p>
      <w:pPr>
        <w:spacing w:line="360" w:lineRule="auto"/>
        <w:rPr>
          <w:sz w:val="24"/>
          <w:szCs w:val="24"/>
        </w:rPr>
      </w:pPr>
      <w:r>
        <w:rPr>
          <w:b/>
          <w:sz w:val="24"/>
          <w:szCs w:val="24"/>
        </w:rPr>
        <w:t xml:space="preserve">C.0.4  </w:t>
      </w:r>
      <w:r>
        <w:rPr>
          <w:sz w:val="24"/>
          <w:szCs w:val="24"/>
        </w:rPr>
        <w:t>采用阵列超声法检测混凝土内部缺陷时，应符合下列规定：</w:t>
      </w:r>
    </w:p>
    <w:p>
      <w:pPr>
        <w:spacing w:line="360" w:lineRule="auto"/>
        <w:ind w:firstLine="481" w:firstLineChars="200"/>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1  </w:t>
      </w:r>
      <w:r>
        <w:rPr>
          <w:color w:val="000000" w:themeColor="text1"/>
          <w:sz w:val="24"/>
          <w:szCs w:val="24"/>
          <w14:textFill>
            <w14:solidFill>
              <w14:schemeClr w14:val="tx1"/>
            </w14:solidFill>
          </w14:textFill>
        </w:rPr>
        <w:t>当检测因混凝土收缩形成的内部缺陷时，混凝土龄期不宜小于28d；其他情况下，混凝土龄期不宜小于7d；</w:t>
      </w:r>
    </w:p>
    <w:p>
      <w:pPr>
        <w:spacing w:line="360" w:lineRule="auto"/>
        <w:ind w:firstLine="481" w:firstLineChars="200"/>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2  </w:t>
      </w:r>
      <w:r>
        <w:rPr>
          <w:color w:val="000000" w:themeColor="text1"/>
          <w:sz w:val="24"/>
          <w:szCs w:val="24"/>
          <w14:textFill>
            <w14:solidFill>
              <w14:schemeClr w14:val="tx1"/>
            </w14:solidFill>
          </w14:textFill>
        </w:rPr>
        <w:t>不应在机械振动和高振幅电噪声干扰环境下使用；</w:t>
      </w:r>
    </w:p>
    <w:p>
      <w:pPr>
        <w:spacing w:line="360" w:lineRule="auto"/>
        <w:ind w:firstLine="481" w:firstLineChars="200"/>
        <w:rPr>
          <w:sz w:val="24"/>
          <w:szCs w:val="24"/>
        </w:rPr>
      </w:pPr>
      <w:r>
        <w:rPr>
          <w:b/>
          <w:color w:val="000000" w:themeColor="text1"/>
          <w:sz w:val="24"/>
          <w:szCs w:val="24"/>
          <w14:textFill>
            <w14:solidFill>
              <w14:schemeClr w14:val="tx1"/>
            </w14:solidFill>
          </w14:textFill>
        </w:rPr>
        <w:t xml:space="preserve">3  </w:t>
      </w:r>
      <w:r>
        <w:rPr>
          <w:sz w:val="24"/>
          <w:szCs w:val="24"/>
        </w:rPr>
        <w:t>检测前应</w:t>
      </w:r>
      <w:r>
        <w:rPr>
          <w:bCs/>
          <w:sz w:val="24"/>
          <w:szCs w:val="24"/>
        </w:rPr>
        <w:t>对所测试的混</w:t>
      </w:r>
      <w:r>
        <w:rPr>
          <w:bCs/>
          <w:color w:val="000000" w:themeColor="text1"/>
          <w:sz w:val="24"/>
          <w:szCs w:val="24"/>
          <w14:textFill>
            <w14:solidFill>
              <w14:schemeClr w14:val="tx1"/>
            </w14:solidFill>
          </w14:textFill>
        </w:rPr>
        <w:t>凝土进行波速标定，</w:t>
      </w:r>
      <w:r>
        <w:rPr>
          <w:color w:val="000000" w:themeColor="text1"/>
          <w:sz w:val="24"/>
          <w:szCs w:val="24"/>
          <w14:textFill>
            <w14:solidFill>
              <w14:schemeClr w14:val="tx1"/>
            </w14:solidFill>
          </w14:textFill>
        </w:rPr>
        <w:t>调试仪器的工作频率、增益等参数</w:t>
      </w:r>
      <w:r>
        <w:rPr>
          <w:bCs/>
          <w:color w:val="000000" w:themeColor="text1"/>
          <w:sz w:val="24"/>
          <w:szCs w:val="24"/>
          <w14:textFill>
            <w14:solidFill>
              <w14:schemeClr w14:val="tx1"/>
            </w14:solidFill>
          </w14:textFill>
        </w:rPr>
        <w:t>；</w:t>
      </w:r>
    </w:p>
    <w:p>
      <w:pPr>
        <w:spacing w:line="360" w:lineRule="auto"/>
        <w:ind w:firstLine="481" w:firstLineChars="200"/>
        <w:rPr>
          <w:sz w:val="24"/>
          <w:szCs w:val="24"/>
        </w:rPr>
      </w:pPr>
      <w:r>
        <w:rPr>
          <w:b/>
          <w:sz w:val="24"/>
          <w:szCs w:val="24"/>
        </w:rPr>
        <w:t>4</w:t>
      </w:r>
      <w:r>
        <w:rPr>
          <w:sz w:val="24"/>
          <w:szCs w:val="24"/>
        </w:rPr>
        <w:t xml:space="preserve">  应沿测线的单一方向对各测点进行依次测试；</w:t>
      </w:r>
    </w:p>
    <w:p>
      <w:pPr>
        <w:spacing w:line="360" w:lineRule="auto"/>
        <w:ind w:firstLine="481" w:firstLineChars="200"/>
        <w:rPr>
          <w:sz w:val="24"/>
          <w:szCs w:val="24"/>
        </w:rPr>
      </w:pPr>
      <w:r>
        <w:rPr>
          <w:b/>
          <w:sz w:val="24"/>
          <w:szCs w:val="24"/>
        </w:rPr>
        <w:t>5</w:t>
      </w:r>
      <w:r>
        <w:rPr>
          <w:sz w:val="24"/>
          <w:szCs w:val="24"/>
        </w:rPr>
        <w:t xml:space="preserve">  </w:t>
      </w:r>
      <w:r>
        <w:rPr>
          <w:sz w:val="24"/>
        </w:rPr>
        <w:t>检测时，应将仪器探头区中心对准测点，各探头应紧贴混凝土表面，启动仪器进行扫描，应</w:t>
      </w:r>
      <w:r>
        <w:rPr>
          <w:sz w:val="24"/>
          <w:szCs w:val="24"/>
        </w:rPr>
        <w:t>记录测点位置并保存超声测试数据；</w:t>
      </w:r>
    </w:p>
    <w:p>
      <w:pPr>
        <w:spacing w:line="360" w:lineRule="auto"/>
        <w:ind w:firstLine="481" w:firstLineChars="200"/>
        <w:rPr>
          <w:sz w:val="24"/>
          <w:szCs w:val="24"/>
        </w:rPr>
      </w:pPr>
      <w:r>
        <w:rPr>
          <w:b/>
          <w:sz w:val="24"/>
          <w:szCs w:val="24"/>
        </w:rPr>
        <w:t xml:space="preserve">6  </w:t>
      </w:r>
      <w:r>
        <w:rPr>
          <w:sz w:val="24"/>
          <w:szCs w:val="24"/>
        </w:rPr>
        <w:t>当对检测结果有怀疑时，宜进行复测或采用破损方法进行验证。</w:t>
      </w:r>
    </w:p>
    <w:p>
      <w:pPr>
        <w:spacing w:line="360" w:lineRule="auto"/>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C.0.5  </w:t>
      </w:r>
      <w:r>
        <w:rPr>
          <w:color w:val="000000" w:themeColor="text1"/>
          <w:sz w:val="24"/>
          <w:szCs w:val="24"/>
          <w14:textFill>
            <w14:solidFill>
              <w14:schemeClr w14:val="tx1"/>
            </w14:solidFill>
          </w14:textFill>
        </w:rPr>
        <w:t>混凝土内部缺陷的判定应符合下列规定：</w:t>
      </w:r>
    </w:p>
    <w:p>
      <w:pPr>
        <w:spacing w:line="360" w:lineRule="auto"/>
        <w:ind w:firstLine="481" w:firstLineChars="200"/>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1  </w:t>
      </w:r>
      <w:r>
        <w:rPr>
          <w:color w:val="000000" w:themeColor="text1"/>
          <w:sz w:val="24"/>
          <w:szCs w:val="24"/>
          <w14:textFill>
            <w14:solidFill>
              <w14:schemeClr w14:val="tx1"/>
            </w14:solidFill>
          </w14:textFill>
        </w:rPr>
        <w:t>采用单点测试时，若超声图像中存在除底面反射外的其它反射信号，应判定所检测点存在疑似缺陷；</w:t>
      </w:r>
    </w:p>
    <w:p>
      <w:pPr>
        <w:spacing w:line="360" w:lineRule="auto"/>
        <w:ind w:firstLine="481" w:firstLineChars="200"/>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2  </w:t>
      </w:r>
      <w:r>
        <w:rPr>
          <w:color w:val="000000" w:themeColor="text1"/>
          <w:sz w:val="24"/>
          <w:szCs w:val="24"/>
          <w14:textFill>
            <w14:solidFill>
              <w14:schemeClr w14:val="tx1"/>
            </w14:solidFill>
          </w14:textFill>
        </w:rPr>
        <w:t>采用网格测试时，若在所合成的三维图像中存在除底面反射外的其它反射信号，应判定所检区域存在疑似缺陷；</w:t>
      </w:r>
    </w:p>
    <w:p>
      <w:pPr>
        <w:spacing w:line="360" w:lineRule="auto"/>
        <w:ind w:firstLine="481" w:firstLineChars="200"/>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3  </w:t>
      </w:r>
      <w:r>
        <w:rPr>
          <w:color w:val="000000" w:themeColor="text1"/>
          <w:sz w:val="24"/>
          <w:szCs w:val="24"/>
          <w14:textFill>
            <w14:solidFill>
              <w14:schemeClr w14:val="tx1"/>
            </w14:solidFill>
          </w14:textFill>
        </w:rPr>
        <w:t>根据设计图纸或经现场验证，当存在疑似缺陷的位置未见钢筋、钢材或预埋管线时，应判定所检位置存在缺陷；</w:t>
      </w:r>
    </w:p>
    <w:p>
      <w:pPr>
        <w:spacing w:line="360" w:lineRule="auto"/>
        <w:ind w:firstLine="481" w:firstLineChars="200"/>
        <w:rPr>
          <w:sz w:val="24"/>
          <w:szCs w:val="24"/>
        </w:rPr>
      </w:pPr>
      <w:r>
        <w:rPr>
          <w:b/>
          <w:bCs/>
          <w:sz w:val="24"/>
          <w:szCs w:val="24"/>
        </w:rPr>
        <w:t xml:space="preserve">4  </w:t>
      </w:r>
      <w:r>
        <w:rPr>
          <w:bCs/>
          <w:sz w:val="24"/>
          <w:szCs w:val="24"/>
        </w:rPr>
        <w:t>可</w:t>
      </w:r>
      <w:r>
        <w:rPr>
          <w:sz w:val="24"/>
          <w:szCs w:val="24"/>
        </w:rPr>
        <w:t>根据反射点位置和反射区域大小确定缺陷的位置和大小。</w:t>
      </w:r>
    </w:p>
    <w:p>
      <w:pPr>
        <w:spacing w:line="360" w:lineRule="auto"/>
        <w:rPr>
          <w:color w:val="FF0000"/>
          <w:sz w:val="24"/>
          <w:szCs w:val="24"/>
        </w:rPr>
      </w:pPr>
      <w:r>
        <w:rPr>
          <w:b/>
          <w:color w:val="000000" w:themeColor="text1"/>
          <w:sz w:val="24"/>
          <w:szCs w:val="24"/>
          <w14:textFill>
            <w14:solidFill>
              <w14:schemeClr w14:val="tx1"/>
            </w14:solidFill>
          </w14:textFill>
        </w:rPr>
        <w:t xml:space="preserve">C.0.6  </w:t>
      </w:r>
      <w:r>
        <w:rPr>
          <w:color w:val="000000" w:themeColor="text1"/>
          <w:sz w:val="24"/>
          <w:szCs w:val="24"/>
          <w14:textFill>
            <w14:solidFill>
              <w14:schemeClr w14:val="tx1"/>
            </w14:solidFill>
          </w14:textFill>
        </w:rPr>
        <w:t>混凝土内部缺陷检测结果应包括测点位置、网格布置、外观质量、缺陷的位置与大小等信息。</w:t>
      </w:r>
    </w:p>
    <w:p>
      <w:pPr>
        <w:widowControl/>
        <w:jc w:val="left"/>
        <w:rPr>
          <w:b/>
          <w:bCs/>
          <w:kern w:val="44"/>
          <w:sz w:val="28"/>
          <w:szCs w:val="28"/>
        </w:rPr>
      </w:pPr>
      <w:r>
        <w:rPr>
          <w:b/>
          <w:bCs/>
          <w:kern w:val="44"/>
          <w:sz w:val="28"/>
          <w:szCs w:val="28"/>
        </w:rPr>
        <w:br w:type="page"/>
      </w:r>
    </w:p>
    <w:p>
      <w:pPr>
        <w:keepNext/>
        <w:keepLines/>
        <w:spacing w:before="240" w:beforeLines="100" w:after="120" w:afterLines="50" w:line="400" w:lineRule="exact"/>
        <w:jc w:val="center"/>
        <w:outlineLvl w:val="0"/>
        <w:rPr>
          <w:b/>
          <w:kern w:val="44"/>
          <w:sz w:val="28"/>
          <w:szCs w:val="28"/>
        </w:rPr>
      </w:pPr>
      <w:bookmarkStart w:id="131" w:name="_Toc120020301"/>
      <w:r>
        <w:rPr>
          <w:b/>
          <w:kern w:val="44"/>
          <w:sz w:val="28"/>
          <w:szCs w:val="28"/>
        </w:rPr>
        <w:t>附录D  现场实体取样检测钢筋套筒灌浆连接质量</w:t>
      </w:r>
      <w:bookmarkEnd w:id="131"/>
    </w:p>
    <w:p>
      <w:pPr>
        <w:spacing w:line="360" w:lineRule="auto"/>
        <w:rPr>
          <w:sz w:val="24"/>
          <w:szCs w:val="24"/>
        </w:rPr>
      </w:pPr>
      <w:r>
        <w:rPr>
          <w:b/>
          <w:sz w:val="24"/>
          <w:szCs w:val="24"/>
        </w:rPr>
        <w:t xml:space="preserve">D.0.1  </w:t>
      </w:r>
      <w:r>
        <w:rPr>
          <w:sz w:val="24"/>
          <w:szCs w:val="24"/>
        </w:rPr>
        <w:t>取样位置应由设计单位根据构件重要程度和接头受力情况等因素综合确定，并应符合下列规定：</w:t>
      </w:r>
    </w:p>
    <w:p>
      <w:pPr>
        <w:spacing w:line="360" w:lineRule="auto"/>
        <w:ind w:firstLine="481" w:firstLineChars="200"/>
        <w:rPr>
          <w:sz w:val="24"/>
          <w:szCs w:val="24"/>
        </w:rPr>
      </w:pPr>
      <w:r>
        <w:rPr>
          <w:b/>
          <w:bCs/>
          <w:sz w:val="24"/>
          <w:szCs w:val="24"/>
        </w:rPr>
        <w:t xml:space="preserve">1  </w:t>
      </w:r>
      <w:r>
        <w:rPr>
          <w:sz w:val="24"/>
          <w:szCs w:val="24"/>
        </w:rPr>
        <w:t>混凝土剔凿范围应覆盖接头的长度范围，取出的接头试件尺寸应满足质量检查和检测试验的要求；</w:t>
      </w:r>
    </w:p>
    <w:p>
      <w:pPr>
        <w:spacing w:line="360" w:lineRule="auto"/>
        <w:ind w:firstLine="481" w:firstLineChars="200"/>
        <w:rPr>
          <w:sz w:val="24"/>
          <w:szCs w:val="24"/>
        </w:rPr>
      </w:pPr>
      <w:r>
        <w:rPr>
          <w:b/>
          <w:bCs/>
          <w:sz w:val="24"/>
          <w:szCs w:val="24"/>
        </w:rPr>
        <w:t xml:space="preserve">2  </w:t>
      </w:r>
      <w:r>
        <w:rPr>
          <w:sz w:val="24"/>
          <w:szCs w:val="24"/>
        </w:rPr>
        <w:t>剔凿时不应直接对接头试件造成冲击，宜采取必要措施减少对试件及周围混凝土的损伤；</w:t>
      </w:r>
    </w:p>
    <w:p>
      <w:pPr>
        <w:spacing w:line="360" w:lineRule="auto"/>
        <w:ind w:firstLine="481" w:firstLineChars="200"/>
        <w:rPr>
          <w:sz w:val="24"/>
          <w:szCs w:val="24"/>
        </w:rPr>
      </w:pPr>
      <w:r>
        <w:rPr>
          <w:b/>
          <w:bCs/>
          <w:sz w:val="24"/>
          <w:szCs w:val="24"/>
        </w:rPr>
        <w:t xml:space="preserve">3  </w:t>
      </w:r>
      <w:r>
        <w:rPr>
          <w:sz w:val="24"/>
          <w:szCs w:val="24"/>
        </w:rPr>
        <w:t>应对接头试件进行标记，并记录取样部位；</w:t>
      </w:r>
    </w:p>
    <w:p>
      <w:pPr>
        <w:spacing w:line="360" w:lineRule="auto"/>
        <w:ind w:firstLine="481" w:firstLineChars="200"/>
        <w:rPr>
          <w:sz w:val="24"/>
          <w:szCs w:val="24"/>
        </w:rPr>
      </w:pPr>
      <w:r>
        <w:rPr>
          <w:b/>
          <w:bCs/>
          <w:sz w:val="24"/>
          <w:szCs w:val="24"/>
        </w:rPr>
        <w:t xml:space="preserve">4  </w:t>
      </w:r>
      <w:r>
        <w:rPr>
          <w:sz w:val="24"/>
          <w:szCs w:val="24"/>
        </w:rPr>
        <w:t>取样完成后，应及时对剔凿切割部位的钢筋进行补焊连接和混凝土修复。</w:t>
      </w:r>
    </w:p>
    <w:p>
      <w:pPr>
        <w:spacing w:line="360" w:lineRule="auto"/>
        <w:rPr>
          <w:sz w:val="24"/>
          <w:szCs w:val="24"/>
        </w:rPr>
      </w:pPr>
      <w:r>
        <w:rPr>
          <w:b/>
          <w:sz w:val="24"/>
          <w:szCs w:val="24"/>
        </w:rPr>
        <w:t xml:space="preserve">D.0.2  </w:t>
      </w:r>
      <w:r>
        <w:rPr>
          <w:sz w:val="24"/>
          <w:szCs w:val="24"/>
        </w:rPr>
        <w:t>钢筋套筒灌浆接头试件剖切应符合下列规定：</w:t>
      </w:r>
    </w:p>
    <w:p>
      <w:pPr>
        <w:spacing w:line="360" w:lineRule="auto"/>
        <w:ind w:firstLine="481" w:firstLineChars="200"/>
        <w:rPr>
          <w:sz w:val="24"/>
          <w:szCs w:val="24"/>
        </w:rPr>
      </w:pPr>
      <w:r>
        <w:rPr>
          <w:b/>
          <w:bCs/>
          <w:sz w:val="24"/>
          <w:szCs w:val="24"/>
        </w:rPr>
        <w:t xml:space="preserve">1  </w:t>
      </w:r>
      <w:r>
        <w:rPr>
          <w:sz w:val="24"/>
          <w:szCs w:val="24"/>
        </w:rPr>
        <w:t>切割时应将试件夹持固定；</w:t>
      </w:r>
    </w:p>
    <w:p>
      <w:pPr>
        <w:spacing w:line="360" w:lineRule="auto"/>
        <w:ind w:firstLine="481" w:firstLineChars="200"/>
        <w:rPr>
          <w:sz w:val="24"/>
          <w:szCs w:val="24"/>
        </w:rPr>
      </w:pPr>
      <w:r>
        <w:rPr>
          <w:b/>
          <w:bCs/>
          <w:sz w:val="24"/>
          <w:szCs w:val="24"/>
        </w:rPr>
        <w:t xml:space="preserve">2  </w:t>
      </w:r>
      <w:r>
        <w:rPr>
          <w:sz w:val="24"/>
          <w:szCs w:val="24"/>
        </w:rPr>
        <w:t>宜沿接头试件轴对称方向进行剖切，直至将试件切成两半，露出套筒内的灌浆料和钢筋；</w:t>
      </w:r>
    </w:p>
    <w:p>
      <w:pPr>
        <w:spacing w:line="360" w:lineRule="auto"/>
        <w:ind w:firstLine="481" w:firstLineChars="200"/>
        <w:rPr>
          <w:sz w:val="24"/>
          <w:szCs w:val="24"/>
        </w:rPr>
      </w:pPr>
      <w:r>
        <w:rPr>
          <w:b/>
          <w:bCs/>
          <w:sz w:val="24"/>
          <w:szCs w:val="24"/>
        </w:rPr>
        <w:t xml:space="preserve">3  </w:t>
      </w:r>
      <w:r>
        <w:rPr>
          <w:bCs/>
          <w:sz w:val="24"/>
          <w:szCs w:val="24"/>
        </w:rPr>
        <w:t>应选择适宜的</w:t>
      </w:r>
      <w:r>
        <w:rPr>
          <w:sz w:val="24"/>
          <w:szCs w:val="24"/>
        </w:rPr>
        <w:t>切割方式以确保试件切割质量满足检查要求。</w:t>
      </w:r>
    </w:p>
    <w:p>
      <w:pPr>
        <w:spacing w:line="360" w:lineRule="auto"/>
        <w:rPr>
          <w:b/>
          <w:sz w:val="24"/>
          <w:szCs w:val="24"/>
        </w:rPr>
      </w:pPr>
      <w:r>
        <w:rPr>
          <w:b/>
          <w:sz w:val="24"/>
          <w:szCs w:val="24"/>
        </w:rPr>
        <w:t xml:space="preserve">D.0.3  </w:t>
      </w:r>
      <w:r>
        <w:rPr>
          <w:bCs/>
          <w:sz w:val="24"/>
          <w:szCs w:val="24"/>
        </w:rPr>
        <w:t>钢筋插入长度、灌浆料高度和钢筋有效锚固长度的测量应符合下列规定：</w:t>
      </w:r>
    </w:p>
    <w:p>
      <w:pPr>
        <w:spacing w:line="360" w:lineRule="auto"/>
        <w:ind w:firstLine="481" w:firstLineChars="200"/>
        <w:rPr>
          <w:sz w:val="24"/>
          <w:szCs w:val="24"/>
        </w:rPr>
      </w:pPr>
      <w:r>
        <w:rPr>
          <w:b/>
          <w:sz w:val="24"/>
          <w:szCs w:val="24"/>
        </w:rPr>
        <w:t xml:space="preserve">1  </w:t>
      </w:r>
      <w:r>
        <w:rPr>
          <w:sz w:val="24"/>
          <w:szCs w:val="24"/>
        </w:rPr>
        <w:t>应</w:t>
      </w:r>
      <w:r>
        <w:rPr>
          <w:bCs/>
          <w:sz w:val="24"/>
          <w:szCs w:val="24"/>
        </w:rPr>
        <w:t>采用</w:t>
      </w:r>
      <w:r>
        <w:rPr>
          <w:sz w:val="24"/>
          <w:szCs w:val="24"/>
        </w:rPr>
        <w:t>钢直尺量测套筒内钢筋插入长度，应测量三次并取最小值；</w:t>
      </w:r>
    </w:p>
    <w:p>
      <w:pPr>
        <w:spacing w:line="360" w:lineRule="auto"/>
        <w:ind w:firstLine="481" w:firstLineChars="200"/>
        <w:rPr>
          <w:sz w:val="24"/>
          <w:szCs w:val="24"/>
        </w:rPr>
      </w:pPr>
      <w:r>
        <w:rPr>
          <w:b/>
          <w:bCs/>
          <w:sz w:val="24"/>
          <w:szCs w:val="24"/>
        </w:rPr>
        <w:t xml:space="preserve">2  </w:t>
      </w:r>
      <w:r>
        <w:rPr>
          <w:bCs/>
          <w:sz w:val="24"/>
          <w:szCs w:val="24"/>
        </w:rPr>
        <w:t>应</w:t>
      </w:r>
      <w:r>
        <w:rPr>
          <w:sz w:val="24"/>
          <w:szCs w:val="24"/>
        </w:rPr>
        <w:t>采用钢直尺量测套筒内密实饱满的灌浆料高度，应测量三处并取最小值；</w:t>
      </w:r>
    </w:p>
    <w:p>
      <w:pPr>
        <w:spacing w:line="360" w:lineRule="auto"/>
        <w:ind w:firstLine="481" w:firstLineChars="200"/>
        <w:rPr>
          <w:sz w:val="24"/>
          <w:szCs w:val="24"/>
        </w:rPr>
      </w:pPr>
      <w:r>
        <w:rPr>
          <w:b/>
          <w:bCs/>
          <w:sz w:val="24"/>
          <w:szCs w:val="24"/>
        </w:rPr>
        <w:t xml:space="preserve">3  </w:t>
      </w:r>
      <w:r>
        <w:rPr>
          <w:sz w:val="24"/>
          <w:szCs w:val="24"/>
        </w:rPr>
        <w:t>钢筋有效锚固长度应取插入套筒内的钢筋与灌浆料重叠部分的总长度，应测量三处并取最小值。</w:t>
      </w:r>
    </w:p>
    <w:p>
      <w:pPr>
        <w:spacing w:line="360" w:lineRule="auto"/>
        <w:rPr>
          <w:sz w:val="24"/>
          <w:szCs w:val="24"/>
        </w:rPr>
      </w:pPr>
      <w:r>
        <w:rPr>
          <w:b/>
          <w:sz w:val="24"/>
          <w:szCs w:val="24"/>
        </w:rPr>
        <w:t>D.0.4</w:t>
      </w:r>
      <w:r>
        <w:rPr>
          <w:sz w:val="24"/>
          <w:szCs w:val="24"/>
        </w:rPr>
        <w:t xml:space="preserve">  接头力学性能检测的试件数量、尺寸要求以及试验方法等应符合现行行业标准《钢筋套筒灌浆连接应用技术规程》JGJ 355的有关规定。</w:t>
      </w:r>
    </w:p>
    <w:p>
      <w:pPr>
        <w:widowControl/>
        <w:spacing w:line="360" w:lineRule="auto"/>
        <w:jc w:val="left"/>
        <w:rPr>
          <w:b/>
          <w:bCs/>
          <w:color w:val="000000" w:themeColor="text1"/>
          <w:kern w:val="44"/>
          <w:sz w:val="28"/>
          <w:szCs w:val="28"/>
          <w14:textFill>
            <w14:solidFill>
              <w14:schemeClr w14:val="tx1"/>
            </w14:solidFill>
          </w14:textFill>
        </w:rPr>
      </w:pPr>
      <w:r>
        <w:rPr>
          <w:color w:val="000000" w:themeColor="text1"/>
          <w:kern w:val="44"/>
          <w:sz w:val="28"/>
          <w:szCs w:val="28"/>
          <w14:textFill>
            <w14:solidFill>
              <w14:schemeClr w14:val="tx1"/>
            </w14:solidFill>
          </w14:textFill>
        </w:rPr>
        <w:br w:type="page"/>
      </w:r>
    </w:p>
    <w:p>
      <w:pPr>
        <w:keepNext/>
        <w:keepLines/>
        <w:overflowPunct w:val="0"/>
        <w:spacing w:before="240" w:beforeLines="100" w:after="240" w:afterLines="100"/>
        <w:jc w:val="center"/>
        <w:outlineLvl w:val="0"/>
        <w:rPr>
          <w:b/>
          <w:color w:val="000000" w:themeColor="text1"/>
          <w:kern w:val="44"/>
          <w:sz w:val="32"/>
          <w:szCs w:val="32"/>
          <w14:textFill>
            <w14:solidFill>
              <w14:schemeClr w14:val="tx1"/>
            </w14:solidFill>
          </w14:textFill>
        </w:rPr>
      </w:pPr>
      <w:bookmarkStart w:id="132" w:name="_Toc120020302"/>
      <w:bookmarkStart w:id="133" w:name="_Toc116391149"/>
      <w:r>
        <w:rPr>
          <w:b/>
          <w:color w:val="000000" w:themeColor="text1"/>
          <w:kern w:val="44"/>
          <w:sz w:val="32"/>
          <w:szCs w:val="32"/>
          <w14:textFill>
            <w14:solidFill>
              <w14:schemeClr w14:val="tx1"/>
            </w14:solidFill>
          </w14:textFill>
        </w:rPr>
        <w:t>附录E  取样法检测套筒灌浆料抗压强度</w:t>
      </w:r>
      <w:bookmarkEnd w:id="132"/>
      <w:bookmarkEnd w:id="133"/>
      <w:r>
        <w:rPr>
          <w:b/>
          <w:color w:val="000000" w:themeColor="text1"/>
          <w:kern w:val="44"/>
          <w:sz w:val="32"/>
          <w:szCs w:val="32"/>
          <w14:textFill>
            <w14:solidFill>
              <w14:schemeClr w14:val="tx1"/>
            </w14:solidFill>
          </w14:textFill>
        </w:rPr>
        <w:fldChar w:fldCharType="begin"/>
      </w:r>
      <w:r>
        <w:rPr>
          <w:b/>
          <w:color w:val="000000" w:themeColor="text1"/>
          <w:kern w:val="44"/>
          <w:sz w:val="32"/>
          <w:szCs w:val="32"/>
          <w14:textFill>
            <w14:solidFill>
              <w14:schemeClr w14:val="tx1"/>
            </w14:solidFill>
          </w14:textFill>
        </w:rPr>
        <w:instrText xml:space="preserve"> TC  "</w:instrText>
      </w:r>
      <w:bookmarkStart w:id="134" w:name="_Toc135038284"/>
      <w:bookmarkStart w:id="135" w:name="_Toc116391185"/>
      <w:r>
        <w:rPr>
          <w:b/>
          <w:color w:val="000000" w:themeColor="text1"/>
          <w:kern w:val="44"/>
          <w:sz w:val="32"/>
          <w:szCs w:val="32"/>
          <w14:textFill>
            <w14:solidFill>
              <w14:schemeClr w14:val="tx1"/>
            </w14:solidFill>
          </w14:textFill>
        </w:rPr>
        <w:instrText xml:space="preserve">Appendix E  Sampling method for testing compressive strength of sleeve grout</w:instrText>
      </w:r>
      <w:bookmarkEnd w:id="134"/>
      <w:bookmarkEnd w:id="135"/>
      <w:r>
        <w:rPr>
          <w:b/>
          <w:color w:val="000000" w:themeColor="text1"/>
          <w:kern w:val="44"/>
          <w:sz w:val="32"/>
          <w:szCs w:val="32"/>
          <w14:textFill>
            <w14:solidFill>
              <w14:schemeClr w14:val="tx1"/>
            </w14:solidFill>
          </w14:textFill>
        </w:rPr>
        <w:instrText xml:space="preserve">" \l 1 </w:instrText>
      </w:r>
      <w:r>
        <w:rPr>
          <w:b/>
          <w:color w:val="000000" w:themeColor="text1"/>
          <w:kern w:val="44"/>
          <w:sz w:val="32"/>
          <w:szCs w:val="32"/>
          <w14:textFill>
            <w14:solidFill>
              <w14:schemeClr w14:val="tx1"/>
            </w14:solidFill>
          </w14:textFill>
        </w:rPr>
        <w:fldChar w:fldCharType="end"/>
      </w:r>
    </w:p>
    <w:p>
      <w:pPr>
        <w:pStyle w:val="66"/>
        <w:spacing w:line="360" w:lineRule="auto"/>
        <w:ind w:firstLine="0" w:firstLineChars="0"/>
        <w:jc w:val="center"/>
        <w:rPr>
          <w:rFonts w:ascii="Times New Roman" w:hAnsi="Times New Roman"/>
          <w:b/>
        </w:rPr>
      </w:pPr>
      <w:bookmarkStart w:id="136" w:name="_Toc93647368"/>
      <w:bookmarkStart w:id="137" w:name="_Toc93569769"/>
      <w:r>
        <w:rPr>
          <w:rFonts w:ascii="Times New Roman" w:hAnsi="Times New Roman"/>
          <w:b/>
        </w:rPr>
        <w:t>E.1  一般规定</w:t>
      </w:r>
      <w:bookmarkEnd w:id="136"/>
      <w:bookmarkEnd w:id="137"/>
    </w:p>
    <w:p>
      <w:pPr>
        <w:pStyle w:val="66"/>
        <w:adjustRightInd w:val="0"/>
        <w:snapToGrid w:val="0"/>
        <w:spacing w:line="360" w:lineRule="auto"/>
        <w:ind w:firstLine="0" w:firstLineChars="0"/>
        <w:rPr>
          <w:rFonts w:ascii="Times New Roman"/>
          <w:color w:val="FF0000"/>
        </w:rPr>
      </w:pPr>
      <w:r>
        <w:rPr>
          <w:rFonts w:ascii="Times New Roman" w:hAnsi="Times New Roman"/>
          <w:b/>
        </w:rPr>
        <w:t xml:space="preserve">E.1.1  </w:t>
      </w:r>
      <w:r>
        <w:rPr>
          <w:rFonts w:ascii="Times New Roman"/>
          <w:color w:val="000000" w:themeColor="text1"/>
          <w14:textFill>
            <w14:solidFill>
              <w14:schemeClr w14:val="tx1"/>
            </w14:solidFill>
          </w14:textFill>
        </w:rPr>
        <w:t>取样法检测的灌浆料圆柱体试件直径宜</w:t>
      </w:r>
      <w:r>
        <w:rPr>
          <w:rFonts w:hint="eastAsia" w:ascii="Times New Roman"/>
          <w:color w:val="000000" w:themeColor="text1"/>
          <w14:textFill>
            <w14:solidFill>
              <w14:schemeClr w14:val="tx1"/>
            </w14:solidFill>
          </w14:textFill>
        </w:rPr>
        <w:t>为</w:t>
      </w:r>
      <w:r>
        <w:rPr>
          <w:rFonts w:ascii="Times New Roman" w:hAnsi="Times New Roman"/>
          <w:color w:val="000000" w:themeColor="text1"/>
          <w14:textFill>
            <w14:solidFill>
              <w14:schemeClr w14:val="tx1"/>
            </w14:solidFill>
          </w14:textFill>
        </w:rPr>
        <w:t>17mm</w:t>
      </w:r>
      <w:r>
        <w:rPr>
          <w:rFonts w:asci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23mm</w:t>
      </w:r>
      <w:r>
        <w:rPr>
          <w:rFonts w:ascii="Times New Roman"/>
          <w:color w:val="000000" w:themeColor="text1"/>
          <w14:textFill>
            <w14:solidFill>
              <w14:schemeClr w14:val="tx1"/>
            </w14:solidFill>
          </w14:textFill>
        </w:rPr>
        <w:t>，同一检测批</w:t>
      </w:r>
      <w:r>
        <w:rPr>
          <w:rFonts w:hint="eastAsia" w:ascii="Times New Roman"/>
          <w:color w:val="000000" w:themeColor="text1"/>
          <w14:textFill>
            <w14:solidFill>
              <w14:schemeClr w14:val="tx1"/>
            </w14:solidFill>
          </w14:textFill>
        </w:rPr>
        <w:t>内</w:t>
      </w:r>
      <w:r>
        <w:rPr>
          <w:rFonts w:ascii="Times New Roman"/>
          <w:color w:val="000000" w:themeColor="text1"/>
          <w14:textFill>
            <w14:solidFill>
              <w14:schemeClr w14:val="tx1"/>
            </w14:solidFill>
          </w14:textFill>
        </w:rPr>
        <w:t>参与抗压强度推定的灌浆料圆柱体试件尺寸宜统一。</w:t>
      </w:r>
    </w:p>
    <w:p>
      <w:pPr>
        <w:pStyle w:val="66"/>
        <w:adjustRightInd w:val="0"/>
        <w:snapToGrid w:val="0"/>
        <w:spacing w:line="360" w:lineRule="auto"/>
        <w:ind w:firstLine="0" w:firstLineChars="0"/>
        <w:rPr>
          <w:rFonts w:ascii="Times New Roman"/>
          <w:color w:val="FF0000"/>
        </w:rPr>
      </w:pPr>
      <w:r>
        <w:rPr>
          <w:rFonts w:ascii="Times New Roman" w:hAnsi="Times New Roman"/>
          <w:b/>
        </w:rPr>
        <w:t xml:space="preserve">E.1.2  </w:t>
      </w:r>
      <w:r>
        <w:rPr>
          <w:rFonts w:ascii="Times New Roman"/>
          <w:color w:val="000000"/>
        </w:rPr>
        <w:t>检测批的灌浆料抗压强度推定值时，有效的圆柱体试件抗压强度换算值的数量不宜少于</w:t>
      </w:r>
      <w:r>
        <w:rPr>
          <w:rFonts w:ascii="Times New Roman" w:hAnsi="Times New Roman"/>
          <w:color w:val="000000"/>
        </w:rPr>
        <w:t>21</w:t>
      </w:r>
      <w:r>
        <w:rPr>
          <w:rFonts w:ascii="Times New Roman"/>
          <w:color w:val="000000"/>
        </w:rPr>
        <w:t>个。</w:t>
      </w:r>
    </w:p>
    <w:p>
      <w:pPr>
        <w:pStyle w:val="66"/>
        <w:adjustRightInd w:val="0"/>
        <w:snapToGrid w:val="0"/>
        <w:spacing w:line="360" w:lineRule="auto"/>
        <w:ind w:firstLine="0" w:firstLineChars="0"/>
        <w:rPr>
          <w:rFonts w:ascii="Times New Roman"/>
          <w:color w:val="FF0000"/>
        </w:rPr>
      </w:pPr>
      <w:r>
        <w:rPr>
          <w:rFonts w:ascii="Times New Roman" w:hAnsi="Times New Roman"/>
          <w:b/>
        </w:rPr>
        <w:t xml:space="preserve">E.1.3  </w:t>
      </w:r>
      <w:r>
        <w:rPr>
          <w:rFonts w:ascii="Times New Roman"/>
          <w:color w:val="000000" w:themeColor="text1"/>
          <w14:textFill>
            <w14:solidFill>
              <w14:schemeClr w14:val="tx1"/>
            </w14:solidFill>
          </w14:textFill>
        </w:rPr>
        <w:t>样品应进行标记，并</w:t>
      </w:r>
      <w:r>
        <w:rPr>
          <w:rFonts w:hint="eastAsia" w:ascii="Times New Roman"/>
          <w:color w:val="000000" w:themeColor="text1"/>
          <w14:textFill>
            <w14:solidFill>
              <w14:schemeClr w14:val="tx1"/>
            </w14:solidFill>
          </w14:textFill>
        </w:rPr>
        <w:t>应</w:t>
      </w:r>
      <w:r>
        <w:rPr>
          <w:rFonts w:ascii="Times New Roman"/>
          <w:color w:val="000000" w:themeColor="text1"/>
          <w14:textFill>
            <w14:solidFill>
              <w14:schemeClr w14:val="tx1"/>
            </w14:solidFill>
          </w14:textFill>
        </w:rPr>
        <w:t>记录取样信息，宜留存照片。记录信息应包括构件编号、套筒编号和取样部位，取样部位可为灌浆管、排浆管、外接延长管或底部接缝。</w:t>
      </w:r>
    </w:p>
    <w:p>
      <w:pPr>
        <w:pStyle w:val="66"/>
        <w:adjustRightInd w:val="0"/>
        <w:snapToGrid w:val="0"/>
        <w:spacing w:line="360" w:lineRule="auto"/>
        <w:ind w:firstLine="0" w:firstLineChars="0"/>
        <w:rPr>
          <w:rFonts w:ascii="Times New Roman"/>
          <w:color w:val="FF0000"/>
        </w:rPr>
      </w:pPr>
      <w:r>
        <w:rPr>
          <w:rFonts w:ascii="Times New Roman" w:hAnsi="Times New Roman"/>
          <w:b/>
        </w:rPr>
        <w:t xml:space="preserve">E.1.4  </w:t>
      </w:r>
      <w:r>
        <w:rPr>
          <w:rFonts w:ascii="Times New Roman"/>
          <w:color w:val="000000" w:themeColor="text1"/>
          <w14:textFill>
            <w14:solidFill>
              <w14:schemeClr w14:val="tx1"/>
            </w14:solidFill>
          </w14:textFill>
        </w:rPr>
        <w:t>样品应采取保护措施，避免在运输和贮存中损坏。</w:t>
      </w:r>
    </w:p>
    <w:p>
      <w:pPr>
        <w:pStyle w:val="66"/>
        <w:spacing w:line="360" w:lineRule="auto"/>
        <w:ind w:firstLine="0" w:firstLineChars="0"/>
        <w:jc w:val="center"/>
        <w:rPr>
          <w:rFonts w:ascii="Times New Roman" w:hAnsi="Times New Roman"/>
          <w:b/>
        </w:rPr>
      </w:pPr>
      <w:bookmarkStart w:id="138" w:name="_Toc93569770"/>
      <w:bookmarkStart w:id="139" w:name="_Toc93647369"/>
      <w:r>
        <w:rPr>
          <w:rFonts w:ascii="Times New Roman" w:hAnsi="Times New Roman"/>
          <w:b/>
        </w:rPr>
        <w:t>E.2  取样与试件加工</w:t>
      </w:r>
      <w:bookmarkEnd w:id="138"/>
      <w:bookmarkEnd w:id="139"/>
    </w:p>
    <w:p>
      <w:pPr>
        <w:pStyle w:val="66"/>
        <w:adjustRightInd w:val="0"/>
        <w:snapToGrid w:val="0"/>
        <w:spacing w:line="360" w:lineRule="auto"/>
        <w:ind w:firstLine="0" w:firstLineChars="0"/>
        <w:rPr>
          <w:rFonts w:ascii="Times New Roman" w:hAnsi="Times New Roman"/>
          <w:color w:val="000000"/>
        </w:rPr>
      </w:pPr>
      <w:r>
        <w:rPr>
          <w:rFonts w:ascii="Times New Roman" w:hAnsi="Times New Roman"/>
          <w:b/>
        </w:rPr>
        <w:t>E.2.1</w:t>
      </w:r>
      <w:r>
        <w:rPr>
          <w:rFonts w:ascii="Times New Roman" w:hAnsi="Times New Roman"/>
        </w:rPr>
        <w:t xml:space="preserve">  </w:t>
      </w:r>
      <w:r>
        <w:rPr>
          <w:rFonts w:ascii="Times New Roman"/>
          <w:color w:val="000000"/>
        </w:rPr>
        <w:t>外接延长管的取样工作应符合下列规定：</w:t>
      </w:r>
    </w:p>
    <w:p>
      <w:pPr>
        <w:spacing w:line="360" w:lineRule="auto"/>
        <w:ind w:firstLine="481" w:firstLineChars="200"/>
        <w:rPr>
          <w:color w:val="000000" w:themeColor="text1"/>
          <w:sz w:val="24"/>
          <w14:textFill>
            <w14:solidFill>
              <w14:schemeClr w14:val="tx1"/>
            </w14:solidFill>
          </w14:textFill>
        </w:rPr>
      </w:pPr>
      <w:r>
        <w:rPr>
          <w:rFonts w:hint="eastAsia"/>
          <w:b/>
          <w:bCs/>
          <w:color w:val="000000"/>
          <w:sz w:val="24"/>
        </w:rPr>
        <w:t>1</w:t>
      </w:r>
      <w:r>
        <w:rPr>
          <w:b/>
          <w:bCs/>
          <w:color w:val="000000"/>
          <w:sz w:val="24"/>
        </w:rPr>
        <w:t xml:space="preserve">  </w:t>
      </w:r>
      <w:r>
        <w:rPr>
          <w:color w:val="000000" w:themeColor="text1"/>
          <w:sz w:val="24"/>
          <w14:textFill>
            <w14:solidFill>
              <w14:schemeClr w14:val="tx1"/>
            </w14:solidFill>
          </w14:textFill>
        </w:rPr>
        <w:t xml:space="preserve">应先安装外接延长管，再进行灌浆施工，灌浆施工结束后，应对外接延长管采取保护措施，确保其不损坏、不变形； </w:t>
      </w:r>
    </w:p>
    <w:p>
      <w:pPr>
        <w:spacing w:line="360" w:lineRule="auto"/>
        <w:ind w:firstLine="481" w:firstLineChars="200"/>
        <w:rPr>
          <w:color w:val="FF0000"/>
          <w:sz w:val="24"/>
        </w:rPr>
      </w:pPr>
      <w:r>
        <w:rPr>
          <w:rFonts w:hint="eastAsia"/>
          <w:b/>
          <w:bCs/>
          <w:color w:val="000000"/>
          <w:sz w:val="24"/>
        </w:rPr>
        <w:t>2</w:t>
      </w:r>
      <w:r>
        <w:rPr>
          <w:color w:val="000000" w:themeColor="text1"/>
          <w:sz w:val="24"/>
          <w14:textFill>
            <w14:solidFill>
              <w14:schemeClr w14:val="tx1"/>
            </w14:solidFill>
          </w14:textFill>
        </w:rPr>
        <w:t xml:space="preserve">  外接延长管宜为在排浆管末端安装的L形管，管内径宜</w:t>
      </w:r>
      <w:r>
        <w:rPr>
          <w:rFonts w:hint="eastAsia"/>
          <w:color w:val="000000" w:themeColor="text1"/>
          <w:sz w:val="24"/>
          <w14:textFill>
            <w14:solidFill>
              <w14:schemeClr w14:val="tx1"/>
            </w14:solidFill>
          </w14:textFill>
        </w:rPr>
        <w:t>为</w:t>
      </w:r>
      <w:r>
        <w:rPr>
          <w:color w:val="000000" w:themeColor="text1"/>
          <w:sz w:val="24"/>
          <w14:textFill>
            <w14:solidFill>
              <w14:schemeClr w14:val="tx1"/>
            </w14:solidFill>
          </w14:textFill>
        </w:rPr>
        <w:t>18mm～22mm，可供取样的竖向管直线段长度不宜小于100mm，可供取样的水平管直线段长度不宜小于50mm；</w:t>
      </w:r>
      <w:r>
        <w:rPr>
          <w:rFonts w:hint="eastAsia"/>
          <w:color w:val="FF0000"/>
          <w:sz w:val="24"/>
        </w:rPr>
        <w:t xml:space="preserve"> </w:t>
      </w:r>
    </w:p>
    <w:p>
      <w:pPr>
        <w:spacing w:line="360" w:lineRule="auto"/>
        <w:ind w:firstLine="481" w:firstLineChars="200"/>
        <w:rPr>
          <w:color w:val="FF0000"/>
          <w:sz w:val="24"/>
        </w:rPr>
      </w:pPr>
      <w:r>
        <w:rPr>
          <w:b/>
          <w:bCs/>
          <w:color w:val="000000"/>
          <w:sz w:val="24"/>
        </w:rPr>
        <w:t>3</w:t>
      </w:r>
      <w:r>
        <w:rPr>
          <w:color w:val="000000"/>
          <w:sz w:val="24"/>
        </w:rPr>
        <w:t xml:space="preserve">  内含灌浆料的</w:t>
      </w:r>
      <w:r>
        <w:rPr>
          <w:color w:val="000000" w:themeColor="text1"/>
          <w:sz w:val="24"/>
          <w14:textFill>
            <w14:solidFill>
              <w14:schemeClr w14:val="tx1"/>
            </w14:solidFill>
          </w14:textFill>
        </w:rPr>
        <w:t>外接延长管</w:t>
      </w:r>
      <w:r>
        <w:rPr>
          <w:rFonts w:hint="eastAsia"/>
          <w:color w:val="000000" w:themeColor="text1"/>
          <w:sz w:val="24"/>
          <w14:textFill>
            <w14:solidFill>
              <w14:schemeClr w14:val="tx1"/>
            </w14:solidFill>
          </w14:textFill>
        </w:rPr>
        <w:t>宜</w:t>
      </w:r>
      <w:r>
        <w:rPr>
          <w:color w:val="000000" w:themeColor="text1"/>
          <w:sz w:val="24"/>
          <w14:textFill>
            <w14:solidFill>
              <w14:schemeClr w14:val="tx1"/>
            </w14:solidFill>
          </w14:textFill>
        </w:rPr>
        <w:t>由检测机构在现场取样，应选取管内浆料直线段有效长度不低于50mm的外接延长管；</w:t>
      </w:r>
      <w:r>
        <w:rPr>
          <w:rFonts w:hint="eastAsia"/>
          <w:color w:val="FF0000"/>
          <w:sz w:val="24"/>
        </w:rPr>
        <w:t xml:space="preserve"> </w:t>
      </w:r>
    </w:p>
    <w:p>
      <w:pPr>
        <w:spacing w:line="360" w:lineRule="auto"/>
        <w:ind w:firstLine="481"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4</w:t>
      </w:r>
      <w:r>
        <w:rPr>
          <w:color w:val="000000" w:themeColor="text1"/>
          <w:sz w:val="24"/>
          <w14:textFill>
            <w14:solidFill>
              <w14:schemeClr w14:val="tx1"/>
            </w14:solidFill>
          </w14:textFill>
        </w:rPr>
        <w:t xml:space="preserve">  灌浆料圆柱体样品可采用切割工具沿纵向划开外接延长管直线段取出</w:t>
      </w:r>
      <w:r>
        <w:rPr>
          <w:rFonts w:hint="eastAsia"/>
          <w:color w:val="000000" w:themeColor="text1"/>
          <w:sz w:val="24"/>
          <w14:textFill>
            <w14:solidFill>
              <w14:schemeClr w14:val="tx1"/>
            </w14:solidFill>
          </w14:textFill>
        </w:rPr>
        <w:t>；</w:t>
      </w:r>
    </w:p>
    <w:p>
      <w:pPr>
        <w:spacing w:line="360" w:lineRule="auto"/>
        <w:ind w:firstLine="481" w:firstLineChars="20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5</w:t>
      </w:r>
      <w:r>
        <w:rPr>
          <w:color w:val="000000" w:themeColor="text1"/>
          <w:sz w:val="24"/>
          <w14:textFill>
            <w14:solidFill>
              <w14:schemeClr w14:val="tx1"/>
            </w14:solidFill>
          </w14:textFill>
        </w:rPr>
        <w:t xml:space="preserve">  检查灌浆料圆柱体样品的外观质量，应无明显缺陷，目测圆柱体外形应无异常；测量灌浆料圆柱体样品的长度，有效长度不宜小于50mm。</w:t>
      </w:r>
    </w:p>
    <w:p>
      <w:pPr>
        <w:pStyle w:val="66"/>
        <w:adjustRightInd w:val="0"/>
        <w:snapToGrid w:val="0"/>
        <w:spacing w:line="360" w:lineRule="auto"/>
        <w:ind w:firstLine="0" w:firstLineChars="0"/>
        <w:rPr>
          <w:rFonts w:ascii="Times New Roman" w:hAnsi="Times New Roman"/>
          <w:color w:val="000000"/>
        </w:rPr>
      </w:pPr>
      <w:r>
        <w:rPr>
          <w:rFonts w:ascii="Times New Roman" w:hAnsi="Times New Roman"/>
          <w:b/>
        </w:rPr>
        <w:t xml:space="preserve">E.2.2  </w:t>
      </w:r>
      <w:r>
        <w:rPr>
          <w:rFonts w:ascii="Times New Roman"/>
          <w:color w:val="000000"/>
        </w:rPr>
        <w:t>钻芯取样的设备应符合下列规定：</w:t>
      </w:r>
    </w:p>
    <w:p>
      <w:pPr>
        <w:spacing w:line="360" w:lineRule="auto"/>
        <w:ind w:firstLine="481" w:firstLineChars="200"/>
        <w:rPr>
          <w:b/>
          <w:sz w:val="24"/>
          <w:szCs w:val="24"/>
        </w:rPr>
      </w:pPr>
      <w:r>
        <w:rPr>
          <w:b/>
          <w:bCs/>
          <w:color w:val="000000"/>
          <w:sz w:val="24"/>
        </w:rPr>
        <w:t>1</w:t>
      </w:r>
      <w:r>
        <w:rPr>
          <w:color w:val="000000"/>
          <w:sz w:val="24"/>
        </w:rPr>
        <w:t xml:space="preserve">  钻芯机应具有足够的刚度，操作灵活，固定和移动方便，并应有水冷却系</w:t>
      </w:r>
      <w:r>
        <w:rPr>
          <w:sz w:val="24"/>
          <w:szCs w:val="24"/>
        </w:rPr>
        <w:t>统，宜采用人造金刚石薄壁空心钻头；</w:t>
      </w:r>
    </w:p>
    <w:p>
      <w:pPr>
        <w:spacing w:line="360" w:lineRule="auto"/>
        <w:ind w:firstLine="481" w:firstLineChars="200"/>
        <w:rPr>
          <w:color w:val="000000" w:themeColor="text1"/>
          <w:sz w:val="24"/>
          <w14:textFill>
            <w14:solidFill>
              <w14:schemeClr w14:val="tx1"/>
            </w14:solidFill>
          </w14:textFill>
        </w:rPr>
      </w:pPr>
      <w:r>
        <w:rPr>
          <w:b/>
          <w:bCs/>
          <w:color w:val="000000"/>
          <w:sz w:val="24"/>
        </w:rPr>
        <w:t>2</w:t>
      </w:r>
      <w:r>
        <w:rPr>
          <w:color w:val="000000" w:themeColor="text1"/>
          <w:sz w:val="24"/>
          <w14:textFill>
            <w14:solidFill>
              <w14:schemeClr w14:val="tx1"/>
            </w14:solidFill>
          </w14:textFill>
        </w:rPr>
        <w:t xml:space="preserve">  当沿着灌浆管或排浆管钻取时，钻头内径宜比灌浆管或排浆管外径大10mm～20mm；</w:t>
      </w:r>
    </w:p>
    <w:p>
      <w:pPr>
        <w:spacing w:line="360" w:lineRule="auto"/>
        <w:ind w:firstLine="481" w:firstLineChars="200"/>
        <w:rPr>
          <w:color w:val="00B0F0"/>
          <w:sz w:val="24"/>
        </w:rPr>
      </w:pPr>
      <w:r>
        <w:rPr>
          <w:b/>
          <w:bCs/>
          <w:color w:val="000000"/>
          <w:sz w:val="24"/>
        </w:rPr>
        <w:t xml:space="preserve">3 </w:t>
      </w:r>
      <w:r>
        <w:rPr>
          <w:color w:val="000000"/>
          <w:sz w:val="24"/>
        </w:rPr>
        <w:t xml:space="preserve"> 当对竖向构件底部接缝处钻芯取样时，钻头内径不</w:t>
      </w:r>
      <w:r>
        <w:rPr>
          <w:rFonts w:hint="eastAsia"/>
          <w:color w:val="000000"/>
          <w:sz w:val="24"/>
        </w:rPr>
        <w:t>宜</w:t>
      </w:r>
      <w:r>
        <w:rPr>
          <w:color w:val="000000"/>
          <w:sz w:val="24"/>
        </w:rPr>
        <w:t>大于19mm，且不应小于17mm。</w:t>
      </w:r>
    </w:p>
    <w:p>
      <w:pPr>
        <w:pStyle w:val="66"/>
        <w:adjustRightInd w:val="0"/>
        <w:snapToGrid w:val="0"/>
        <w:spacing w:line="360" w:lineRule="auto"/>
        <w:ind w:firstLine="0" w:firstLineChars="0"/>
        <w:rPr>
          <w:rFonts w:ascii="Times New Roman" w:hAnsi="Times New Roman"/>
          <w:color w:val="000000"/>
        </w:rPr>
      </w:pPr>
      <w:r>
        <w:rPr>
          <w:rFonts w:ascii="Times New Roman" w:hAnsi="Times New Roman"/>
          <w:b/>
        </w:rPr>
        <w:t>E.2.3</w:t>
      </w:r>
      <w:r>
        <w:rPr>
          <w:rFonts w:ascii="Times New Roman" w:hAnsi="Times New Roman"/>
          <w:b/>
          <w:bCs/>
          <w:color w:val="FF0000"/>
        </w:rPr>
        <w:t xml:space="preserve">  </w:t>
      </w:r>
      <w:r>
        <w:rPr>
          <w:rFonts w:ascii="Times New Roman"/>
          <w:color w:val="000000"/>
        </w:rPr>
        <w:t>钻芯取样的部位应符合下列规定：</w:t>
      </w:r>
    </w:p>
    <w:p>
      <w:pPr>
        <w:spacing w:line="360" w:lineRule="auto"/>
        <w:ind w:firstLine="481" w:firstLineChars="200"/>
        <w:rPr>
          <w:b/>
          <w:bCs/>
          <w:color w:val="000000"/>
          <w:sz w:val="24"/>
        </w:rPr>
      </w:pPr>
      <w:r>
        <w:rPr>
          <w:b/>
          <w:bCs/>
          <w:color w:val="000000" w:themeColor="text1"/>
          <w:sz w:val="24"/>
          <w14:textFill>
            <w14:solidFill>
              <w14:schemeClr w14:val="tx1"/>
            </w14:solidFill>
          </w14:textFill>
        </w:rPr>
        <w:t xml:space="preserve">1  </w:t>
      </w:r>
      <w:r>
        <w:rPr>
          <w:color w:val="000000" w:themeColor="text1"/>
          <w:sz w:val="24"/>
          <w14:textFill>
            <w14:solidFill>
              <w14:schemeClr w14:val="tx1"/>
            </w14:solidFill>
          </w14:textFill>
        </w:rPr>
        <w:t>钻芯前应预估灌浆料圆柱体样品的有效长度，宜选择在预估有效长度不小于50mm且内部浆料饱满的部位钻取</w:t>
      </w:r>
      <w:r>
        <w:rPr>
          <w:rFonts w:hint="eastAsia"/>
          <w:color w:val="000000" w:themeColor="text1"/>
          <w:sz w:val="24"/>
          <w14:textFill>
            <w14:solidFill>
              <w14:schemeClr w14:val="tx1"/>
            </w14:solidFill>
          </w14:textFill>
        </w:rPr>
        <w:t>；</w:t>
      </w:r>
    </w:p>
    <w:p>
      <w:pPr>
        <w:spacing w:line="360" w:lineRule="auto"/>
        <w:ind w:firstLine="481" w:firstLineChars="200"/>
        <w:rPr>
          <w:color w:val="000000"/>
          <w:sz w:val="24"/>
        </w:rPr>
      </w:pPr>
      <w:r>
        <w:rPr>
          <w:rFonts w:hint="eastAsia"/>
          <w:b/>
          <w:bCs/>
          <w:color w:val="000000"/>
          <w:sz w:val="24"/>
        </w:rPr>
        <w:t>2</w:t>
      </w:r>
      <w:r>
        <w:rPr>
          <w:color w:val="000000"/>
          <w:sz w:val="24"/>
        </w:rPr>
        <w:t xml:space="preserve">  应避开主筋、预埋管线，且不应损伤套筒；</w:t>
      </w:r>
    </w:p>
    <w:p>
      <w:pPr>
        <w:spacing w:line="360" w:lineRule="auto"/>
        <w:ind w:firstLine="481" w:firstLineChars="200"/>
        <w:rPr>
          <w:color w:val="000000" w:themeColor="text1"/>
          <w:sz w:val="24"/>
          <w14:textFill>
            <w14:solidFill>
              <w14:schemeClr w14:val="tx1"/>
            </w14:solidFill>
          </w14:textFill>
        </w:rPr>
      </w:pPr>
      <w:r>
        <w:rPr>
          <w:rFonts w:hint="eastAsia"/>
          <w:b/>
          <w:bCs/>
          <w:color w:val="000000"/>
          <w:sz w:val="24"/>
        </w:rPr>
        <w:t>3</w:t>
      </w:r>
      <w:r>
        <w:rPr>
          <w:color w:val="000000" w:themeColor="text1"/>
          <w:sz w:val="24"/>
          <w14:textFill>
            <w14:solidFill>
              <w14:schemeClr w14:val="tx1"/>
            </w14:solidFill>
          </w14:textFill>
        </w:rPr>
        <w:t xml:space="preserve">  宜沿着构件灌浆管轴线布设方向钻取；</w:t>
      </w:r>
    </w:p>
    <w:p>
      <w:pPr>
        <w:spacing w:line="360" w:lineRule="auto"/>
        <w:ind w:firstLine="481" w:firstLineChars="200"/>
        <w:rPr>
          <w:color w:val="000000"/>
          <w:sz w:val="24"/>
        </w:rPr>
      </w:pPr>
      <w:r>
        <w:rPr>
          <w:rFonts w:hint="eastAsia"/>
          <w:b/>
          <w:bCs/>
          <w:color w:val="000000"/>
          <w:sz w:val="24"/>
        </w:rPr>
        <w:t>4</w:t>
      </w:r>
      <w:r>
        <w:rPr>
          <w:color w:val="000000" w:themeColor="text1"/>
          <w:sz w:val="24"/>
          <w14:textFill>
            <w14:solidFill>
              <w14:schemeClr w14:val="tx1"/>
            </w14:solidFill>
          </w14:textFill>
        </w:rPr>
        <w:t xml:space="preserve">  当排浆管内浆料饱满时，可在构件出浆口沿着排浆管轴线布设方向钻取；当灌浆管直径大于排浆管直径时，宜在构件灌浆口沿着灌浆管轴线布</w:t>
      </w:r>
      <w:r>
        <w:rPr>
          <w:color w:val="000000"/>
          <w:sz w:val="24"/>
        </w:rPr>
        <w:t>设方向钻取；</w:t>
      </w:r>
    </w:p>
    <w:p>
      <w:pPr>
        <w:spacing w:line="360" w:lineRule="auto"/>
        <w:ind w:firstLine="481" w:firstLineChars="200"/>
        <w:rPr>
          <w:color w:val="000000"/>
          <w:sz w:val="24"/>
        </w:rPr>
      </w:pPr>
      <w:r>
        <w:rPr>
          <w:rFonts w:hint="eastAsia"/>
          <w:b/>
          <w:bCs/>
          <w:color w:val="000000"/>
          <w:sz w:val="24"/>
        </w:rPr>
        <w:t>5</w:t>
      </w:r>
      <w:r>
        <w:rPr>
          <w:b/>
          <w:bCs/>
          <w:color w:val="000000"/>
          <w:sz w:val="24"/>
        </w:rPr>
        <w:t xml:space="preserve">  </w:t>
      </w:r>
      <w:r>
        <w:rPr>
          <w:color w:val="000000"/>
          <w:sz w:val="24"/>
        </w:rPr>
        <w:t>在楼梯间的无</w:t>
      </w:r>
      <w:r>
        <w:rPr>
          <w:color w:val="000000" w:themeColor="text1"/>
          <w:sz w:val="24"/>
          <w14:textFill>
            <w14:solidFill>
              <w14:schemeClr w14:val="tx1"/>
            </w14:solidFill>
          </w14:textFill>
        </w:rPr>
        <w:t>楼盖部位，当采用连通腔灌浆法施工的竖向构件底部接缝层厚度不小于20mm时，可沿着竖向构件底部接缝处钻取</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当为外墙底部接缝时，应在室内一侧钻取</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应避开分仓料部位。</w:t>
      </w:r>
    </w:p>
    <w:p>
      <w:pPr>
        <w:pStyle w:val="66"/>
        <w:adjustRightInd w:val="0"/>
        <w:snapToGrid w:val="0"/>
        <w:spacing w:line="360" w:lineRule="auto"/>
        <w:ind w:firstLine="0" w:firstLineChars="0"/>
        <w:rPr>
          <w:rFonts w:ascii="Times New Roman" w:hAnsi="Times New Roman"/>
          <w:color w:val="000000"/>
        </w:rPr>
      </w:pPr>
      <w:r>
        <w:rPr>
          <w:rFonts w:ascii="Times New Roman" w:hAnsi="Times New Roman"/>
          <w:b/>
        </w:rPr>
        <w:t xml:space="preserve">E.2.4  </w:t>
      </w:r>
      <w:r>
        <w:rPr>
          <w:rFonts w:ascii="Times New Roman"/>
          <w:color w:val="000000"/>
        </w:rPr>
        <w:t>钻芯取样的操作应符合下列规定：</w:t>
      </w:r>
    </w:p>
    <w:p>
      <w:pPr>
        <w:spacing w:line="360" w:lineRule="auto"/>
        <w:ind w:firstLine="481" w:firstLineChars="200"/>
        <w:rPr>
          <w:color w:val="000000"/>
          <w:sz w:val="24"/>
        </w:rPr>
      </w:pPr>
      <w:r>
        <w:rPr>
          <w:b/>
          <w:bCs/>
          <w:color w:val="000000"/>
          <w:sz w:val="24"/>
        </w:rPr>
        <w:t>1</w:t>
      </w:r>
      <w:r>
        <w:rPr>
          <w:color w:val="000000"/>
          <w:sz w:val="24"/>
        </w:rPr>
        <w:t xml:space="preserve">  钻芯机就位后应固定平稳，钻芯机在未安装钻头之前，应先通电确认主轴的旋转方向与连接头旋转方向相同；</w:t>
      </w:r>
      <w:r>
        <w:rPr>
          <w:rFonts w:hint="eastAsia"/>
          <w:color w:val="000000"/>
          <w:sz w:val="24"/>
        </w:rPr>
        <w:t xml:space="preserve"> </w:t>
      </w:r>
    </w:p>
    <w:p>
      <w:pPr>
        <w:spacing w:line="360" w:lineRule="auto"/>
        <w:ind w:firstLine="481" w:firstLineChars="200"/>
        <w:rPr>
          <w:color w:val="000000"/>
          <w:sz w:val="24"/>
        </w:rPr>
      </w:pPr>
      <w:r>
        <w:rPr>
          <w:b/>
          <w:bCs/>
          <w:color w:val="000000"/>
          <w:sz w:val="24"/>
        </w:rPr>
        <w:t>2</w:t>
      </w:r>
      <w:r>
        <w:rPr>
          <w:color w:val="000000"/>
          <w:sz w:val="24"/>
        </w:rPr>
        <w:t xml:space="preserve">  钻取芯样时用于冷却钻头和排除混凝土碎屑的冷却水流量宜为2L/min～4L/min； </w:t>
      </w:r>
    </w:p>
    <w:p>
      <w:pPr>
        <w:spacing w:line="360" w:lineRule="auto"/>
        <w:ind w:firstLine="481"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3</w:t>
      </w:r>
      <w:r>
        <w:rPr>
          <w:color w:val="000000" w:themeColor="text1"/>
          <w:sz w:val="24"/>
          <w14:textFill>
            <w14:solidFill>
              <w14:schemeClr w14:val="tx1"/>
            </w14:solidFill>
          </w14:textFill>
        </w:rPr>
        <w:t xml:space="preserve">  取出内含灌浆料的混凝土芯样后，应选择不损伤灌浆料的切割方式取出内部的灌浆料圆柱体样品；对于底部接缝处的灌浆料样品，应剔除封边材料等非灌浆料部分</w:t>
      </w:r>
      <w:r>
        <w:rPr>
          <w:rFonts w:hint="eastAsia"/>
          <w:color w:val="000000" w:themeColor="text1"/>
          <w:sz w:val="24"/>
          <w14:textFill>
            <w14:solidFill>
              <w14:schemeClr w14:val="tx1"/>
            </w14:solidFill>
          </w14:textFill>
        </w:rPr>
        <w:t>；</w:t>
      </w:r>
    </w:p>
    <w:p>
      <w:pPr>
        <w:spacing w:line="360" w:lineRule="auto"/>
        <w:ind w:firstLine="481"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 xml:space="preserve">4  </w:t>
      </w:r>
      <w:r>
        <w:rPr>
          <w:color w:val="000000" w:themeColor="text1"/>
          <w:sz w:val="24"/>
          <w14:textFill>
            <w14:solidFill>
              <w14:schemeClr w14:val="tx1"/>
            </w14:solidFill>
          </w14:textFill>
        </w:rPr>
        <w:t>当灌浆料圆柱体样品的外观质量和尺寸不满足</w:t>
      </w:r>
      <w:r>
        <w:rPr>
          <w:rFonts w:hint="eastAsia"/>
          <w:color w:val="000000" w:themeColor="text1"/>
          <w:sz w:val="24"/>
          <w14:textFill>
            <w14:solidFill>
              <w14:schemeClr w14:val="tx1"/>
            </w14:solidFill>
          </w14:textFill>
        </w:rPr>
        <w:t>本标准</w:t>
      </w:r>
      <w:r>
        <w:rPr>
          <w:color w:val="000000" w:themeColor="text1"/>
          <w:sz w:val="24"/>
          <w14:textFill>
            <w14:solidFill>
              <w14:schemeClr w14:val="tx1"/>
            </w14:solidFill>
          </w14:textFill>
        </w:rPr>
        <w:t>第E.2.1条第5款的规定时，应重新选择位置钻取</w:t>
      </w:r>
      <w:r>
        <w:rPr>
          <w:rFonts w:hint="eastAsia"/>
          <w:color w:val="000000" w:themeColor="text1"/>
          <w:sz w:val="24"/>
          <w14:textFill>
            <w14:solidFill>
              <w14:schemeClr w14:val="tx1"/>
            </w14:solidFill>
          </w14:textFill>
        </w:rPr>
        <w:t>；</w:t>
      </w:r>
    </w:p>
    <w:p>
      <w:pPr>
        <w:spacing w:line="360" w:lineRule="auto"/>
        <w:ind w:firstLine="481" w:firstLineChars="200"/>
        <w:rPr>
          <w:color w:val="000000"/>
          <w:sz w:val="24"/>
        </w:rPr>
      </w:pPr>
      <w:r>
        <w:rPr>
          <w:b/>
          <w:color w:val="000000"/>
          <w:sz w:val="24"/>
        </w:rPr>
        <w:t xml:space="preserve">5  </w:t>
      </w:r>
      <w:r>
        <w:rPr>
          <w:color w:val="000000"/>
          <w:sz w:val="24"/>
        </w:rPr>
        <w:t>对钻芯后留下的孔洞应及时进行修补。</w:t>
      </w:r>
    </w:p>
    <w:p>
      <w:pPr>
        <w:pStyle w:val="66"/>
        <w:adjustRightInd w:val="0"/>
        <w:snapToGrid w:val="0"/>
        <w:spacing w:line="360" w:lineRule="auto"/>
        <w:ind w:firstLine="0" w:firstLineChars="0"/>
        <w:rPr>
          <w:rFonts w:ascii="Times New Roman" w:hAnsi="Times New Roman"/>
          <w:color w:val="FF0000"/>
        </w:rPr>
      </w:pPr>
      <w:r>
        <w:rPr>
          <w:rFonts w:ascii="Times New Roman" w:hAnsi="Times New Roman"/>
          <w:b/>
        </w:rPr>
        <w:t xml:space="preserve">E.2.5  </w:t>
      </w:r>
      <w:r>
        <w:rPr>
          <w:rFonts w:ascii="Times New Roman"/>
          <w:color w:val="000000" w:themeColor="text1"/>
          <w14:textFill>
            <w14:solidFill>
              <w14:schemeClr w14:val="tx1"/>
            </w14:solidFill>
          </w14:textFill>
        </w:rPr>
        <w:t>灌浆料圆柱体样品锯切宜采用双刀锯切设备，且锯切设备应具有牢固夹紧样品的装置，配套使用的锯片应有足够的刚度。</w:t>
      </w:r>
      <w:r>
        <w:rPr>
          <w:rFonts w:hint="eastAsia" w:ascii="Times New Roman"/>
          <w:color w:val="000000" w:themeColor="text1"/>
          <w14:textFill>
            <w14:solidFill>
              <w14:schemeClr w14:val="tx1"/>
            </w14:solidFill>
          </w14:textFill>
        </w:rPr>
        <w:t>加工后的</w:t>
      </w:r>
      <w:r>
        <w:rPr>
          <w:rFonts w:ascii="Times New Roman"/>
          <w:color w:val="000000" w:themeColor="text1"/>
          <w14:textFill>
            <w14:solidFill>
              <w14:schemeClr w14:val="tx1"/>
            </w14:solidFill>
          </w14:textFill>
        </w:rPr>
        <w:t>试件尺寸及质量应符合下列</w:t>
      </w:r>
      <w:r>
        <w:rPr>
          <w:rFonts w:hint="eastAsia" w:ascii="Times New Roman"/>
          <w:color w:val="000000" w:themeColor="text1"/>
          <w14:textFill>
            <w14:solidFill>
              <w14:schemeClr w14:val="tx1"/>
            </w14:solidFill>
          </w14:textFill>
        </w:rPr>
        <w:t>规定</w:t>
      </w:r>
      <w:r>
        <w:rPr>
          <w:rFonts w:ascii="Times New Roman"/>
          <w:color w:val="000000" w:themeColor="text1"/>
          <w14:textFill>
            <w14:solidFill>
              <w14:schemeClr w14:val="tx1"/>
            </w14:solidFill>
          </w14:textFill>
        </w:rPr>
        <w:t>：</w:t>
      </w:r>
      <w:r>
        <w:rPr>
          <w:rFonts w:ascii="Times New Roman" w:hAnsi="Times New Roman"/>
          <w:color w:val="FF0000"/>
        </w:rPr>
        <w:t xml:space="preserve"> </w:t>
      </w:r>
    </w:p>
    <w:p>
      <w:pPr>
        <w:spacing w:line="360" w:lineRule="auto"/>
        <w:ind w:firstLine="481" w:firstLineChars="200"/>
        <w:rPr>
          <w:sz w:val="24"/>
        </w:rPr>
      </w:pPr>
      <w:r>
        <w:rPr>
          <w:rFonts w:hint="eastAsia"/>
          <w:b/>
          <w:bCs/>
          <w:color w:val="000000"/>
          <w:sz w:val="24"/>
        </w:rPr>
        <w:t>1</w:t>
      </w:r>
      <w:r>
        <w:rPr>
          <w:b/>
          <w:bCs/>
          <w:color w:val="000000"/>
          <w:sz w:val="24"/>
        </w:rPr>
        <w:t xml:space="preserve"> </w:t>
      </w:r>
      <w:r>
        <w:rPr>
          <w:sz w:val="24"/>
        </w:rPr>
        <w:t xml:space="preserve"> 灌浆料圆柱体试件的高径比（H/d）应为0.95～1.05，一个圆柱体样品应只加工成一个试件</w:t>
      </w:r>
      <w:r>
        <w:rPr>
          <w:rFonts w:hint="eastAsia"/>
          <w:sz w:val="24"/>
        </w:rPr>
        <w:t>；</w:t>
      </w:r>
    </w:p>
    <w:p>
      <w:pPr>
        <w:spacing w:line="360" w:lineRule="auto"/>
        <w:ind w:firstLine="481" w:firstLineChars="200"/>
        <w:rPr>
          <w:color w:val="000000"/>
          <w:sz w:val="24"/>
        </w:rPr>
      </w:pPr>
      <w:r>
        <w:rPr>
          <w:rFonts w:hint="eastAsia"/>
          <w:b/>
          <w:bCs/>
          <w:color w:val="000000"/>
          <w:sz w:val="24"/>
        </w:rPr>
        <w:t>2</w:t>
      </w:r>
      <w:r>
        <w:rPr>
          <w:color w:val="000000"/>
          <w:sz w:val="24"/>
        </w:rPr>
        <w:t xml:space="preserve">  锯切后灌浆料圆柱体试件的两端面应平行且与轴线垂直，并应保证锯切端面平整光滑</w:t>
      </w:r>
      <w:r>
        <w:rPr>
          <w:rFonts w:hint="eastAsia"/>
          <w:color w:val="000000"/>
          <w:sz w:val="24"/>
        </w:rPr>
        <w:t>；</w:t>
      </w:r>
    </w:p>
    <w:p>
      <w:pPr>
        <w:spacing w:line="360" w:lineRule="auto"/>
        <w:ind w:firstLine="481" w:firstLineChars="200"/>
        <w:rPr>
          <w:sz w:val="24"/>
        </w:rPr>
      </w:pPr>
      <w:r>
        <w:rPr>
          <w:rFonts w:hint="eastAsia"/>
          <w:b/>
          <w:bCs/>
          <w:color w:val="000000"/>
          <w:sz w:val="24"/>
        </w:rPr>
        <w:t>3</w:t>
      </w:r>
      <w:r>
        <w:rPr>
          <w:sz w:val="24"/>
        </w:rPr>
        <w:t xml:space="preserve">  当端面不平整、不光滑、端面与轴线不垂直时，可采用磨平机对端面进行磨平处理，确保端面平整、光滑，且与圆柱体轴线垂直</w:t>
      </w:r>
      <w:r>
        <w:rPr>
          <w:rFonts w:hint="eastAsia"/>
          <w:sz w:val="24"/>
        </w:rPr>
        <w:t>；</w:t>
      </w:r>
    </w:p>
    <w:p>
      <w:pPr>
        <w:spacing w:line="360" w:lineRule="auto"/>
        <w:ind w:firstLine="481" w:firstLineChars="200"/>
        <w:rPr>
          <w:color w:val="FF0000"/>
          <w:sz w:val="24"/>
        </w:rPr>
      </w:pPr>
      <w:r>
        <w:rPr>
          <w:rFonts w:hint="eastAsia"/>
          <w:b/>
          <w:bCs/>
          <w:color w:val="000000" w:themeColor="text1"/>
          <w:sz w:val="24"/>
          <w14:textFill>
            <w14:solidFill>
              <w14:schemeClr w14:val="tx1"/>
            </w14:solidFill>
          </w14:textFill>
        </w:rPr>
        <w:t>4</w:t>
      </w:r>
      <w:r>
        <w:rPr>
          <w:b/>
          <w:bCs/>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对加工好的圆柱体试件</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应记录试件的编号、直径和高度。</w:t>
      </w:r>
    </w:p>
    <w:p>
      <w:pPr>
        <w:pStyle w:val="66"/>
        <w:adjustRightInd w:val="0"/>
        <w:snapToGrid w:val="0"/>
        <w:spacing w:line="360" w:lineRule="auto"/>
        <w:ind w:firstLine="0" w:firstLineChars="0"/>
        <w:rPr>
          <w:rFonts w:ascii="Times New Roman" w:hAnsi="Times New Roman"/>
          <w:color w:val="000000" w:themeColor="text1"/>
          <w14:textFill>
            <w14:solidFill>
              <w14:schemeClr w14:val="tx1"/>
            </w14:solidFill>
          </w14:textFill>
        </w:rPr>
      </w:pPr>
      <w:r>
        <w:rPr>
          <w:rFonts w:ascii="Times New Roman" w:hAnsi="Times New Roman"/>
          <w:b/>
        </w:rPr>
        <w:t xml:space="preserve">E.2.6  </w:t>
      </w:r>
      <w:r>
        <w:rPr>
          <w:rFonts w:ascii="Times New Roman"/>
          <w:color w:val="000000" w:themeColor="text1"/>
          <w14:textFill>
            <w14:solidFill>
              <w14:schemeClr w14:val="tx1"/>
            </w14:solidFill>
          </w14:textFill>
        </w:rPr>
        <w:t>在试验前应按下列规定测量灌浆料圆柱体试件的尺寸：</w:t>
      </w:r>
    </w:p>
    <w:p>
      <w:pPr>
        <w:spacing w:line="360" w:lineRule="auto"/>
        <w:ind w:firstLine="481" w:firstLineChars="200"/>
        <w:rPr>
          <w:color w:val="000000" w:themeColor="text1"/>
          <w:sz w:val="24"/>
          <w14:textFill>
            <w14:solidFill>
              <w14:schemeClr w14:val="tx1"/>
            </w14:solidFill>
          </w14:textFill>
        </w:rPr>
      </w:pPr>
      <w:r>
        <w:rPr>
          <w:b/>
          <w:bCs/>
          <w:color w:val="000000"/>
          <w:sz w:val="24"/>
        </w:rPr>
        <w:t>1</w:t>
      </w:r>
      <w:r>
        <w:rPr>
          <w:color w:val="000000" w:themeColor="text1"/>
          <w:sz w:val="24"/>
          <w14:textFill>
            <w14:solidFill>
              <w14:schemeClr w14:val="tx1"/>
            </w14:solidFill>
          </w14:textFill>
        </w:rPr>
        <w:t xml:space="preserve">  平均直径应采用游标卡尺</w:t>
      </w:r>
      <w:r>
        <w:rPr>
          <w:rFonts w:hint="eastAsia"/>
          <w:color w:val="000000" w:themeColor="text1"/>
          <w:sz w:val="24"/>
          <w14:textFill>
            <w14:solidFill>
              <w14:schemeClr w14:val="tx1"/>
            </w14:solidFill>
          </w14:textFill>
        </w:rPr>
        <w:t>进行测量，</w:t>
      </w:r>
      <w:r>
        <w:rPr>
          <w:color w:val="000000" w:themeColor="text1"/>
          <w:sz w:val="24"/>
          <w14:textFill>
            <w14:solidFill>
              <w14:schemeClr w14:val="tx1"/>
            </w14:solidFill>
          </w14:textFill>
        </w:rPr>
        <w:t>在圆柱体试件上部、中部和下部相互垂直的两个位置上共测量6次，取测量的算术平均值作为圆柱体试件的直径，精确至0.02mm；</w:t>
      </w:r>
    </w:p>
    <w:p>
      <w:pPr>
        <w:spacing w:line="360" w:lineRule="auto"/>
        <w:ind w:firstLine="481" w:firstLineChars="200"/>
        <w:rPr>
          <w:color w:val="000000" w:themeColor="text1"/>
          <w:sz w:val="24"/>
          <w14:textFill>
            <w14:solidFill>
              <w14:schemeClr w14:val="tx1"/>
            </w14:solidFill>
          </w14:textFill>
        </w:rPr>
      </w:pPr>
      <w:r>
        <w:rPr>
          <w:b/>
          <w:bCs/>
          <w:color w:val="000000"/>
          <w:sz w:val="24"/>
        </w:rPr>
        <w:t>2</w:t>
      </w:r>
      <w:r>
        <w:rPr>
          <w:color w:val="000000" w:themeColor="text1"/>
          <w:sz w:val="24"/>
          <w14:textFill>
            <w14:solidFill>
              <w14:schemeClr w14:val="tx1"/>
            </w14:solidFill>
          </w14:textFill>
        </w:rPr>
        <w:t xml:space="preserve">  圆柱体试件高度应采用游标卡尺进行测量，沿着圆周4等分，测量4处，取测量的算术平均值作为圆柱体试件的高度，精确至0.02mm；</w:t>
      </w:r>
    </w:p>
    <w:p>
      <w:pPr>
        <w:spacing w:line="360" w:lineRule="auto"/>
        <w:ind w:firstLine="481" w:firstLineChars="200"/>
        <w:rPr>
          <w:color w:val="000000" w:themeColor="text1"/>
          <w:sz w:val="24"/>
          <w14:textFill>
            <w14:solidFill>
              <w14:schemeClr w14:val="tx1"/>
            </w14:solidFill>
          </w14:textFill>
        </w:rPr>
      </w:pPr>
      <w:r>
        <w:rPr>
          <w:b/>
          <w:bCs/>
          <w:color w:val="000000"/>
          <w:sz w:val="24"/>
        </w:rPr>
        <w:t>3</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不</w:t>
      </w:r>
      <w:r>
        <w:rPr>
          <w:color w:val="000000" w:themeColor="text1"/>
          <w:sz w:val="24"/>
          <w14:textFill>
            <w14:solidFill>
              <w14:schemeClr w14:val="tx1"/>
            </w14:solidFill>
          </w14:textFill>
        </w:rPr>
        <w:t>垂直度应采用游标量角器测量圆柱体试件两个端面与母线的夹角，沿着圆周4等分，测量4处，计算所测夹角与直角90°的差值，取绝对值的最大值作为圆柱体试件的不垂直度，精确至2’；</w:t>
      </w:r>
    </w:p>
    <w:p>
      <w:pPr>
        <w:spacing w:line="360" w:lineRule="auto"/>
        <w:ind w:firstLine="481" w:firstLineChars="200"/>
        <w:rPr>
          <w:color w:val="000000" w:themeColor="text1"/>
          <w:sz w:val="24"/>
          <w14:textFill>
            <w14:solidFill>
              <w14:schemeClr w14:val="tx1"/>
            </w14:solidFill>
          </w14:textFill>
        </w:rPr>
      </w:pPr>
      <w:r>
        <w:rPr>
          <w:b/>
          <w:bCs/>
          <w:color w:val="000000"/>
          <w:sz w:val="24"/>
        </w:rPr>
        <w:t>4</w:t>
      </w:r>
      <w:r>
        <w:rPr>
          <w:color w:val="000000" w:themeColor="text1"/>
          <w:sz w:val="24"/>
          <w14:textFill>
            <w14:solidFill>
              <w14:schemeClr w14:val="tx1"/>
            </w14:solidFill>
          </w14:textFill>
        </w:rPr>
        <w:t xml:space="preserve">  可采用钢板尺或角尺紧靠在圆柱体试件承压面，一边转动尺子，一边用片状塞尺测量钢板尺或角尺与圆柱体试件承压面之间的缝隙，取最大间隙为圆柱体试件的端面平整度，精确至0.02mm。</w:t>
      </w:r>
    </w:p>
    <w:p>
      <w:pPr>
        <w:pStyle w:val="66"/>
        <w:adjustRightInd w:val="0"/>
        <w:snapToGrid w:val="0"/>
        <w:spacing w:line="360" w:lineRule="auto"/>
        <w:ind w:firstLine="0" w:firstLineChars="0"/>
        <w:rPr>
          <w:rFonts w:ascii="Times New Roman" w:hAnsi="Times New Roman"/>
          <w:color w:val="000000" w:themeColor="text1"/>
          <w14:textFill>
            <w14:solidFill>
              <w14:schemeClr w14:val="tx1"/>
            </w14:solidFill>
          </w14:textFill>
        </w:rPr>
      </w:pPr>
      <w:r>
        <w:rPr>
          <w:rFonts w:ascii="Times New Roman" w:hAnsi="Times New Roman"/>
          <w:b/>
        </w:rPr>
        <w:t xml:space="preserve">E.2.7  </w:t>
      </w:r>
      <w:r>
        <w:rPr>
          <w:rFonts w:ascii="Times New Roman"/>
          <w:color w:val="000000" w:themeColor="text1"/>
          <w14:textFill>
            <w14:solidFill>
              <w14:schemeClr w14:val="tx1"/>
            </w14:solidFill>
          </w14:textFill>
        </w:rPr>
        <w:t>灌浆料圆柱体试件出现下列情况时，对应的试件不宜进行试验：</w:t>
      </w:r>
    </w:p>
    <w:p>
      <w:pPr>
        <w:spacing w:line="360" w:lineRule="auto"/>
        <w:ind w:firstLine="481" w:firstLineChars="200"/>
        <w:rPr>
          <w:sz w:val="24"/>
        </w:rPr>
      </w:pPr>
      <w:r>
        <w:rPr>
          <w:b/>
          <w:bCs/>
          <w:color w:val="000000"/>
          <w:sz w:val="24"/>
        </w:rPr>
        <w:t>1</w:t>
      </w:r>
      <w:r>
        <w:rPr>
          <w:sz w:val="24"/>
        </w:rPr>
        <w:t xml:space="preserve">  试件的实际高径比小于0.95或者大于1.05；</w:t>
      </w:r>
    </w:p>
    <w:p>
      <w:pPr>
        <w:spacing w:line="360" w:lineRule="auto"/>
        <w:ind w:firstLine="481" w:firstLineChars="200"/>
        <w:rPr>
          <w:color w:val="000000" w:themeColor="text1"/>
          <w:sz w:val="24"/>
          <w14:textFill>
            <w14:solidFill>
              <w14:schemeClr w14:val="tx1"/>
            </w14:solidFill>
          </w14:textFill>
        </w:rPr>
      </w:pPr>
      <w:r>
        <w:rPr>
          <w:b/>
          <w:bCs/>
          <w:color w:val="000000"/>
          <w:sz w:val="24"/>
        </w:rPr>
        <w:t>2</w:t>
      </w:r>
      <w:r>
        <w:rPr>
          <w:color w:val="000000" w:themeColor="text1"/>
          <w:sz w:val="24"/>
          <w14:textFill>
            <w14:solidFill>
              <w14:schemeClr w14:val="tx1"/>
            </w14:solidFill>
          </w14:textFill>
        </w:rPr>
        <w:t xml:space="preserve">  试件端面与轴线的垂直度偏差超过20’；</w:t>
      </w:r>
    </w:p>
    <w:p>
      <w:pPr>
        <w:spacing w:line="360" w:lineRule="auto"/>
        <w:ind w:firstLine="481" w:firstLineChars="200"/>
        <w:rPr>
          <w:color w:val="FF0000"/>
          <w:sz w:val="24"/>
        </w:rPr>
      </w:pPr>
      <w:r>
        <w:rPr>
          <w:b/>
          <w:bCs/>
          <w:color w:val="000000"/>
          <w:sz w:val="24"/>
        </w:rPr>
        <w:t>3</w:t>
      </w:r>
      <w:r>
        <w:rPr>
          <w:color w:val="000000" w:themeColor="text1"/>
          <w:sz w:val="24"/>
          <w14:textFill>
            <w14:solidFill>
              <w14:schemeClr w14:val="tx1"/>
            </w14:solidFill>
          </w14:textFill>
        </w:rPr>
        <w:t xml:space="preserve">  试件端面平整度在直径尺寸范围内超过0.02mm；</w:t>
      </w:r>
    </w:p>
    <w:p>
      <w:pPr>
        <w:spacing w:line="360" w:lineRule="auto"/>
        <w:ind w:firstLine="481" w:firstLineChars="200"/>
        <w:rPr>
          <w:sz w:val="24"/>
        </w:rPr>
      </w:pPr>
      <w:r>
        <w:rPr>
          <w:b/>
          <w:bCs/>
          <w:color w:val="000000"/>
          <w:sz w:val="24"/>
        </w:rPr>
        <w:t>4</w:t>
      </w:r>
      <w:r>
        <w:rPr>
          <w:sz w:val="24"/>
        </w:rPr>
        <w:t xml:space="preserve">  沿圆柱体试件高度的任一直径与平均直径相差超过1.0mm；</w:t>
      </w:r>
    </w:p>
    <w:p>
      <w:pPr>
        <w:pStyle w:val="66"/>
        <w:numPr>
          <w:ilvl w:val="0"/>
          <w:numId w:val="3"/>
        </w:numPr>
        <w:spacing w:line="360" w:lineRule="auto"/>
        <w:ind w:firstLineChars="0"/>
        <w:rPr>
          <w:rFonts w:ascii="Times New Roman" w:hAnsi="Times New Roman"/>
          <w:color w:val="000000"/>
        </w:rPr>
      </w:pPr>
      <w:r>
        <w:rPr>
          <w:rFonts w:ascii="Times New Roman"/>
        </w:rPr>
        <w:t>试件</w:t>
      </w:r>
      <w:r>
        <w:rPr>
          <w:rFonts w:ascii="Times New Roman"/>
          <w:color w:val="000000" w:themeColor="text1"/>
          <w14:textFill>
            <w14:solidFill>
              <w14:schemeClr w14:val="tx1"/>
            </w14:solidFill>
          </w14:textFill>
        </w:rPr>
        <w:t>有明显缺陷。</w:t>
      </w:r>
    </w:p>
    <w:p>
      <w:pPr>
        <w:pStyle w:val="66"/>
        <w:spacing w:line="360" w:lineRule="auto"/>
        <w:ind w:firstLine="0" w:firstLineChars="0"/>
        <w:jc w:val="center"/>
        <w:rPr>
          <w:rFonts w:ascii="Times New Roman" w:hAnsi="Times New Roman"/>
          <w:b/>
        </w:rPr>
      </w:pPr>
      <w:r>
        <w:rPr>
          <w:rFonts w:ascii="Times New Roman" w:hAnsi="Times New Roman"/>
          <w:b/>
        </w:rPr>
        <w:t>E.3  试验与抗压强度推定</w:t>
      </w:r>
    </w:p>
    <w:p>
      <w:pPr>
        <w:adjustRightInd w:val="0"/>
        <w:snapToGrid w:val="0"/>
        <w:spacing w:line="360" w:lineRule="auto"/>
        <w:rPr>
          <w:color w:val="000000" w:themeColor="text1"/>
          <w:sz w:val="24"/>
          <w14:textFill>
            <w14:solidFill>
              <w14:schemeClr w14:val="tx1"/>
            </w14:solidFill>
          </w14:textFill>
        </w:rPr>
      </w:pPr>
      <w:r>
        <w:rPr>
          <w:b/>
          <w:bCs/>
          <w:color w:val="000000" w:themeColor="text1"/>
          <w:sz w:val="24"/>
          <w14:textFill>
            <w14:solidFill>
              <w14:schemeClr w14:val="tx1"/>
            </w14:solidFill>
          </w14:textFill>
        </w:rPr>
        <w:t xml:space="preserve">E.3.1 </w:t>
      </w:r>
      <w:r>
        <w:rPr>
          <w:rFonts w:hint="eastAsia"/>
          <w:b/>
          <w:bCs/>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灌浆料圆柱体试件抗压强度试验采用的压力试验机应符合下列规定：</w:t>
      </w:r>
    </w:p>
    <w:p>
      <w:pPr>
        <w:adjustRightInd w:val="0"/>
        <w:snapToGrid w:val="0"/>
        <w:spacing w:line="360" w:lineRule="auto"/>
        <w:ind w:firstLine="481"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1</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压力试验机应符合现行国家标准《电子式万能试验机》GB/T 16491或《液压式万能试验机》GB/T 3159的有关规定； </w:t>
      </w:r>
    </w:p>
    <w:p>
      <w:pPr>
        <w:adjustRightInd w:val="0"/>
        <w:snapToGrid w:val="0"/>
        <w:spacing w:line="360" w:lineRule="auto"/>
        <w:ind w:firstLine="481"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2</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压力试验机的示值相对允许误差应为±1%；</w:t>
      </w:r>
    </w:p>
    <w:p>
      <w:pPr>
        <w:adjustRightInd w:val="0"/>
        <w:snapToGrid w:val="0"/>
        <w:spacing w:line="360" w:lineRule="auto"/>
        <w:ind w:firstLine="481"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3</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 xml:space="preserve"> 圆柱体</w:t>
      </w:r>
      <w:r>
        <w:rPr>
          <w:color w:val="000000" w:themeColor="text1"/>
          <w:sz w:val="24"/>
          <w14:textFill>
            <w14:solidFill>
              <w14:schemeClr w14:val="tx1"/>
            </w14:solidFill>
          </w14:textFill>
        </w:rPr>
        <w:t>试件</w:t>
      </w:r>
      <w:r>
        <w:rPr>
          <w:rFonts w:hint="eastAsia"/>
          <w:color w:val="000000" w:themeColor="text1"/>
          <w:sz w:val="24"/>
          <w14:textFill>
            <w14:solidFill>
              <w14:schemeClr w14:val="tx1"/>
            </w14:solidFill>
          </w14:textFill>
        </w:rPr>
        <w:t>抗压</w:t>
      </w:r>
      <w:r>
        <w:rPr>
          <w:color w:val="000000" w:themeColor="text1"/>
          <w:sz w:val="24"/>
          <w14:textFill>
            <w14:solidFill>
              <w14:schemeClr w14:val="tx1"/>
            </w14:solidFill>
          </w14:textFill>
        </w:rPr>
        <w:t>破坏荷载宜</w:t>
      </w:r>
      <w:r>
        <w:rPr>
          <w:rFonts w:hint="eastAsia"/>
          <w:color w:val="000000" w:themeColor="text1"/>
          <w:sz w:val="24"/>
          <w14:textFill>
            <w14:solidFill>
              <w14:schemeClr w14:val="tx1"/>
            </w14:solidFill>
          </w14:textFill>
        </w:rPr>
        <w:t>为</w:t>
      </w:r>
      <w:r>
        <w:rPr>
          <w:color w:val="000000" w:themeColor="text1"/>
          <w:sz w:val="24"/>
          <w14:textFill>
            <w14:solidFill>
              <w14:schemeClr w14:val="tx1"/>
            </w14:solidFill>
          </w14:textFill>
        </w:rPr>
        <w:t>压力试验机全量程的20%～80%；</w:t>
      </w:r>
    </w:p>
    <w:p>
      <w:pPr>
        <w:adjustRightInd w:val="0"/>
        <w:snapToGrid w:val="0"/>
        <w:spacing w:line="360" w:lineRule="auto"/>
        <w:ind w:firstLine="481"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4</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压力试验机应具有加荷速度指示装置或加荷速度控制装置，并应能均匀、连续地加荷；</w:t>
      </w:r>
    </w:p>
    <w:p>
      <w:pPr>
        <w:adjustRightInd w:val="0"/>
        <w:snapToGrid w:val="0"/>
        <w:spacing w:line="360" w:lineRule="auto"/>
        <w:ind w:firstLine="481"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5</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当试验机的上、下压板中心有磨损、不平整时，应在上、下压板与试件之间垫钢垫板或采用专用夹具；</w:t>
      </w:r>
    </w:p>
    <w:p>
      <w:pPr>
        <w:adjustRightInd w:val="0"/>
        <w:snapToGrid w:val="0"/>
        <w:spacing w:line="360" w:lineRule="auto"/>
        <w:ind w:firstLine="481"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6</w:t>
      </w:r>
      <w:r>
        <w:rPr>
          <w:b/>
          <w:bCs/>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试件周围应设置防崩裂网罩。</w:t>
      </w:r>
    </w:p>
    <w:p>
      <w:pPr>
        <w:adjustRightInd w:val="0"/>
        <w:snapToGrid w:val="0"/>
        <w:spacing w:line="360" w:lineRule="auto"/>
        <w:rPr>
          <w:color w:val="000000" w:themeColor="text1"/>
          <w:sz w:val="24"/>
          <w14:textFill>
            <w14:solidFill>
              <w14:schemeClr w14:val="tx1"/>
            </w14:solidFill>
          </w14:textFill>
        </w:rPr>
      </w:pPr>
      <w:r>
        <w:rPr>
          <w:b/>
          <w:bCs/>
          <w:color w:val="000000" w:themeColor="text1"/>
          <w:sz w:val="24"/>
          <w14:textFill>
            <w14:solidFill>
              <w14:schemeClr w14:val="tx1"/>
            </w14:solidFill>
          </w14:textFill>
        </w:rPr>
        <w:t xml:space="preserve">E.3.2 </w:t>
      </w:r>
      <w:r>
        <w:rPr>
          <w:rFonts w:hint="eastAsia"/>
          <w:b/>
          <w:bCs/>
          <w:color w:val="000000" w:themeColor="text1"/>
          <w:sz w:val="24"/>
          <w14:textFill>
            <w14:solidFill>
              <w14:schemeClr w14:val="tx1"/>
            </w14:solidFill>
          </w14:textFill>
        </w:rPr>
        <w:t xml:space="preserve"> </w:t>
      </w:r>
      <w:r>
        <w:rPr>
          <w:rFonts w:hint="eastAsia"/>
          <w:color w:val="000000"/>
          <w:sz w:val="24"/>
        </w:rPr>
        <w:t>灌浆料圆柱体试件</w:t>
      </w:r>
      <w:r>
        <w:rPr>
          <w:color w:val="000000"/>
          <w:sz w:val="24"/>
        </w:rPr>
        <w:t>应在自然干燥状态下进行抗压强度试验，</w:t>
      </w:r>
      <w:r>
        <w:rPr>
          <w:color w:val="000000" w:themeColor="text1"/>
          <w:sz w:val="24"/>
          <w14:textFill>
            <w14:solidFill>
              <w14:schemeClr w14:val="tx1"/>
            </w14:solidFill>
          </w14:textFill>
        </w:rPr>
        <w:t xml:space="preserve">并应按下列步骤进行： </w:t>
      </w:r>
    </w:p>
    <w:p>
      <w:pPr>
        <w:adjustRightInd w:val="0"/>
        <w:snapToGrid w:val="0"/>
        <w:spacing w:line="360" w:lineRule="auto"/>
        <w:ind w:firstLine="481" w:firstLineChars="200"/>
        <w:rPr>
          <w:color w:val="000000" w:themeColor="text1"/>
          <w:sz w:val="24"/>
          <w14:textFill>
            <w14:solidFill>
              <w14:schemeClr w14:val="tx1"/>
            </w14:solidFill>
          </w14:textFill>
        </w:rPr>
      </w:pPr>
      <w:r>
        <w:rPr>
          <w:b/>
          <w:bCs/>
          <w:color w:val="000000"/>
          <w:sz w:val="24"/>
        </w:rPr>
        <w:t>1</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试验前应将圆柱体试件表面、承压板、钢垫板或专用夹具清理干净；</w:t>
      </w:r>
    </w:p>
    <w:p>
      <w:pPr>
        <w:adjustRightInd w:val="0"/>
        <w:snapToGrid w:val="0"/>
        <w:spacing w:line="360" w:lineRule="auto"/>
        <w:ind w:firstLine="481"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2</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圆柱体试件的两个端面为加荷受压面；</w:t>
      </w:r>
    </w:p>
    <w:p>
      <w:pPr>
        <w:adjustRightInd w:val="0"/>
        <w:snapToGrid w:val="0"/>
        <w:spacing w:line="360" w:lineRule="auto"/>
        <w:ind w:firstLine="481"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3</w:t>
      </w:r>
      <w:r>
        <w:rPr>
          <w:rFonts w:hint="eastAsia"/>
          <w:b/>
          <w:bCs/>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 将试件放置在试验机的下压板或者钢垫板上，圆柱体试件端面的中心应与试验机下压板中心对准，中心偏差应控制在0.5mm以内；</w:t>
      </w:r>
    </w:p>
    <w:p>
      <w:pPr>
        <w:adjustRightInd w:val="0"/>
        <w:snapToGrid w:val="0"/>
        <w:spacing w:line="360" w:lineRule="auto"/>
        <w:ind w:firstLine="481"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4</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开动试验机，当上压板与试件或钢垫板接近时，调整球座，使接触均衡；</w:t>
      </w:r>
    </w:p>
    <w:p>
      <w:pPr>
        <w:adjustRightInd w:val="0"/>
        <w:snapToGrid w:val="0"/>
        <w:spacing w:line="360" w:lineRule="auto"/>
        <w:ind w:firstLine="481"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5</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应连续</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均匀加荷，加荷速</w:t>
      </w:r>
      <w:r>
        <w:rPr>
          <w:rFonts w:hint="eastAsia"/>
          <w:color w:val="000000" w:themeColor="text1"/>
          <w:sz w:val="24"/>
          <w14:textFill>
            <w14:solidFill>
              <w14:schemeClr w14:val="tx1"/>
            </w14:solidFill>
          </w14:textFill>
        </w:rPr>
        <w:t>度应</w:t>
      </w:r>
      <w:r>
        <w:rPr>
          <w:color w:val="000000" w:themeColor="text1"/>
          <w:sz w:val="24"/>
          <w14:textFill>
            <w14:solidFill>
              <w14:schemeClr w14:val="tx1"/>
            </w14:solidFill>
          </w14:textFill>
        </w:rPr>
        <w:t>控制在</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1.5±0.15</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 xml:space="preserve">MPa/s； </w:t>
      </w:r>
    </w:p>
    <w:p>
      <w:pPr>
        <w:adjustRightInd w:val="0"/>
        <w:snapToGrid w:val="0"/>
        <w:spacing w:line="360" w:lineRule="auto"/>
        <w:ind w:firstLine="481"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6</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当试件接近破坏开始急剧变形时，应停止调整试验机油门，直至破坏，记录破坏荷载和试件破坏形态。</w:t>
      </w:r>
    </w:p>
    <w:p>
      <w:pPr>
        <w:adjustRightInd w:val="0"/>
        <w:snapToGrid w:val="0"/>
        <w:spacing w:line="360" w:lineRule="auto"/>
        <w:rPr>
          <w:color w:val="000000" w:themeColor="text1"/>
          <w:sz w:val="24"/>
          <w14:textFill>
            <w14:solidFill>
              <w14:schemeClr w14:val="tx1"/>
            </w14:solidFill>
          </w14:textFill>
        </w:rPr>
      </w:pPr>
      <w:r>
        <w:rPr>
          <w:b/>
          <w:bCs/>
          <w:color w:val="000000" w:themeColor="text1"/>
          <w:sz w:val="24"/>
          <w14:textFill>
            <w14:solidFill>
              <w14:schemeClr w14:val="tx1"/>
            </w14:solidFill>
          </w14:textFill>
        </w:rPr>
        <w:t xml:space="preserve">E.3.3 </w:t>
      </w:r>
      <w:r>
        <w:rPr>
          <w:rFonts w:hint="eastAsia"/>
          <w:b/>
          <w:bCs/>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灌浆料圆柱体试件抗压强度试验值应按下式计算： </w:t>
      </w:r>
    </w:p>
    <w:p>
      <w:pPr>
        <w:adjustRightInd w:val="0"/>
        <w:snapToGrid w:val="0"/>
        <w:spacing w:line="360" w:lineRule="auto"/>
        <w:jc w:val="right"/>
        <w:rPr>
          <w:color w:val="000000" w:themeColor="text1"/>
          <w:sz w:val="24"/>
          <w14:textFill>
            <w14:solidFill>
              <w14:schemeClr w14:val="tx1"/>
            </w14:solidFill>
          </w14:textFill>
        </w:rPr>
      </w:pPr>
      <w:bookmarkStart w:id="140" w:name="_Hlk119936967"/>
      <w:r>
        <w:rPr>
          <w:color w:val="000000" w:themeColor="text1"/>
          <w:position w:val="-32"/>
          <w:sz w:val="24"/>
          <w14:textFill>
            <w14:solidFill>
              <w14:schemeClr w14:val="tx1"/>
            </w14:solidFill>
          </w14:textFill>
        </w:rPr>
        <w:object>
          <v:shape id="_x0000_i1096" o:spt="75" type="#_x0000_t75" style="height:36.3pt;width:49.55pt;" o:ole="t" filled="f" o:preferrelative="t" stroked="f" coordsize="21600,21600">
            <v:path/>
            <v:fill on="f" focussize="0,0"/>
            <v:stroke on="f" joinstyle="miter"/>
            <v:imagedata r:id="rId143" o:title=""/>
            <o:lock v:ext="edit" aspectratio="t"/>
            <w10:wrap type="none"/>
            <w10:anchorlock/>
          </v:shape>
          <o:OLEObject Type="Embed" ProgID="Equation.DSMT4" ShapeID="_x0000_i1096" DrawAspect="Content" ObjectID="_1468075796" r:id="rId142">
            <o:LockedField>false</o:LockedField>
          </o:OLEObject>
        </w:object>
      </w:r>
      <w:r>
        <w:rPr>
          <w:color w:val="000000" w:themeColor="text1"/>
          <w:sz w:val="24"/>
          <w14:textFill>
            <w14:solidFill>
              <w14:schemeClr w14:val="tx1"/>
            </w14:solidFill>
          </w14:textFill>
        </w:rPr>
        <w:t xml:space="preserve">                      （</w:t>
      </w:r>
      <w:r>
        <w:rPr>
          <w:bCs/>
          <w:color w:val="000000" w:themeColor="text1"/>
          <w:sz w:val="24"/>
          <w14:textFill>
            <w14:solidFill>
              <w14:schemeClr w14:val="tx1"/>
            </w14:solidFill>
          </w14:textFill>
        </w:rPr>
        <w:t>E.3.3</w:t>
      </w:r>
      <w:r>
        <w:rPr>
          <w:color w:val="000000" w:themeColor="text1"/>
          <w:sz w:val="24"/>
          <w14:textFill>
            <w14:solidFill>
              <w14:schemeClr w14:val="tx1"/>
            </w14:solidFill>
          </w14:textFill>
        </w:rPr>
        <w:t>）</w:t>
      </w:r>
    </w:p>
    <w:p>
      <w:pPr>
        <w:adjustRightInd w:val="0"/>
        <w:snapToGrid w:val="0"/>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式中：</w:t>
      </w:r>
      <w:r>
        <w:rPr>
          <w:color w:val="000000" w:themeColor="text1"/>
          <w:position w:val="-14"/>
          <w:sz w:val="24"/>
          <w14:textFill>
            <w14:solidFill>
              <w14:schemeClr w14:val="tx1"/>
            </w14:solidFill>
          </w14:textFill>
        </w:rPr>
        <w:object>
          <v:shape id="_x0000_i1097" o:spt="75" type="#_x0000_t75" style="height:19.6pt;width:17.3pt;" o:ole="t" filled="f" o:preferrelative="t" stroked="f" coordsize="21600,21600">
            <v:path/>
            <v:fill on="f" focussize="0,0"/>
            <v:stroke on="f" joinstyle="miter"/>
            <v:imagedata r:id="rId145" o:title=""/>
            <o:lock v:ext="edit" aspectratio="t"/>
            <w10:wrap type="none"/>
            <w10:anchorlock/>
          </v:shape>
          <o:OLEObject Type="Embed" ProgID="Equation.DSMT4" ShapeID="_x0000_i1097" DrawAspect="Content" ObjectID="_1468075797" r:id="rId144">
            <o:LockedField>false</o:LockedField>
          </o:OLEObject>
        </w:object>
      </w:r>
      <w:r>
        <w:rPr>
          <w:color w:val="000000" w:themeColor="text1"/>
          <w:sz w:val="24"/>
          <w14:textFill>
            <w14:solidFill>
              <w14:schemeClr w14:val="tx1"/>
            </w14:solidFill>
          </w14:textFill>
        </w:rPr>
        <w:t>——灌浆料圆柱体试件抗压强度试验值（MPa），</w:t>
      </w:r>
      <w:r>
        <w:rPr>
          <w:rFonts w:hint="eastAsia"/>
          <w:color w:val="000000" w:themeColor="text1"/>
          <w:sz w:val="24"/>
          <w14:textFill>
            <w14:solidFill>
              <w14:schemeClr w14:val="tx1"/>
            </w14:solidFill>
          </w14:textFill>
        </w:rPr>
        <w:t>应</w:t>
      </w:r>
      <w:r>
        <w:rPr>
          <w:color w:val="000000" w:themeColor="text1"/>
          <w:sz w:val="24"/>
          <w14:textFill>
            <w14:solidFill>
              <w14:schemeClr w14:val="tx1"/>
            </w14:solidFill>
          </w14:textFill>
        </w:rPr>
        <w:t>精确至0.1MPa；</w:t>
      </w:r>
    </w:p>
    <w:p>
      <w:pPr>
        <w:adjustRightInd w:val="0"/>
        <w:snapToGrid w:val="0"/>
        <w:spacing w:line="360" w:lineRule="auto"/>
        <w:ind w:firstLine="720" w:firstLineChars="300"/>
        <w:rPr>
          <w:color w:val="000000" w:themeColor="text1"/>
          <w:sz w:val="24"/>
          <w14:textFill>
            <w14:solidFill>
              <w14:schemeClr w14:val="tx1"/>
            </w14:solidFill>
          </w14:textFill>
        </w:rPr>
      </w:pPr>
      <w:r>
        <w:rPr>
          <w:color w:val="000000" w:themeColor="text1"/>
          <w:position w:val="-14"/>
          <w:sz w:val="24"/>
          <w14:textFill>
            <w14:solidFill>
              <w14:schemeClr w14:val="tx1"/>
            </w14:solidFill>
          </w14:textFill>
        </w:rPr>
        <w:object>
          <v:shape id="_x0000_i1098" o:spt="75" type="#_x0000_t75" style="height:19.6pt;width:19.6pt;" o:ole="t" filled="f" o:preferrelative="t" stroked="f" coordsize="21600,21600">
            <v:path/>
            <v:fill on="f" focussize="0,0"/>
            <v:stroke on="f" joinstyle="miter"/>
            <v:imagedata r:id="rId147" o:title=""/>
            <o:lock v:ext="edit" aspectratio="t"/>
            <w10:wrap type="none"/>
            <w10:anchorlock/>
          </v:shape>
          <o:OLEObject Type="Embed" ProgID="Equation.DSMT4" ShapeID="_x0000_i1098" DrawAspect="Content" ObjectID="_1468075798" r:id="rId146">
            <o:LockedField>false</o:LockedField>
          </o:OLEObject>
        </w:objec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灌浆料圆柱体试件抗压强度试验的破坏荷载值（</w:t>
      </w:r>
      <w:r>
        <w:rPr>
          <w:color w:val="000000" w:themeColor="text1"/>
          <w:sz w:val="24"/>
          <w14:textFill>
            <w14:solidFill>
              <w14:schemeClr w14:val="tx1"/>
            </w14:solidFill>
          </w14:textFill>
        </w:rPr>
        <w:t>N</w:t>
      </w:r>
      <w:r>
        <w:rPr>
          <w:rFonts w:hint="eastAsia"/>
          <w:color w:val="000000" w:themeColor="text1"/>
          <w:sz w:val="24"/>
          <w14:textFill>
            <w14:solidFill>
              <w14:schemeClr w14:val="tx1"/>
            </w14:solidFill>
          </w14:textFill>
        </w:rPr>
        <w:t>）；</w:t>
      </w:r>
    </w:p>
    <w:p>
      <w:pPr>
        <w:adjustRightInd w:val="0"/>
        <w:snapToGrid w:val="0"/>
        <w:spacing w:line="360" w:lineRule="auto"/>
        <w:ind w:firstLine="720" w:firstLineChars="300"/>
        <w:rPr>
          <w:color w:val="000000" w:themeColor="text1"/>
          <w:sz w:val="24"/>
          <w14:textFill>
            <w14:solidFill>
              <w14:schemeClr w14:val="tx1"/>
            </w14:solidFill>
          </w14:textFill>
        </w:rPr>
      </w:pPr>
      <w:r>
        <w:rPr>
          <w:color w:val="000000" w:themeColor="text1"/>
          <w:position w:val="-14"/>
          <w:sz w:val="24"/>
          <w14:textFill>
            <w14:solidFill>
              <w14:schemeClr w14:val="tx1"/>
            </w14:solidFill>
          </w14:textFill>
        </w:rPr>
        <w:object>
          <v:shape id="_x0000_i1099" o:spt="75" type="#_x0000_t75" style="height:19.6pt;width:19.6pt;" o:ole="t" filled="f" o:preferrelative="t" stroked="f" coordsize="21600,21600">
            <v:path/>
            <v:fill on="f" focussize="0,0"/>
            <v:stroke on="f" joinstyle="miter"/>
            <v:imagedata r:id="rId149" o:title=""/>
            <o:lock v:ext="edit" aspectratio="t"/>
            <w10:wrap type="none"/>
            <w10:anchorlock/>
          </v:shape>
          <o:OLEObject Type="Embed" ProgID="Equation.DSMT4" ShapeID="_x0000_i1099" DrawAspect="Content" ObjectID="_1468075799" r:id="rId148">
            <o:LockedField>false</o:LockedField>
          </o:OLEObject>
        </w:object>
      </w:r>
      <w:r>
        <w:rPr>
          <w:color w:val="000000" w:themeColor="text1"/>
          <w:sz w:val="24"/>
          <w14:textFill>
            <w14:solidFill>
              <w14:schemeClr w14:val="tx1"/>
            </w14:solidFill>
          </w14:textFill>
        </w:rPr>
        <w:t>——灌浆料圆柱体试件抗压横截面面积（mm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w:t>
      </w:r>
    </w:p>
    <w:p>
      <w:pPr>
        <w:adjustRightInd w:val="0"/>
        <w:snapToGrid w:val="0"/>
        <w:spacing w:line="360" w:lineRule="auto"/>
        <w:rPr>
          <w:color w:val="000000" w:themeColor="text1"/>
          <w:sz w:val="24"/>
          <w14:textFill>
            <w14:solidFill>
              <w14:schemeClr w14:val="tx1"/>
            </w14:solidFill>
          </w14:textFill>
        </w:rPr>
      </w:pPr>
      <w:r>
        <w:rPr>
          <w:b/>
          <w:bCs/>
          <w:color w:val="000000" w:themeColor="text1"/>
          <w:sz w:val="24"/>
          <w14:textFill>
            <w14:solidFill>
              <w14:schemeClr w14:val="tx1"/>
            </w14:solidFill>
          </w14:textFill>
        </w:rPr>
        <w:t xml:space="preserve">E.3.4 </w:t>
      </w:r>
      <w:r>
        <w:rPr>
          <w:rFonts w:hint="eastAsia"/>
          <w:b/>
          <w:bCs/>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灌浆料抗压强度换算值可按下式计算： </w:t>
      </w:r>
    </w:p>
    <w:p>
      <w:pPr>
        <w:adjustRightInd w:val="0"/>
        <w:snapToGrid w:val="0"/>
        <w:spacing w:line="360" w:lineRule="auto"/>
        <w:jc w:val="right"/>
        <w:rPr>
          <w:color w:val="000000" w:themeColor="text1"/>
          <w:sz w:val="24"/>
          <w14:textFill>
            <w14:solidFill>
              <w14:schemeClr w14:val="tx1"/>
            </w14:solidFill>
          </w14:textFill>
        </w:rPr>
      </w:pPr>
      <w:r>
        <w:rPr>
          <w:color w:val="000000" w:themeColor="text1"/>
          <w:position w:val="-14"/>
          <w:sz w:val="24"/>
          <w14:textFill>
            <w14:solidFill>
              <w14:schemeClr w14:val="tx1"/>
            </w14:solidFill>
          </w14:textFill>
        </w:rPr>
        <w:object>
          <v:shape id="_x0000_i1100" o:spt="75" type="#_x0000_t75" style="height:19.6pt;width:69.1pt;" o:ole="t" filled="f" o:preferrelative="t" stroked="f" coordsize="21600,21600">
            <v:path/>
            <v:fill on="f" focussize="0,0"/>
            <v:stroke on="f" joinstyle="miter"/>
            <v:imagedata r:id="rId151" o:title=""/>
            <o:lock v:ext="edit" aspectratio="t"/>
            <w10:wrap type="none"/>
            <w10:anchorlock/>
          </v:shape>
          <o:OLEObject Type="Embed" ProgID="Equation.DSMT4" ShapeID="_x0000_i1100" DrawAspect="Content" ObjectID="_1468075800" r:id="rId150">
            <o:LockedField>false</o:LockedField>
          </o:OLEObject>
        </w:objec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            （</w:t>
      </w:r>
      <w:r>
        <w:rPr>
          <w:bCs/>
          <w:color w:val="000000" w:themeColor="text1"/>
          <w:sz w:val="24"/>
          <w14:textFill>
            <w14:solidFill>
              <w14:schemeClr w14:val="tx1"/>
            </w14:solidFill>
          </w14:textFill>
        </w:rPr>
        <w:t>E.3.4</w:t>
      </w:r>
      <w:r>
        <w:rPr>
          <w:color w:val="000000" w:themeColor="text1"/>
          <w:sz w:val="24"/>
          <w14:textFill>
            <w14:solidFill>
              <w14:schemeClr w14:val="tx1"/>
            </w14:solidFill>
          </w14:textFill>
        </w:rPr>
        <w:t>）</w:t>
      </w:r>
    </w:p>
    <w:p>
      <w:pPr>
        <w:adjustRightInd w:val="0"/>
        <w:snapToGrid w:val="0"/>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式中：</w:t>
      </w:r>
      <w:r>
        <w:rPr>
          <w:color w:val="000000" w:themeColor="text1"/>
          <w:position w:val="-14"/>
          <w:sz w:val="24"/>
          <w14:textFill>
            <w14:solidFill>
              <w14:schemeClr w14:val="tx1"/>
            </w14:solidFill>
          </w14:textFill>
        </w:rPr>
        <w:object>
          <v:shape id="_x0000_i1101" o:spt="75" type="#_x0000_t75" style="height:19.6pt;width:19.6pt;" o:ole="t" filled="f" o:preferrelative="t" stroked="f" coordsize="21600,21600">
            <v:path/>
            <v:fill on="f" focussize="0,0"/>
            <v:stroke on="f" joinstyle="miter"/>
            <v:imagedata r:id="rId153" o:title=""/>
            <o:lock v:ext="edit" aspectratio="t"/>
            <w10:wrap type="none"/>
            <w10:anchorlock/>
          </v:shape>
          <o:OLEObject Type="Embed" ProgID="Equation.DSMT4" ShapeID="_x0000_i1101" DrawAspect="Content" ObjectID="_1468075801" r:id="rId152">
            <o:LockedField>false</o:LockedField>
          </o:OLEObject>
        </w:object>
      </w:r>
      <w:r>
        <w:rPr>
          <w:color w:val="000000" w:themeColor="text1"/>
          <w:sz w:val="24"/>
          <w14:textFill>
            <w14:solidFill>
              <w14:schemeClr w14:val="tx1"/>
            </w14:solidFill>
          </w14:textFill>
        </w:rPr>
        <w:t>——灌浆料抗压强度换算值（MPa），</w:t>
      </w:r>
      <w:r>
        <w:rPr>
          <w:rFonts w:hint="eastAsia"/>
          <w:color w:val="000000" w:themeColor="text1"/>
          <w:sz w:val="24"/>
          <w14:textFill>
            <w14:solidFill>
              <w14:schemeClr w14:val="tx1"/>
            </w14:solidFill>
          </w14:textFill>
        </w:rPr>
        <w:t>应</w:t>
      </w:r>
      <w:r>
        <w:rPr>
          <w:color w:val="000000" w:themeColor="text1"/>
          <w:sz w:val="24"/>
          <w14:textFill>
            <w14:solidFill>
              <w14:schemeClr w14:val="tx1"/>
            </w14:solidFill>
          </w14:textFill>
        </w:rPr>
        <w:t>精确至0.1MPa；</w:t>
      </w:r>
    </w:p>
    <w:p>
      <w:pPr>
        <w:adjustRightInd w:val="0"/>
        <w:snapToGrid w:val="0"/>
        <w:spacing w:line="360" w:lineRule="auto"/>
        <w:ind w:firstLine="720" w:firstLineChars="300"/>
        <w:rPr>
          <w:color w:val="000000" w:themeColor="text1"/>
          <w:sz w:val="24"/>
          <w14:textFill>
            <w14:solidFill>
              <w14:schemeClr w14:val="tx1"/>
            </w14:solidFill>
          </w14:textFill>
        </w:rPr>
      </w:pPr>
      <w:r>
        <w:rPr>
          <w:color w:val="000000" w:themeColor="text1"/>
          <w:position w:val="-14"/>
          <w:sz w:val="24"/>
          <w14:textFill>
            <w14:solidFill>
              <w14:schemeClr w14:val="tx1"/>
            </w14:solidFill>
          </w14:textFill>
        </w:rPr>
        <w:object>
          <v:shape id="_x0000_i1102" o:spt="75" type="#_x0000_t75" style="height:19.6pt;width:19.6pt;" o:ole="t" filled="f" o:preferrelative="t" stroked="f" coordsize="21600,21600">
            <v:path/>
            <v:fill on="f" focussize="0,0"/>
            <v:stroke on="f" joinstyle="miter"/>
            <v:imagedata r:id="rId63" o:title=""/>
            <o:lock v:ext="edit" aspectratio="t"/>
            <w10:wrap type="none"/>
            <w10:anchorlock/>
          </v:shape>
          <o:OLEObject Type="Embed" ProgID="Equation.DSMT4" ShapeID="_x0000_i1102" DrawAspect="Content" ObjectID="_1468075802" r:id="rId154">
            <o:LockedField>false</o:LockedField>
          </o:OLEObject>
        </w:objec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灌浆料圆柱体试件抗压强度换算系数。</w:t>
      </w:r>
    </w:p>
    <w:bookmarkEnd w:id="140"/>
    <w:p>
      <w:pPr>
        <w:adjustRightInd w:val="0"/>
        <w:snapToGrid w:val="0"/>
        <w:spacing w:line="360" w:lineRule="auto"/>
        <w:rPr>
          <w:color w:val="000000" w:themeColor="text1"/>
          <w:sz w:val="24"/>
          <w14:textFill>
            <w14:solidFill>
              <w14:schemeClr w14:val="tx1"/>
            </w14:solidFill>
          </w14:textFill>
        </w:rPr>
      </w:pPr>
      <w:r>
        <w:rPr>
          <w:b/>
          <w:bCs/>
          <w:color w:val="000000" w:themeColor="text1"/>
          <w:sz w:val="24"/>
          <w14:textFill>
            <w14:solidFill>
              <w14:schemeClr w14:val="tx1"/>
            </w14:solidFill>
          </w14:textFill>
        </w:rPr>
        <w:t xml:space="preserve">E.3.5 </w:t>
      </w:r>
      <w:r>
        <w:rPr>
          <w:rFonts w:hint="eastAsia"/>
          <w:b/>
          <w:bCs/>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灌浆料圆柱体试件抗压强度换算系数</w:t>
      </w:r>
      <w:r>
        <w:rPr>
          <w:color w:val="000000" w:themeColor="text1"/>
          <w:position w:val="-14"/>
          <w:sz w:val="24"/>
          <w14:textFill>
            <w14:solidFill>
              <w14:schemeClr w14:val="tx1"/>
            </w14:solidFill>
          </w14:textFill>
        </w:rPr>
        <w:object>
          <v:shape id="_x0000_i1103" o:spt="75" type="#_x0000_t75" style="height:19.6pt;width:19.6pt;" o:ole="t" filled="f" o:preferrelative="t" stroked="f" coordsize="21600,21600">
            <v:path/>
            <v:fill on="f" focussize="0,0"/>
            <v:stroke on="f" joinstyle="miter"/>
            <v:imagedata r:id="rId156" o:title=""/>
            <o:lock v:ext="edit" aspectratio="t"/>
            <w10:wrap type="none"/>
            <w10:anchorlock/>
          </v:shape>
          <o:OLEObject Type="Embed" ProgID="Equation.DSMT4" ShapeID="_x0000_i1103" DrawAspect="Content" ObjectID="_1468075803" r:id="rId155">
            <o:LockedField>false</o:LockedField>
          </o:OLEObject>
        </w:object>
      </w:r>
      <w:r>
        <w:rPr>
          <w:color w:val="000000" w:themeColor="text1"/>
          <w:sz w:val="24"/>
          <w14:textFill>
            <w14:solidFill>
              <w14:schemeClr w14:val="tx1"/>
            </w14:solidFill>
          </w14:textFill>
        </w:rPr>
        <w:t>按下列规定确定：</w:t>
      </w:r>
    </w:p>
    <w:p>
      <w:pPr>
        <w:adjustRightInd w:val="0"/>
        <w:snapToGrid w:val="0"/>
        <w:spacing w:line="360" w:lineRule="auto"/>
        <w:ind w:firstLine="481"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1</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试件的直径和高径比符合本</w:t>
      </w:r>
      <w:r>
        <w:rPr>
          <w:rFonts w:hint="eastAsia"/>
          <w:color w:val="000000" w:themeColor="text1"/>
          <w:sz w:val="24"/>
          <w14:textFill>
            <w14:solidFill>
              <w14:schemeClr w14:val="tx1"/>
            </w14:solidFill>
          </w14:textFill>
        </w:rPr>
        <w:t>标准</w:t>
      </w:r>
      <w:r>
        <w:rPr>
          <w:color w:val="000000" w:themeColor="text1"/>
          <w:sz w:val="24"/>
          <w14:textFill>
            <w14:solidFill>
              <w14:schemeClr w14:val="tx1"/>
            </w14:solidFill>
          </w14:textFill>
        </w:rPr>
        <w:t>规定，且圆柱体试件抗压强度试验平均值在60MPa～100MPa之间时，</w:t>
      </w:r>
      <w:r>
        <w:rPr>
          <w:color w:val="000000" w:themeColor="text1"/>
          <w:position w:val="-14"/>
          <w:sz w:val="24"/>
          <w14:textFill>
            <w14:solidFill>
              <w14:schemeClr w14:val="tx1"/>
            </w14:solidFill>
          </w14:textFill>
        </w:rPr>
        <w:object>
          <v:shape id="_x0000_i1104" o:spt="75" type="#_x0000_t75" style="height:19.6pt;width:19.6pt;" o:ole="t" filled="f" o:preferrelative="t" stroked="f" coordsize="21600,21600">
            <v:path/>
            <v:fill on="f" focussize="0,0"/>
            <v:stroke on="f" joinstyle="miter"/>
            <v:imagedata r:id="rId156" o:title=""/>
            <o:lock v:ext="edit" aspectratio="t"/>
            <w10:wrap type="none"/>
            <w10:anchorlock/>
          </v:shape>
          <o:OLEObject Type="Embed" ProgID="Equation.DSMT4" ShapeID="_x0000_i1104" DrawAspect="Content" ObjectID="_1468075804" r:id="rId157">
            <o:LockedField>false</o:LockedField>
          </o:OLEObject>
        </w:object>
      </w:r>
      <w:r>
        <w:rPr>
          <w:rFonts w:hint="eastAsia"/>
          <w:color w:val="000000" w:themeColor="text1"/>
          <w:sz w:val="24"/>
          <w14:textFill>
            <w14:solidFill>
              <w14:schemeClr w14:val="tx1"/>
            </w14:solidFill>
          </w14:textFill>
        </w:rPr>
        <w:t>可</w:t>
      </w:r>
      <w:r>
        <w:rPr>
          <w:color w:val="000000" w:themeColor="text1"/>
          <w:sz w:val="24"/>
          <w14:textFill>
            <w14:solidFill>
              <w14:schemeClr w14:val="tx1"/>
            </w14:solidFill>
          </w14:textFill>
        </w:rPr>
        <w:t>取1.20；</w:t>
      </w:r>
    </w:p>
    <w:p>
      <w:pPr>
        <w:adjustRightInd w:val="0"/>
        <w:snapToGrid w:val="0"/>
        <w:spacing w:line="360" w:lineRule="auto"/>
        <w:ind w:firstLine="481"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2</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 xml:space="preserve"> 当</w:t>
      </w:r>
      <w:r>
        <w:rPr>
          <w:color w:val="000000" w:themeColor="text1"/>
          <w:sz w:val="24"/>
          <w14:textFill>
            <w14:solidFill>
              <w14:schemeClr w14:val="tx1"/>
            </w14:solidFill>
          </w14:textFill>
        </w:rPr>
        <w:t>试件尺寸不符合本</w:t>
      </w:r>
      <w:r>
        <w:rPr>
          <w:rFonts w:hint="eastAsia"/>
          <w:color w:val="000000" w:themeColor="text1"/>
          <w:sz w:val="24"/>
          <w14:textFill>
            <w14:solidFill>
              <w14:schemeClr w14:val="tx1"/>
            </w14:solidFill>
          </w14:textFill>
        </w:rPr>
        <w:t>标准</w:t>
      </w:r>
      <w:r>
        <w:rPr>
          <w:color w:val="000000" w:themeColor="text1"/>
          <w:sz w:val="24"/>
          <w14:textFill>
            <w14:solidFill>
              <w14:schemeClr w14:val="tx1"/>
            </w14:solidFill>
          </w14:textFill>
        </w:rPr>
        <w:t>的规定或圆柱体试件抗压强度试验平均值不在60MPa～100MPa之间时，应按</w:t>
      </w:r>
      <w:r>
        <w:rPr>
          <w:rFonts w:hint="eastAsia"/>
          <w:color w:val="000000" w:themeColor="text1"/>
          <w:sz w:val="24"/>
          <w14:textFill>
            <w14:solidFill>
              <w14:schemeClr w14:val="tx1"/>
            </w14:solidFill>
          </w14:textFill>
        </w:rPr>
        <w:t>本标准第E.4节的有关规定</w:t>
      </w:r>
      <w:r>
        <w:rPr>
          <w:color w:val="000000" w:themeColor="text1"/>
          <w:sz w:val="24"/>
          <w14:textFill>
            <w14:solidFill>
              <w14:schemeClr w14:val="tx1"/>
            </w14:solidFill>
          </w14:textFill>
        </w:rPr>
        <w:t>制定专用的圆柱体试件抗压强度换算系数；</w:t>
      </w:r>
    </w:p>
    <w:p>
      <w:pPr>
        <w:adjustRightInd w:val="0"/>
        <w:snapToGrid w:val="0"/>
        <w:spacing w:line="360" w:lineRule="auto"/>
        <w:ind w:firstLine="481"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3</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对抗压强度检测结果存在争议时，应按</w:t>
      </w:r>
      <w:r>
        <w:rPr>
          <w:rFonts w:hint="eastAsia"/>
          <w:color w:val="000000" w:themeColor="text1"/>
          <w:sz w:val="24"/>
          <w14:textFill>
            <w14:solidFill>
              <w14:schemeClr w14:val="tx1"/>
            </w14:solidFill>
          </w14:textFill>
        </w:rPr>
        <w:t>本标准第E.4节的有关规定</w:t>
      </w:r>
      <w:r>
        <w:rPr>
          <w:color w:val="000000" w:themeColor="text1"/>
          <w:sz w:val="24"/>
          <w14:textFill>
            <w14:solidFill>
              <w14:schemeClr w14:val="tx1"/>
            </w14:solidFill>
          </w14:textFill>
        </w:rPr>
        <w:t>制定专用的圆柱体试件抗压强度换算系数。</w:t>
      </w:r>
    </w:p>
    <w:p>
      <w:pPr>
        <w:adjustRightInd w:val="0"/>
        <w:snapToGrid w:val="0"/>
        <w:spacing w:line="360" w:lineRule="auto"/>
        <w:rPr>
          <w:color w:val="000000" w:themeColor="text1"/>
          <w:sz w:val="24"/>
          <w14:textFill>
            <w14:solidFill>
              <w14:schemeClr w14:val="tx1"/>
            </w14:solidFill>
          </w14:textFill>
        </w:rPr>
      </w:pPr>
      <w:r>
        <w:rPr>
          <w:b/>
          <w:bCs/>
          <w:color w:val="000000" w:themeColor="text1"/>
          <w:sz w:val="24"/>
          <w14:textFill>
            <w14:solidFill>
              <w14:schemeClr w14:val="tx1"/>
            </w14:solidFill>
          </w14:textFill>
        </w:rPr>
        <w:t xml:space="preserve">E.3.6 </w:t>
      </w:r>
      <w:r>
        <w:rPr>
          <w:rFonts w:hint="eastAsia"/>
          <w:b/>
          <w:bCs/>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检测批灌浆料抗压强度的推定值应</w:t>
      </w:r>
      <w:r>
        <w:rPr>
          <w:rFonts w:hint="eastAsia"/>
          <w:color w:val="000000" w:themeColor="text1"/>
          <w:sz w:val="24"/>
          <w14:textFill>
            <w14:solidFill>
              <w14:schemeClr w14:val="tx1"/>
            </w14:solidFill>
          </w14:textFill>
        </w:rPr>
        <w:t>符合</w:t>
      </w:r>
      <w:r>
        <w:rPr>
          <w:color w:val="000000" w:themeColor="text1"/>
          <w:sz w:val="24"/>
          <w14:textFill>
            <w14:solidFill>
              <w14:schemeClr w14:val="tx1"/>
            </w14:solidFill>
          </w14:textFill>
        </w:rPr>
        <w:t>下列</w:t>
      </w:r>
      <w:r>
        <w:rPr>
          <w:rFonts w:hint="eastAsia"/>
          <w:color w:val="000000" w:themeColor="text1"/>
          <w:sz w:val="24"/>
          <w14:textFill>
            <w14:solidFill>
              <w14:schemeClr w14:val="tx1"/>
            </w14:solidFill>
          </w14:textFill>
        </w:rPr>
        <w:t>规定</w:t>
      </w:r>
      <w:r>
        <w:rPr>
          <w:color w:val="000000" w:themeColor="text1"/>
          <w:sz w:val="24"/>
          <w14:textFill>
            <w14:solidFill>
              <w14:schemeClr w14:val="tx1"/>
            </w14:solidFill>
          </w14:textFill>
        </w:rPr>
        <w:t xml:space="preserve">： </w:t>
      </w:r>
    </w:p>
    <w:p>
      <w:pPr>
        <w:adjustRightInd w:val="0"/>
        <w:snapToGrid w:val="0"/>
        <w:spacing w:line="360" w:lineRule="auto"/>
        <w:ind w:firstLine="481"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1</w:t>
      </w:r>
      <w:r>
        <w:rPr>
          <w:rFonts w:hint="eastAsia"/>
          <w:b/>
          <w:bCs/>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 检测批的灌浆料抗压强度推定值应计算推定区间，推定区间的上限值和下限值应按下列公式计算：</w:t>
      </w:r>
    </w:p>
    <w:p>
      <w:pPr>
        <w:adjustRightInd w:val="0"/>
        <w:snapToGrid w:val="0"/>
        <w:spacing w:line="360" w:lineRule="auto"/>
        <w:jc w:val="right"/>
        <w:rPr>
          <w:color w:val="000000" w:themeColor="text1"/>
          <w:sz w:val="24"/>
          <w14:textFill>
            <w14:solidFill>
              <w14:schemeClr w14:val="tx1"/>
            </w14:solidFill>
          </w14:textFill>
        </w:rPr>
      </w:pPr>
      <w:bookmarkStart w:id="141" w:name="_Hlk119936987"/>
      <w:r>
        <w:rPr>
          <w:color w:val="000000" w:themeColor="text1"/>
          <w:position w:val="-14"/>
          <w:sz w:val="24"/>
          <w14:textFill>
            <w14:solidFill>
              <w14:schemeClr w14:val="tx1"/>
            </w14:solidFill>
          </w14:textFill>
        </w:rPr>
        <w:object>
          <v:shape id="_x0000_i1105" o:spt="75" type="#_x0000_t75" style="height:19.6pt;width:101.95pt;" o:ole="t" filled="f" o:preferrelative="t" stroked="f" coordsize="21600,21600">
            <v:path/>
            <v:fill on="f" focussize="0,0"/>
            <v:stroke on="f" joinstyle="miter"/>
            <v:imagedata r:id="rId159" o:title=""/>
            <o:lock v:ext="edit" aspectratio="t"/>
            <w10:wrap type="none"/>
            <w10:anchorlock/>
          </v:shape>
          <o:OLEObject Type="Embed" ProgID="Equation.DSMT4" ShapeID="_x0000_i1105" DrawAspect="Content" ObjectID="_1468075805" r:id="rId158">
            <o:LockedField>false</o:LockedField>
          </o:OLEObject>
        </w:objec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               （E.3.6-1）</w:t>
      </w:r>
    </w:p>
    <w:p>
      <w:pPr>
        <w:adjustRightInd w:val="0"/>
        <w:snapToGrid w:val="0"/>
        <w:spacing w:line="360" w:lineRule="auto"/>
        <w:jc w:val="right"/>
        <w:rPr>
          <w:color w:val="000000" w:themeColor="text1"/>
          <w:sz w:val="24"/>
          <w14:textFill>
            <w14:solidFill>
              <w14:schemeClr w14:val="tx1"/>
            </w14:solidFill>
          </w14:textFill>
        </w:rPr>
      </w:pPr>
      <w:r>
        <w:rPr>
          <w:color w:val="000000" w:themeColor="text1"/>
          <w:position w:val="-14"/>
          <w:sz w:val="24"/>
          <w14:textFill>
            <w14:solidFill>
              <w14:schemeClr w14:val="tx1"/>
            </w14:solidFill>
          </w14:textFill>
        </w:rPr>
        <w:object>
          <v:shape id="_x0000_i1106" o:spt="75" type="#_x0000_t75" style="height:19.6pt;width:100.8pt;" o:ole="t" filled="f" o:preferrelative="t" stroked="f" coordsize="21600,21600">
            <v:path/>
            <v:fill on="f" focussize="0,0"/>
            <v:stroke on="f" joinstyle="miter"/>
            <v:imagedata r:id="rId161" o:title=""/>
            <o:lock v:ext="edit" aspectratio="t"/>
            <w10:wrap type="none"/>
            <w10:anchorlock/>
          </v:shape>
          <o:OLEObject Type="Embed" ProgID="Equation.DSMT4" ShapeID="_x0000_i1106" DrawAspect="Content" ObjectID="_1468075806" r:id="rId160">
            <o:LockedField>false</o:LockedField>
          </o:OLEObject>
        </w:object>
      </w:r>
      <w:r>
        <w:rPr>
          <w:color w:val="000000" w:themeColor="text1"/>
          <w:sz w:val="24"/>
          <w14:textFill>
            <w14:solidFill>
              <w14:schemeClr w14:val="tx1"/>
            </w14:solidFill>
          </w14:textFill>
        </w:rPr>
        <w:t xml:space="preserve">                    （E.3.6-2）</w:t>
      </w:r>
    </w:p>
    <w:p>
      <w:pPr>
        <w:adjustRightInd w:val="0"/>
        <w:snapToGrid w:val="0"/>
        <w:spacing w:line="360" w:lineRule="auto"/>
        <w:jc w:val="right"/>
        <w:rPr>
          <w:color w:val="000000" w:themeColor="text1"/>
          <w:sz w:val="24"/>
          <w14:textFill>
            <w14:solidFill>
              <w14:schemeClr w14:val="tx1"/>
            </w14:solidFill>
          </w14:textFill>
        </w:rPr>
      </w:pPr>
      <w:r>
        <w:rPr>
          <w:color w:val="000000" w:themeColor="text1"/>
          <w:position w:val="-28"/>
          <w:sz w:val="24"/>
          <w14:textFill>
            <w14:solidFill>
              <w14:schemeClr w14:val="tx1"/>
            </w14:solidFill>
          </w14:textFill>
        </w:rPr>
        <w:object>
          <v:shape id="_x0000_i1107" o:spt="75" type="#_x0000_t75" style="height:34.55pt;width:83.5pt;" o:ole="t" filled="f" o:preferrelative="t" stroked="f" coordsize="21600,21600">
            <v:path/>
            <v:fill on="f" focussize="0,0"/>
            <v:stroke on="f" joinstyle="miter"/>
            <v:imagedata r:id="rId163" o:title=""/>
            <o:lock v:ext="edit" aspectratio="t"/>
            <w10:wrap type="none"/>
            <w10:anchorlock/>
          </v:shape>
          <o:OLEObject Type="Embed" ProgID="Equation.DSMT4" ShapeID="_x0000_i1107" DrawAspect="Content" ObjectID="_1468075807" r:id="rId162">
            <o:LockedField>false</o:LockedField>
          </o:OLEObject>
        </w:object>
      </w:r>
      <w:r>
        <w:rPr>
          <w:color w:val="000000" w:themeColor="text1"/>
          <w:sz w:val="24"/>
          <w14:textFill>
            <w14:solidFill>
              <w14:schemeClr w14:val="tx1"/>
            </w14:solidFill>
          </w14:textFill>
        </w:rPr>
        <w:t xml:space="preserve">                       （E.3.6-3）</w:t>
      </w:r>
    </w:p>
    <w:p>
      <w:pPr>
        <w:adjustRightInd w:val="0"/>
        <w:snapToGrid w:val="0"/>
        <w:spacing w:line="360" w:lineRule="auto"/>
        <w:jc w:val="right"/>
        <w:rPr>
          <w:color w:val="000000" w:themeColor="text1"/>
          <w:sz w:val="24"/>
          <w14:textFill>
            <w14:solidFill>
              <w14:schemeClr w14:val="tx1"/>
            </w14:solidFill>
          </w14:textFill>
        </w:rPr>
      </w:pPr>
      <w:r>
        <w:rPr>
          <w:color w:val="000000" w:themeColor="text1"/>
          <w:position w:val="-26"/>
          <w:sz w:val="24"/>
          <w14:textFill>
            <w14:solidFill>
              <w14:schemeClr w14:val="tx1"/>
            </w14:solidFill>
          </w14:textFill>
        </w:rPr>
        <w:object>
          <v:shape id="_x0000_i1108" o:spt="75" type="#_x0000_t75" style="height:52.4pt;width:123.25pt;" o:ole="t" filled="f" o:preferrelative="t" stroked="f" coordsize="21600,21600">
            <v:path/>
            <v:fill on="f" focussize="0,0"/>
            <v:stroke on="f" joinstyle="miter"/>
            <v:imagedata r:id="rId165" o:title=""/>
            <o:lock v:ext="edit" aspectratio="t"/>
            <w10:wrap type="none"/>
            <w10:anchorlock/>
          </v:shape>
          <o:OLEObject Type="Embed" ProgID="Equation.DSMT4" ShapeID="_x0000_i1108" DrawAspect="Content" ObjectID="_1468075808" r:id="rId164">
            <o:LockedField>false</o:LockedField>
          </o:OLEObject>
        </w:object>
      </w:r>
      <w:r>
        <w:rPr>
          <w:color w:val="000000" w:themeColor="text1"/>
          <w:sz w:val="24"/>
          <w14:textFill>
            <w14:solidFill>
              <w14:schemeClr w14:val="tx1"/>
            </w14:solidFill>
          </w14:textFill>
        </w:rPr>
        <w:t xml:space="preserve">                （E.3.6-4）</w:t>
      </w:r>
    </w:p>
    <w:p>
      <w:pPr>
        <w:adjustRightInd w:val="0"/>
        <w:snapToGrid w:val="0"/>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式中：</w:t>
      </w:r>
      <w:r>
        <w:rPr>
          <w:color w:val="000000" w:themeColor="text1"/>
          <w:position w:val="-14"/>
          <w:sz w:val="24"/>
          <w14:textFill>
            <w14:solidFill>
              <w14:schemeClr w14:val="tx1"/>
            </w14:solidFill>
          </w14:textFill>
        </w:rPr>
        <w:object>
          <v:shape id="_x0000_i1109" o:spt="75" type="#_x0000_t75" style="height:19.6pt;width:27.05pt;" o:ole="t" filled="f" o:preferrelative="t" stroked="f" coordsize="21600,21600">
            <v:path/>
            <v:fill on="f" focussize="0,0"/>
            <v:stroke on="f" joinstyle="miter"/>
            <v:imagedata r:id="rId167" o:title=""/>
            <o:lock v:ext="edit" aspectratio="t"/>
            <w10:wrap type="none"/>
            <w10:anchorlock/>
          </v:shape>
          <o:OLEObject Type="Embed" ProgID="Equation.DSMT4" ShapeID="_x0000_i1109" DrawAspect="Content" ObjectID="_1468075809" r:id="rId166">
            <o:LockedField>false</o:LockedField>
          </o:OLEObject>
        </w:object>
      </w:r>
      <w:r>
        <w:rPr>
          <w:color w:val="000000" w:themeColor="text1"/>
          <w:sz w:val="24"/>
          <w14:textFill>
            <w14:solidFill>
              <w14:schemeClr w14:val="tx1"/>
            </w14:solidFill>
          </w14:textFill>
        </w:rPr>
        <w:t>——灌浆料抗压强度推定上限值（MPa），</w:t>
      </w:r>
      <w:r>
        <w:rPr>
          <w:rFonts w:hint="eastAsia"/>
          <w:color w:val="000000" w:themeColor="text1"/>
          <w:sz w:val="24"/>
          <w14:textFill>
            <w14:solidFill>
              <w14:schemeClr w14:val="tx1"/>
            </w14:solidFill>
          </w14:textFill>
        </w:rPr>
        <w:t>应</w:t>
      </w:r>
      <w:r>
        <w:rPr>
          <w:color w:val="000000" w:themeColor="text1"/>
          <w:sz w:val="24"/>
          <w14:textFill>
            <w14:solidFill>
              <w14:schemeClr w14:val="tx1"/>
            </w14:solidFill>
          </w14:textFill>
        </w:rPr>
        <w:t>精确至0.1MPa；</w:t>
      </w:r>
    </w:p>
    <w:p>
      <w:pPr>
        <w:adjustRightInd w:val="0"/>
        <w:snapToGrid w:val="0"/>
        <w:spacing w:line="360" w:lineRule="auto"/>
        <w:ind w:firstLine="720" w:firstLineChars="300"/>
        <w:rPr>
          <w:color w:val="000000" w:themeColor="text1"/>
          <w:sz w:val="24"/>
          <w14:textFill>
            <w14:solidFill>
              <w14:schemeClr w14:val="tx1"/>
            </w14:solidFill>
          </w14:textFill>
        </w:rPr>
      </w:pPr>
      <w:r>
        <w:rPr>
          <w:color w:val="000000" w:themeColor="text1"/>
          <w:position w:val="-14"/>
          <w:sz w:val="24"/>
          <w14:textFill>
            <w14:solidFill>
              <w14:schemeClr w14:val="tx1"/>
            </w14:solidFill>
          </w14:textFill>
        </w:rPr>
        <w:object>
          <v:shape id="_x0000_i1110" o:spt="75" type="#_x0000_t75" style="height:19.6pt;width:24.75pt;" o:ole="t" filled="f" o:preferrelative="t" stroked="f" coordsize="21600,21600">
            <v:path/>
            <v:fill on="f" focussize="0,0"/>
            <v:stroke on="f" joinstyle="miter"/>
            <v:imagedata r:id="rId169" o:title=""/>
            <o:lock v:ext="edit" aspectratio="t"/>
            <w10:wrap type="none"/>
            <w10:anchorlock/>
          </v:shape>
          <o:OLEObject Type="Embed" ProgID="Equation.DSMT4" ShapeID="_x0000_i1110" DrawAspect="Content" ObjectID="_1468075810" r:id="rId168">
            <o:LockedField>false</o:LockedField>
          </o:OLEObject>
        </w:object>
      </w:r>
      <w:r>
        <w:rPr>
          <w:color w:val="000000" w:themeColor="text1"/>
          <w:sz w:val="24"/>
          <w14:textFill>
            <w14:solidFill>
              <w14:schemeClr w14:val="tx1"/>
            </w14:solidFill>
          </w14:textFill>
        </w:rPr>
        <w:t>——灌浆料抗压强度推定下限值（MPa），</w:t>
      </w:r>
      <w:r>
        <w:rPr>
          <w:rFonts w:hint="eastAsia"/>
          <w:color w:val="000000" w:themeColor="text1"/>
          <w:sz w:val="24"/>
          <w14:textFill>
            <w14:solidFill>
              <w14:schemeClr w14:val="tx1"/>
            </w14:solidFill>
          </w14:textFill>
        </w:rPr>
        <w:t>应</w:t>
      </w:r>
      <w:r>
        <w:rPr>
          <w:color w:val="000000" w:themeColor="text1"/>
          <w:sz w:val="24"/>
          <w14:textFill>
            <w14:solidFill>
              <w14:schemeClr w14:val="tx1"/>
            </w14:solidFill>
          </w14:textFill>
        </w:rPr>
        <w:t>精确至0.1MPa；</w:t>
      </w:r>
    </w:p>
    <w:p>
      <w:pPr>
        <w:adjustRightInd w:val="0"/>
        <w:snapToGrid w:val="0"/>
        <w:spacing w:line="360" w:lineRule="auto"/>
        <w:ind w:firstLine="720" w:firstLineChars="300"/>
        <w:rPr>
          <w:color w:val="000000" w:themeColor="text1"/>
          <w:sz w:val="24"/>
          <w14:textFill>
            <w14:solidFill>
              <w14:schemeClr w14:val="tx1"/>
            </w14:solidFill>
          </w14:textFill>
        </w:rPr>
      </w:pPr>
      <w:r>
        <w:rPr>
          <w:color w:val="000000" w:themeColor="text1"/>
          <w:position w:val="-14"/>
          <w:sz w:val="24"/>
          <w14:textFill>
            <w14:solidFill>
              <w14:schemeClr w14:val="tx1"/>
            </w14:solidFill>
          </w14:textFill>
        </w:rPr>
        <w:object>
          <v:shape id="_x0000_i1111" o:spt="75" type="#_x0000_t75" style="height:19.6pt;width:27.05pt;" o:ole="t" filled="f" o:preferrelative="t" stroked="f" coordsize="21600,21600">
            <v:path/>
            <v:fill on="f" focussize="0,0"/>
            <v:stroke on="f" joinstyle="miter"/>
            <v:imagedata r:id="rId171" o:title=""/>
            <o:lock v:ext="edit" aspectratio="t"/>
            <w10:wrap type="none"/>
            <w10:anchorlock/>
          </v:shape>
          <o:OLEObject Type="Embed" ProgID="Equation.DSMT4" ShapeID="_x0000_i1111" DrawAspect="Content" ObjectID="_1468075811" r:id="rId170">
            <o:LockedField>false</o:LockedField>
          </o:OLEObject>
        </w:object>
      </w:r>
      <w:r>
        <w:rPr>
          <w:color w:val="000000" w:themeColor="text1"/>
          <w:sz w:val="24"/>
          <w14:textFill>
            <w14:solidFill>
              <w14:schemeClr w14:val="tx1"/>
            </w14:solidFill>
          </w14:textFill>
        </w:rPr>
        <w:t>——灌浆料抗压强度换算值的平均值（MPa），</w:t>
      </w:r>
      <w:r>
        <w:rPr>
          <w:rFonts w:hint="eastAsia"/>
          <w:color w:val="000000" w:themeColor="text1"/>
          <w:sz w:val="24"/>
          <w14:textFill>
            <w14:solidFill>
              <w14:schemeClr w14:val="tx1"/>
            </w14:solidFill>
          </w14:textFill>
        </w:rPr>
        <w:t>应</w:t>
      </w:r>
      <w:r>
        <w:rPr>
          <w:color w:val="000000" w:themeColor="text1"/>
          <w:sz w:val="24"/>
          <w14:textFill>
            <w14:solidFill>
              <w14:schemeClr w14:val="tx1"/>
            </w14:solidFill>
          </w14:textFill>
        </w:rPr>
        <w:t>精确至0.1MPa；</w:t>
      </w:r>
    </w:p>
    <w:p>
      <w:pPr>
        <w:adjustRightInd w:val="0"/>
        <w:snapToGrid w:val="0"/>
        <w:spacing w:line="360" w:lineRule="auto"/>
        <w:ind w:firstLine="720" w:firstLineChars="300"/>
        <w:rPr>
          <w:color w:val="000000" w:themeColor="text1"/>
          <w:sz w:val="24"/>
          <w14:textFill>
            <w14:solidFill>
              <w14:schemeClr w14:val="tx1"/>
            </w14:solidFill>
          </w14:textFill>
        </w:rPr>
      </w:pPr>
      <w:r>
        <w:rPr>
          <w:color w:val="000000" w:themeColor="text1"/>
          <w:position w:val="-14"/>
          <w:sz w:val="24"/>
          <w14:textFill>
            <w14:solidFill>
              <w14:schemeClr w14:val="tx1"/>
            </w14:solidFill>
          </w14:textFill>
        </w:rPr>
        <w:object>
          <v:shape id="_x0000_i1112" o:spt="75" type="#_x0000_t75" style="height:16.7pt;width:17.3pt;" o:ole="t" filled="f" o:preferrelative="t" stroked="f" coordsize="21600,21600">
            <v:path/>
            <v:fill on="f" focussize="0,0"/>
            <v:stroke on="f" joinstyle="miter"/>
            <v:imagedata r:id="rId173" o:title=""/>
            <o:lock v:ext="edit" aspectratio="t"/>
            <w10:wrap type="none"/>
            <w10:anchorlock/>
          </v:shape>
          <o:OLEObject Type="Embed" ProgID="Equation.DSMT4" ShapeID="_x0000_i1112" DrawAspect="Content" ObjectID="_1468075812" r:id="rId172">
            <o:LockedField>false</o:LockedField>
          </o:OLEObject>
        </w:object>
      </w:r>
      <w:r>
        <w:rPr>
          <w:color w:val="000000" w:themeColor="text1"/>
          <w:sz w:val="24"/>
          <w14:textFill>
            <w14:solidFill>
              <w14:schemeClr w14:val="tx1"/>
            </w14:solidFill>
          </w14:textFill>
        </w:rPr>
        <w:t>——灌浆料抗压强度</w:t>
      </w:r>
      <w:r>
        <w:rPr>
          <w:rFonts w:hint="eastAsia"/>
          <w:color w:val="000000" w:themeColor="text1"/>
          <w:sz w:val="24"/>
          <w14:textFill>
            <w14:solidFill>
              <w14:schemeClr w14:val="tx1"/>
            </w14:solidFill>
          </w14:textFill>
        </w:rPr>
        <w:t>换算值</w:t>
      </w:r>
      <w:r>
        <w:rPr>
          <w:color w:val="000000" w:themeColor="text1"/>
          <w:sz w:val="24"/>
          <w14:textFill>
            <w14:solidFill>
              <w14:schemeClr w14:val="tx1"/>
            </w14:solidFill>
          </w14:textFill>
        </w:rPr>
        <w:t>的标准差（MPa），</w:t>
      </w:r>
      <w:r>
        <w:rPr>
          <w:rFonts w:hint="eastAsia"/>
          <w:color w:val="000000" w:themeColor="text1"/>
          <w:sz w:val="24"/>
          <w14:textFill>
            <w14:solidFill>
              <w14:schemeClr w14:val="tx1"/>
            </w14:solidFill>
          </w14:textFill>
        </w:rPr>
        <w:t>应</w:t>
      </w:r>
      <w:r>
        <w:rPr>
          <w:color w:val="000000" w:themeColor="text1"/>
          <w:sz w:val="24"/>
          <w14:textFill>
            <w14:solidFill>
              <w14:schemeClr w14:val="tx1"/>
            </w14:solidFill>
          </w14:textFill>
        </w:rPr>
        <w:t>精确至0.01MPa；</w:t>
      </w:r>
    </w:p>
    <w:p>
      <w:pPr>
        <w:adjustRightInd w:val="0"/>
        <w:snapToGrid w:val="0"/>
        <w:spacing w:line="360" w:lineRule="auto"/>
        <w:ind w:firstLine="720" w:firstLineChars="300"/>
        <w:rPr>
          <w:color w:val="000000" w:themeColor="text1"/>
          <w:sz w:val="24"/>
          <w14:textFill>
            <w14:solidFill>
              <w14:schemeClr w14:val="tx1"/>
            </w14:solidFill>
          </w14:textFill>
        </w:rPr>
      </w:pPr>
      <w:r>
        <w:rPr>
          <w:color w:val="000000" w:themeColor="text1"/>
          <w:position w:val="-14"/>
          <w:sz w:val="24"/>
          <w14:textFill>
            <w14:solidFill>
              <w14:schemeClr w14:val="tx1"/>
            </w14:solidFill>
          </w14:textFill>
        </w:rPr>
        <w:object>
          <v:shape id="_x0000_i1113" o:spt="75" type="#_x0000_t75" style="height:19.6pt;width:22.45pt;" o:ole="t" filled="f" o:preferrelative="t" stroked="f" coordsize="21600,21600">
            <v:path/>
            <v:fill on="f" focussize="0,0"/>
            <v:stroke on="f" joinstyle="miter"/>
            <v:imagedata r:id="rId175" o:title=""/>
            <o:lock v:ext="edit" aspectratio="t"/>
            <w10:wrap type="none"/>
            <w10:anchorlock/>
          </v:shape>
          <o:OLEObject Type="Embed" ProgID="Equation.DSMT4" ShapeID="_x0000_i1113" DrawAspect="Content" ObjectID="_1468075813" r:id="rId174">
            <o:LockedField>false</o:LockedField>
          </o:OLEObject>
        </w:object>
      </w:r>
      <w:r>
        <w:rPr>
          <w:color w:val="000000" w:themeColor="text1"/>
          <w:sz w:val="24"/>
          <w14:textFill>
            <w14:solidFill>
              <w14:schemeClr w14:val="tx1"/>
            </w14:solidFill>
          </w14:textFill>
        </w:rPr>
        <w:t>——灌浆料抗压强度换算值（MPa），</w:t>
      </w:r>
      <w:r>
        <w:rPr>
          <w:rFonts w:hint="eastAsia"/>
          <w:color w:val="000000" w:themeColor="text1"/>
          <w:sz w:val="24"/>
          <w14:textFill>
            <w14:solidFill>
              <w14:schemeClr w14:val="tx1"/>
            </w14:solidFill>
          </w14:textFill>
        </w:rPr>
        <w:t>应</w:t>
      </w:r>
      <w:r>
        <w:rPr>
          <w:color w:val="000000" w:themeColor="text1"/>
          <w:sz w:val="24"/>
          <w14:textFill>
            <w14:solidFill>
              <w14:schemeClr w14:val="tx1"/>
            </w14:solidFill>
          </w14:textFill>
        </w:rPr>
        <w:t>精确至0.1MPa；</w:t>
      </w:r>
    </w:p>
    <w:p>
      <w:pPr>
        <w:adjustRightInd w:val="0"/>
        <w:snapToGrid w:val="0"/>
        <w:spacing w:line="360" w:lineRule="auto"/>
        <w:ind w:firstLine="720" w:firstLineChars="300"/>
        <w:rPr>
          <w:color w:val="000000" w:themeColor="text1"/>
          <w:sz w:val="24"/>
          <w14:textFill>
            <w14:solidFill>
              <w14:schemeClr w14:val="tx1"/>
            </w14:solidFill>
          </w14:textFill>
        </w:rPr>
      </w:pPr>
      <w:r>
        <w:rPr>
          <w:color w:val="000000" w:themeColor="text1"/>
          <w:position w:val="-6"/>
          <w:sz w:val="24"/>
          <w14:textFill>
            <w14:solidFill>
              <w14:schemeClr w14:val="tx1"/>
            </w14:solidFill>
          </w14:textFill>
        </w:rPr>
        <w:object>
          <v:shape id="_x0000_i1114" o:spt="75" type="#_x0000_t75" style="height:15pt;width:11.5pt;" o:ole="t" filled="f" o:preferrelative="t" stroked="f" coordsize="21600,21600">
            <v:path/>
            <v:fill on="f" focussize="0,0"/>
            <v:stroke on="f" joinstyle="miter"/>
            <v:imagedata r:id="rId137" o:title=""/>
            <o:lock v:ext="edit" aspectratio="t"/>
            <w10:wrap type="none"/>
            <w10:anchorlock/>
          </v:shape>
          <o:OLEObject Type="Embed" ProgID="Equation.DSMT4" ShapeID="_x0000_i1114" DrawAspect="Content" ObjectID="_1468075814" r:id="rId176">
            <o:LockedField>false</o:LockedField>
          </o:OLEObject>
        </w:object>
      </w:r>
      <w:r>
        <w:rPr>
          <w:color w:val="000000" w:themeColor="text1"/>
          <w:sz w:val="24"/>
          <w14:textFill>
            <w14:solidFill>
              <w14:schemeClr w14:val="tx1"/>
            </w14:solidFill>
          </w14:textFill>
        </w:rPr>
        <w:t>——推定系数，</w:t>
      </w:r>
      <w:r>
        <w:rPr>
          <w:rFonts w:hint="eastAsia"/>
          <w:color w:val="000000" w:themeColor="text1"/>
          <w:sz w:val="24"/>
          <w14:textFill>
            <w14:solidFill>
              <w14:schemeClr w14:val="tx1"/>
            </w14:solidFill>
          </w14:textFill>
        </w:rPr>
        <w:t>可</w:t>
      </w:r>
      <w:r>
        <w:rPr>
          <w:color w:val="000000" w:themeColor="text1"/>
          <w:sz w:val="24"/>
          <w14:textFill>
            <w14:solidFill>
              <w14:schemeClr w14:val="tx1"/>
            </w14:solidFill>
          </w14:textFill>
        </w:rPr>
        <w:t>按本</w:t>
      </w:r>
      <w:r>
        <w:rPr>
          <w:rFonts w:hint="eastAsia"/>
          <w:color w:val="000000" w:themeColor="text1"/>
          <w:sz w:val="24"/>
          <w14:textFill>
            <w14:solidFill>
              <w14:schemeClr w14:val="tx1"/>
            </w14:solidFill>
          </w14:textFill>
        </w:rPr>
        <w:t>标准</w:t>
      </w:r>
      <w:r>
        <w:rPr>
          <w:color w:val="000000" w:themeColor="text1"/>
          <w:sz w:val="24"/>
          <w14:textFill>
            <w14:solidFill>
              <w14:schemeClr w14:val="tx1"/>
            </w14:solidFill>
          </w14:textFill>
        </w:rPr>
        <w:t>附录B</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0.2</w:t>
      </w:r>
      <w:r>
        <w:rPr>
          <w:rFonts w:hint="eastAsia"/>
          <w:color w:val="000000" w:themeColor="text1"/>
          <w:sz w:val="24"/>
          <w14:textFill>
            <w14:solidFill>
              <w14:schemeClr w14:val="tx1"/>
            </w14:solidFill>
          </w14:textFill>
        </w:rPr>
        <w:t>条的规定取值</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 xml:space="preserve"> </w:t>
      </w:r>
    </w:p>
    <w:p>
      <w:pPr>
        <w:adjustRightInd w:val="0"/>
        <w:snapToGrid w:val="0"/>
        <w:spacing w:line="360" w:lineRule="auto"/>
        <w:ind w:firstLine="720" w:firstLineChars="300"/>
        <w:rPr>
          <w:color w:val="000000" w:themeColor="text1"/>
          <w:sz w:val="24"/>
          <w14:textFill>
            <w14:solidFill>
              <w14:schemeClr w14:val="tx1"/>
            </w14:solidFill>
          </w14:textFill>
        </w:rPr>
      </w:pPr>
      <m:oMath>
        <m:r>
          <m:rPr/>
          <w:rPr>
            <w:rFonts w:ascii="Cambria Math" w:hAnsi="Cambria Math"/>
            <w:color w:val="000000" w:themeColor="text1"/>
            <w:sz w:val="24"/>
            <w14:textFill>
              <w14:solidFill>
                <w14:schemeClr w14:val="tx1"/>
              </w14:solidFill>
            </w14:textFill>
          </w:rPr>
          <m:t>n</m:t>
        </m:r>
      </m:oMath>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样本</w:t>
      </w:r>
      <w:r>
        <w:rPr>
          <w:color w:val="000000" w:themeColor="text1"/>
          <w:sz w:val="24"/>
          <w14:textFill>
            <w14:solidFill>
              <w14:schemeClr w14:val="tx1"/>
            </w14:solidFill>
          </w14:textFill>
        </w:rPr>
        <w:t>数量。</w:t>
      </w:r>
    </w:p>
    <w:bookmarkEnd w:id="141"/>
    <w:p>
      <w:pPr>
        <w:adjustRightInd w:val="0"/>
        <w:snapToGrid w:val="0"/>
        <w:spacing w:line="360" w:lineRule="auto"/>
        <w:ind w:firstLine="481"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2</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 xml:space="preserve"> </w:t>
      </w:r>
      <w:r>
        <w:rPr>
          <w:color w:val="000000" w:themeColor="text1"/>
          <w:sz w:val="24"/>
          <w:szCs w:val="24"/>
          <w14:textFill>
            <w14:solidFill>
              <w14:schemeClr w14:val="tx1"/>
            </w14:solidFill>
          </w14:textFill>
        </w:rPr>
        <w:t>抗压强度上限值</w:t>
      </w:r>
      <w:r>
        <w:rPr>
          <w:color w:val="000000" w:themeColor="text1"/>
          <w:position w:val="-14"/>
          <w:sz w:val="24"/>
          <w14:textFill>
            <w14:solidFill>
              <w14:schemeClr w14:val="tx1"/>
            </w14:solidFill>
          </w14:textFill>
        </w:rPr>
        <w:object>
          <v:shape id="_x0000_i1115" o:spt="75" type="#_x0000_t75" style="height:19.6pt;width:27.05pt;" o:ole="t" filled="f" o:preferrelative="t" stroked="f" coordsize="21600,21600">
            <v:path/>
            <v:fill on="f" focussize="0,0"/>
            <v:stroke on="f" joinstyle="miter"/>
            <v:imagedata r:id="rId178" o:title=""/>
            <o:lock v:ext="edit" aspectratio="t"/>
            <w10:wrap type="none"/>
            <w10:anchorlock/>
          </v:shape>
          <o:OLEObject Type="Embed" ProgID="Equation.DSMT4" ShapeID="_x0000_i1115" DrawAspect="Content" ObjectID="_1468075815" r:id="rId177">
            <o:LockedField>false</o:LockedField>
          </o:OLEObject>
        </w:object>
      </w:r>
      <w:r>
        <w:rPr>
          <w:color w:val="000000" w:themeColor="text1"/>
          <w:sz w:val="24"/>
          <w14:textFill>
            <w14:solidFill>
              <w14:schemeClr w14:val="tx1"/>
            </w14:solidFill>
          </w14:textFill>
        </w:rPr>
        <w:t>和</w:t>
      </w:r>
      <w:r>
        <w:rPr>
          <w:color w:val="000000" w:themeColor="text1"/>
          <w:sz w:val="24"/>
          <w:szCs w:val="24"/>
          <w14:textFill>
            <w14:solidFill>
              <w14:schemeClr w14:val="tx1"/>
            </w14:solidFill>
          </w14:textFill>
        </w:rPr>
        <w:t>抗压强度</w:t>
      </w:r>
      <w:r>
        <w:rPr>
          <w:rFonts w:hint="eastAsia"/>
          <w:color w:val="000000" w:themeColor="text1"/>
          <w:sz w:val="24"/>
          <w:szCs w:val="24"/>
          <w14:textFill>
            <w14:solidFill>
              <w14:schemeClr w14:val="tx1"/>
            </w14:solidFill>
          </w14:textFill>
        </w:rPr>
        <w:t>下</w:t>
      </w:r>
      <w:r>
        <w:rPr>
          <w:color w:val="000000" w:themeColor="text1"/>
          <w:sz w:val="24"/>
          <w:szCs w:val="24"/>
          <w14:textFill>
            <w14:solidFill>
              <w14:schemeClr w14:val="tx1"/>
            </w14:solidFill>
          </w14:textFill>
        </w:rPr>
        <w:t>限值</w:t>
      </w:r>
      <w:r>
        <w:rPr>
          <w:color w:val="000000" w:themeColor="text1"/>
          <w:position w:val="-14"/>
          <w:sz w:val="24"/>
          <w14:textFill>
            <w14:solidFill>
              <w14:schemeClr w14:val="tx1"/>
            </w14:solidFill>
          </w14:textFill>
        </w:rPr>
        <w:object>
          <v:shape id="_x0000_i1116" o:spt="75" type="#_x0000_t75" style="height:19.6pt;width:24.75pt;" o:ole="t" filled="f" o:preferrelative="t" stroked="f" coordsize="21600,21600">
            <v:path/>
            <v:fill on="f" focussize="0,0"/>
            <v:stroke on="f" joinstyle="miter"/>
            <v:imagedata r:id="rId180" o:title=""/>
            <o:lock v:ext="edit" aspectratio="t"/>
            <w10:wrap type="none"/>
            <w10:anchorlock/>
          </v:shape>
          <o:OLEObject Type="Embed" ProgID="Equation.DSMT4" ShapeID="_x0000_i1116" DrawAspect="Content" ObjectID="_1468075816" r:id="rId179">
            <o:LockedField>false</o:LockedField>
          </o:OLEObject>
        </w:object>
      </w:r>
      <w:r>
        <w:rPr>
          <w:color w:val="000000" w:themeColor="text1"/>
          <w:sz w:val="24"/>
          <w14:textFill>
            <w14:solidFill>
              <w14:schemeClr w14:val="tx1"/>
            </w14:solidFill>
          </w14:textFill>
        </w:rPr>
        <w:t>所构成推定区间的置信度宜为0.90，</w:t>
      </w:r>
      <w:r>
        <w:rPr>
          <w:color w:val="000000" w:themeColor="text1"/>
          <w:position w:val="-14"/>
          <w:sz w:val="24"/>
          <w14:textFill>
            <w14:solidFill>
              <w14:schemeClr w14:val="tx1"/>
            </w14:solidFill>
          </w14:textFill>
        </w:rPr>
        <w:object>
          <v:shape id="_x0000_i1117" o:spt="75" type="#_x0000_t75" style="height:19.6pt;width:27.05pt;" o:ole="t" filled="f" o:preferrelative="t" stroked="f" coordsize="21600,21600">
            <v:path/>
            <v:fill on="f" focussize="0,0"/>
            <v:stroke on="f" joinstyle="miter"/>
            <v:imagedata r:id="rId182" o:title=""/>
            <o:lock v:ext="edit" aspectratio="t"/>
            <w10:wrap type="none"/>
            <w10:anchorlock/>
          </v:shape>
          <o:OLEObject Type="Embed" ProgID="Equation.DSMT4" ShapeID="_x0000_i1117" DrawAspect="Content" ObjectID="_1468075817" r:id="rId181">
            <o:LockedField>false</o:LockedField>
          </o:OLEObject>
        </w:object>
      </w:r>
      <w:r>
        <w:rPr>
          <w:color w:val="000000" w:themeColor="text1"/>
          <w:sz w:val="24"/>
          <w14:textFill>
            <w14:solidFill>
              <w14:schemeClr w14:val="tx1"/>
            </w14:solidFill>
          </w14:textFill>
        </w:rPr>
        <w:t>和</w:t>
      </w:r>
      <w:r>
        <w:rPr>
          <w:color w:val="000000" w:themeColor="text1"/>
          <w:position w:val="-14"/>
          <w:sz w:val="24"/>
          <w14:textFill>
            <w14:solidFill>
              <w14:schemeClr w14:val="tx1"/>
            </w14:solidFill>
          </w14:textFill>
        </w:rPr>
        <w:object>
          <v:shape id="_x0000_i1118" o:spt="75" type="#_x0000_t75" style="height:19.6pt;width:24.75pt;" o:ole="t" filled="f" o:preferrelative="t" stroked="f" coordsize="21600,21600">
            <v:path/>
            <v:fill on="f" focussize="0,0"/>
            <v:stroke on="f" joinstyle="miter"/>
            <v:imagedata r:id="rId184" o:title=""/>
            <o:lock v:ext="edit" aspectratio="t"/>
            <w10:wrap type="none"/>
            <w10:anchorlock/>
          </v:shape>
          <o:OLEObject Type="Embed" ProgID="Equation.DSMT4" ShapeID="_x0000_i1118" DrawAspect="Content" ObjectID="_1468075818" r:id="rId183">
            <o:LockedField>false</o:LockedField>
          </o:OLEObject>
        </w:object>
      </w:r>
      <w:r>
        <w:rPr>
          <w:color w:val="000000" w:themeColor="text1"/>
          <w:sz w:val="24"/>
          <w14:textFill>
            <w14:solidFill>
              <w14:schemeClr w14:val="tx1"/>
            </w14:solidFill>
          </w14:textFill>
        </w:rPr>
        <w:t>之间的差值不宜大于0.15</w:t>
      </w:r>
      <w:r>
        <w:rPr>
          <w:color w:val="000000" w:themeColor="text1"/>
          <w:position w:val="-14"/>
          <w:sz w:val="24"/>
          <w14:textFill>
            <w14:solidFill>
              <w14:schemeClr w14:val="tx1"/>
            </w14:solidFill>
          </w14:textFill>
        </w:rPr>
        <w:object>
          <v:shape id="_x0000_i1119" o:spt="75" type="#_x0000_t75" style="height:19.6pt;width:27.05pt;" o:ole="t" filled="f" o:preferrelative="t" stroked="f" coordsize="21600,21600">
            <v:path/>
            <v:fill on="f" focussize="0,0"/>
            <v:stroke on="f" joinstyle="miter"/>
            <v:imagedata r:id="rId186" o:title=""/>
            <o:lock v:ext="edit" aspectratio="t"/>
            <w10:wrap type="none"/>
            <w10:anchorlock/>
          </v:shape>
          <o:OLEObject Type="Embed" ProgID="Equation.DSMT4" ShapeID="_x0000_i1119" DrawAspect="Content" ObjectID="_1468075819" r:id="rId185">
            <o:LockedField>false</o:LockedField>
          </o:OLEObject>
        </w:object>
      </w:r>
      <w:r>
        <w:rPr>
          <w:color w:val="000000" w:themeColor="text1"/>
          <w:sz w:val="24"/>
          <w14:textFill>
            <w14:solidFill>
              <w14:schemeClr w14:val="tx1"/>
            </w14:solidFill>
          </w14:textFill>
        </w:rPr>
        <w:t>；</w:t>
      </w:r>
    </w:p>
    <w:p>
      <w:pPr>
        <w:adjustRightInd w:val="0"/>
        <w:snapToGrid w:val="0"/>
        <w:spacing w:line="360" w:lineRule="auto"/>
        <w:ind w:firstLine="481"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3</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当</w:t>
      </w:r>
      <w:r>
        <w:rPr>
          <w:color w:val="000000" w:themeColor="text1"/>
          <w:sz w:val="24"/>
          <w:szCs w:val="24"/>
          <w14:textFill>
            <w14:solidFill>
              <w14:schemeClr w14:val="tx1"/>
            </w14:solidFill>
          </w14:textFill>
        </w:rPr>
        <w:t>抗压强度上限值</w:t>
      </w:r>
      <w:r>
        <w:rPr>
          <w:color w:val="000000" w:themeColor="text1"/>
          <w:position w:val="-14"/>
          <w:sz w:val="24"/>
          <w14:textFill>
            <w14:solidFill>
              <w14:schemeClr w14:val="tx1"/>
            </w14:solidFill>
          </w14:textFill>
        </w:rPr>
        <w:object>
          <v:shape id="_x0000_i1120" o:spt="75" type="#_x0000_t75" style="height:19.6pt;width:27.05pt;" o:ole="t" filled="f" o:preferrelative="t" stroked="f" coordsize="21600,21600">
            <v:path/>
            <v:fill on="f" focussize="0,0"/>
            <v:stroke on="f" joinstyle="miter"/>
            <v:imagedata r:id="rId188" o:title=""/>
            <o:lock v:ext="edit" aspectratio="t"/>
            <w10:wrap type="none"/>
            <w10:anchorlock/>
          </v:shape>
          <o:OLEObject Type="Embed" ProgID="Equation.DSMT4" ShapeID="_x0000_i1120" DrawAspect="Content" ObjectID="_1468075820" r:id="rId187">
            <o:LockedField>false</o:LockedField>
          </o:OLEObject>
        </w:object>
      </w:r>
      <w:r>
        <w:rPr>
          <w:color w:val="000000" w:themeColor="text1"/>
          <w:sz w:val="24"/>
          <w14:textFill>
            <w14:solidFill>
              <w14:schemeClr w14:val="tx1"/>
            </w14:solidFill>
          </w14:textFill>
        </w:rPr>
        <w:t>和</w:t>
      </w:r>
      <w:r>
        <w:rPr>
          <w:color w:val="000000" w:themeColor="text1"/>
          <w:sz w:val="24"/>
          <w:szCs w:val="24"/>
          <w14:textFill>
            <w14:solidFill>
              <w14:schemeClr w14:val="tx1"/>
            </w14:solidFill>
          </w14:textFill>
        </w:rPr>
        <w:t>抗压强度</w:t>
      </w:r>
      <w:r>
        <w:rPr>
          <w:rFonts w:hint="eastAsia"/>
          <w:color w:val="000000" w:themeColor="text1"/>
          <w:sz w:val="24"/>
          <w:szCs w:val="24"/>
          <w14:textFill>
            <w14:solidFill>
              <w14:schemeClr w14:val="tx1"/>
            </w14:solidFill>
          </w14:textFill>
        </w:rPr>
        <w:t>下</w:t>
      </w:r>
      <w:r>
        <w:rPr>
          <w:color w:val="000000" w:themeColor="text1"/>
          <w:sz w:val="24"/>
          <w:szCs w:val="24"/>
          <w14:textFill>
            <w14:solidFill>
              <w14:schemeClr w14:val="tx1"/>
            </w14:solidFill>
          </w14:textFill>
        </w:rPr>
        <w:t>限值</w:t>
      </w:r>
      <w:r>
        <w:rPr>
          <w:color w:val="000000" w:themeColor="text1"/>
          <w:position w:val="-14"/>
          <w:sz w:val="24"/>
          <w14:textFill>
            <w14:solidFill>
              <w14:schemeClr w14:val="tx1"/>
            </w14:solidFill>
          </w14:textFill>
        </w:rPr>
        <w:object>
          <v:shape id="_x0000_i1121" o:spt="75" type="#_x0000_t75" style="height:19.6pt;width:24.75pt;" o:ole="t" filled="f" o:preferrelative="t" stroked="f" coordsize="21600,21600">
            <v:path/>
            <v:fill on="f" focussize="0,0"/>
            <v:stroke on="f" joinstyle="miter"/>
            <v:imagedata r:id="rId190" o:title=""/>
            <o:lock v:ext="edit" aspectratio="t"/>
            <w10:wrap type="none"/>
            <w10:anchorlock/>
          </v:shape>
          <o:OLEObject Type="Embed" ProgID="Equation.DSMT4" ShapeID="_x0000_i1121" DrawAspect="Content" ObjectID="_1468075821" r:id="rId189">
            <o:LockedField>false</o:LockedField>
          </o:OLEObject>
        </w:object>
      </w:r>
      <w:r>
        <w:rPr>
          <w:color w:val="000000" w:themeColor="text1"/>
          <w:sz w:val="24"/>
          <w14:textFill>
            <w14:solidFill>
              <w14:schemeClr w14:val="tx1"/>
            </w14:solidFill>
          </w14:textFill>
        </w:rPr>
        <w:t>之间的差值大于0.15</w:t>
      </w:r>
      <w:r>
        <w:rPr>
          <w:color w:val="000000" w:themeColor="text1"/>
          <w:position w:val="-14"/>
          <w:sz w:val="24"/>
          <w14:textFill>
            <w14:solidFill>
              <w14:schemeClr w14:val="tx1"/>
            </w14:solidFill>
          </w14:textFill>
        </w:rPr>
        <w:object>
          <v:shape id="_x0000_i1122" o:spt="75" type="#_x0000_t75" style="height:19.6pt;width:27.05pt;" o:ole="t" filled="f" o:preferrelative="t" stroked="f" coordsize="21600,21600">
            <v:path/>
            <v:fill on="f" focussize="0,0"/>
            <v:stroke on="f" joinstyle="miter"/>
            <v:imagedata r:id="rId192" o:title=""/>
            <o:lock v:ext="edit" aspectratio="t"/>
            <w10:wrap type="none"/>
            <w10:anchorlock/>
          </v:shape>
          <o:OLEObject Type="Embed" ProgID="Equation.DSMT4" ShapeID="_x0000_i1122" DrawAspect="Content" ObjectID="_1468075822" r:id="rId191">
            <o:LockedField>false</o:LockedField>
          </o:OLEObject>
        </w:object>
      </w:r>
      <w:r>
        <w:rPr>
          <w:color w:val="000000" w:themeColor="text1"/>
          <w:sz w:val="24"/>
          <w14:textFill>
            <w14:solidFill>
              <w14:schemeClr w14:val="tx1"/>
            </w14:solidFill>
          </w14:textFill>
        </w:rPr>
        <w:t>时，可适当增加样本容量或重新划分检测批进行补充检测，直至满足本条第2款规定；</w:t>
      </w:r>
    </w:p>
    <w:p>
      <w:pPr>
        <w:adjustRightInd w:val="0"/>
        <w:snapToGrid w:val="0"/>
        <w:spacing w:line="360" w:lineRule="auto"/>
        <w:ind w:firstLine="481"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4</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当满足本条第2款规定时，宜以灌浆料抗压强度换算值的平均值</w:t>
      </w:r>
      <w:r>
        <w:rPr>
          <w:color w:val="000000" w:themeColor="text1"/>
          <w:position w:val="-14"/>
          <w:sz w:val="24"/>
          <w14:textFill>
            <w14:solidFill>
              <w14:schemeClr w14:val="tx1"/>
            </w14:solidFill>
          </w14:textFill>
        </w:rPr>
        <w:object>
          <v:shape id="_x0000_i1123" o:spt="75" type="#_x0000_t75" style="height:19.6pt;width:27.05pt;" o:ole="t" filled="f" o:preferrelative="t" stroked="f" coordsize="21600,21600">
            <v:path/>
            <v:fill on="f" focussize="0,0"/>
            <v:stroke on="f" joinstyle="miter"/>
            <v:imagedata r:id="rId194" o:title=""/>
            <o:lock v:ext="edit" aspectratio="t"/>
            <w10:wrap type="none"/>
            <w10:anchorlock/>
          </v:shape>
          <o:OLEObject Type="Embed" ProgID="Equation.DSMT4" ShapeID="_x0000_i1123" DrawAspect="Content" ObjectID="_1468075823" r:id="rId193">
            <o:LockedField>false</o:LockedField>
          </o:OLEObject>
        </w:object>
      </w:r>
      <w:r>
        <w:rPr>
          <w:color w:val="000000" w:themeColor="text1"/>
          <w:sz w:val="24"/>
          <w14:textFill>
            <w14:solidFill>
              <w14:schemeClr w14:val="tx1"/>
            </w14:solidFill>
          </w14:textFill>
        </w:rPr>
        <w:t>作为检测批灌浆料抗压强度推定值；</w:t>
      </w:r>
    </w:p>
    <w:p>
      <w:pPr>
        <w:adjustRightInd w:val="0"/>
        <w:snapToGrid w:val="0"/>
        <w:spacing w:line="360" w:lineRule="auto"/>
        <w:ind w:firstLine="481"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5</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当不具备本条第3款条件时，不宜进行批量推定，</w:t>
      </w:r>
      <w:r>
        <w:rPr>
          <w:rFonts w:hint="eastAsia"/>
          <w:color w:val="000000" w:themeColor="text1"/>
          <w:sz w:val="24"/>
          <w14:textFill>
            <w14:solidFill>
              <w14:schemeClr w14:val="tx1"/>
            </w14:solidFill>
          </w14:textFill>
        </w:rPr>
        <w:t>可仅</w:t>
      </w:r>
      <w:r>
        <w:rPr>
          <w:color w:val="000000" w:themeColor="text1"/>
          <w:sz w:val="24"/>
          <w14:textFill>
            <w14:solidFill>
              <w14:schemeClr w14:val="tx1"/>
            </w14:solidFill>
          </w14:textFill>
        </w:rPr>
        <w:t>给出各</w:t>
      </w:r>
      <w:r>
        <w:rPr>
          <w:rFonts w:hint="eastAsia"/>
          <w:color w:val="000000" w:themeColor="text1"/>
          <w:sz w:val="24"/>
          <w14:textFill>
            <w14:solidFill>
              <w14:schemeClr w14:val="tx1"/>
            </w14:solidFill>
          </w14:textFill>
        </w:rPr>
        <w:t>测点的灌浆料</w:t>
      </w:r>
      <w:r>
        <w:rPr>
          <w:color w:val="000000" w:themeColor="text1"/>
          <w:sz w:val="24"/>
          <w14:textFill>
            <w14:solidFill>
              <w14:schemeClr w14:val="tx1"/>
            </w14:solidFill>
          </w14:textFill>
        </w:rPr>
        <w:t>抗压强度换算值；</w:t>
      </w:r>
    </w:p>
    <w:p>
      <w:pPr>
        <w:adjustRightInd w:val="0"/>
        <w:snapToGrid w:val="0"/>
        <w:spacing w:line="360" w:lineRule="auto"/>
        <w:ind w:firstLine="481"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6</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当</w:t>
      </w:r>
      <w:r>
        <w:rPr>
          <w:rFonts w:hint="eastAsia"/>
          <w:color w:val="000000" w:themeColor="text1"/>
          <w:sz w:val="24"/>
          <w14:textFill>
            <w14:solidFill>
              <w14:schemeClr w14:val="tx1"/>
            </w14:solidFill>
          </w14:textFill>
        </w:rPr>
        <w:t>检测批内</w:t>
      </w:r>
      <w:r>
        <w:rPr>
          <w:color w:val="000000" w:themeColor="text1"/>
          <w:sz w:val="24"/>
          <w14:textFill>
            <w14:solidFill>
              <w14:schemeClr w14:val="tx1"/>
            </w14:solidFill>
          </w14:textFill>
        </w:rPr>
        <w:t>灌浆料抗压强度换算值的最小值不小于设计强度值时，可给出所抽检部位灌浆料实测抗压强度均满足设计要求的结论。</w:t>
      </w:r>
    </w:p>
    <w:p>
      <w:pPr>
        <w:pStyle w:val="66"/>
        <w:adjustRightInd w:val="0"/>
        <w:snapToGrid w:val="0"/>
        <w:spacing w:line="360" w:lineRule="auto"/>
        <w:ind w:firstLine="0" w:firstLineChars="0"/>
        <w:rPr>
          <w:rFonts w:ascii="Times New Roman"/>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 xml:space="preserve">E.3.7 </w:t>
      </w:r>
      <w:r>
        <w:rPr>
          <w:rFonts w:hint="eastAsia" w:ascii="Times New Roman" w:hAnsi="Times New Roman"/>
          <w:b/>
          <w:bCs/>
          <w:color w:val="000000" w:themeColor="text1"/>
          <w14:textFill>
            <w14:solidFill>
              <w14:schemeClr w14:val="tx1"/>
            </w14:solidFill>
          </w14:textFill>
        </w:rPr>
        <w:t xml:space="preserve"> </w:t>
      </w:r>
      <w:r>
        <w:rPr>
          <w:rFonts w:ascii="Times New Roman"/>
          <w:color w:val="000000" w:themeColor="text1"/>
          <w14:textFill>
            <w14:solidFill>
              <w14:schemeClr w14:val="tx1"/>
            </w14:solidFill>
          </w14:textFill>
        </w:rPr>
        <w:t>取样法确定检测批灌浆料抗压强度推定值时，可剔除圆柱体试件抗压强度样本中的异常值。剔除规则应按现行国家标准《数据的统计处理和解释</w:t>
      </w:r>
      <w:r>
        <w:rPr>
          <w:rFonts w:ascii="Times New Roman" w:hAnsi="Times New Roman"/>
          <w:color w:val="000000" w:themeColor="text1"/>
          <w14:textFill>
            <w14:solidFill>
              <w14:schemeClr w14:val="tx1"/>
            </w14:solidFill>
          </w14:textFill>
        </w:rPr>
        <w:t xml:space="preserve"> </w:t>
      </w:r>
      <w:r>
        <w:rPr>
          <w:rFonts w:ascii="Times New Roman"/>
          <w:color w:val="000000" w:themeColor="text1"/>
          <w14:textFill>
            <w14:solidFill>
              <w14:schemeClr w14:val="tx1"/>
            </w14:solidFill>
          </w14:textFill>
        </w:rPr>
        <w:t>正态样本离群值的判断和处理》</w:t>
      </w:r>
      <w:r>
        <w:rPr>
          <w:rFonts w:ascii="Times New Roman" w:hAnsi="Times New Roman"/>
          <w:color w:val="000000" w:themeColor="text1"/>
          <w14:textFill>
            <w14:solidFill>
              <w14:schemeClr w14:val="tx1"/>
            </w14:solidFill>
          </w14:textFill>
        </w:rPr>
        <w:t>GB/T 4883</w:t>
      </w:r>
      <w:r>
        <w:rPr>
          <w:rFonts w:ascii="Times New Roman"/>
          <w:color w:val="000000" w:themeColor="text1"/>
          <w14:textFill>
            <w14:solidFill>
              <w14:schemeClr w14:val="tx1"/>
            </w14:solidFill>
          </w14:textFill>
        </w:rPr>
        <w:t>的有关规定执行。当确有试验依据时，可对圆柱体试件抗压强度样本的标准差进行符合实际情况的修正或调整。</w:t>
      </w:r>
    </w:p>
    <w:p>
      <w:pPr>
        <w:pStyle w:val="66"/>
        <w:spacing w:line="360" w:lineRule="auto"/>
        <w:ind w:firstLine="0" w:firstLineChars="0"/>
        <w:jc w:val="center"/>
        <w:rPr>
          <w:rFonts w:ascii="Times New Roman" w:hAnsi="Times New Roman"/>
          <w:b/>
          <w:color w:val="000000" w:themeColor="text1"/>
          <w14:textFill>
            <w14:solidFill>
              <w14:schemeClr w14:val="tx1"/>
            </w14:solidFill>
          </w14:textFill>
        </w:rPr>
      </w:pPr>
      <w:bookmarkStart w:id="142" w:name="_Toc28091139"/>
      <w:bookmarkStart w:id="143" w:name="_Toc28090855"/>
      <w:bookmarkStart w:id="144" w:name="_Toc28088197"/>
      <w:r>
        <w:rPr>
          <w:rFonts w:ascii="Times New Roman" w:hAnsi="Times New Roman"/>
          <w:b/>
          <w:color w:val="000000" w:themeColor="text1"/>
          <w14:textFill>
            <w14:solidFill>
              <w14:schemeClr w14:val="tx1"/>
            </w14:solidFill>
          </w14:textFill>
        </w:rPr>
        <w:t xml:space="preserve">E.4  </w:t>
      </w:r>
      <w:bookmarkEnd w:id="142"/>
      <w:bookmarkEnd w:id="143"/>
      <w:bookmarkEnd w:id="144"/>
      <w:r>
        <w:rPr>
          <w:rFonts w:ascii="Times New Roman" w:hAnsi="Times New Roman"/>
          <w:b/>
          <w:color w:val="000000" w:themeColor="text1"/>
          <w14:textFill>
            <w14:solidFill>
              <w14:schemeClr w14:val="tx1"/>
            </w14:solidFill>
          </w14:textFill>
        </w:rPr>
        <w:t>抗压强度换算系数确定方法</w:t>
      </w:r>
    </w:p>
    <w:p>
      <w:pPr>
        <w:adjustRightInd w:val="0"/>
        <w:snapToGrid w:val="0"/>
        <w:spacing w:line="360" w:lineRule="auto"/>
        <w:rPr>
          <w:color w:val="000000" w:themeColor="text1"/>
          <w:sz w:val="24"/>
          <w14:textFill>
            <w14:solidFill>
              <w14:schemeClr w14:val="tx1"/>
            </w14:solidFill>
          </w14:textFill>
        </w:rPr>
      </w:pPr>
      <w:r>
        <w:rPr>
          <w:b/>
          <w:bCs/>
          <w:color w:val="000000" w:themeColor="text1"/>
          <w:sz w:val="24"/>
          <w14:textFill>
            <w14:solidFill>
              <w14:schemeClr w14:val="tx1"/>
            </w14:solidFill>
          </w14:textFill>
        </w:rPr>
        <w:t xml:space="preserve">E.4.1  </w:t>
      </w:r>
      <w:r>
        <w:rPr>
          <w:color w:val="000000" w:themeColor="text1"/>
          <w:sz w:val="24"/>
          <w14:textFill>
            <w14:solidFill>
              <w14:schemeClr w14:val="tx1"/>
            </w14:solidFill>
          </w14:textFill>
        </w:rPr>
        <w:t>取样法检测宜建立灌浆料圆柱体试件与棱柱体试件的抗压强度专用换算系数，试件的制作、养护应符合下列规定：</w:t>
      </w:r>
    </w:p>
    <w:p>
      <w:pPr>
        <w:adjustRightInd w:val="0"/>
        <w:snapToGrid w:val="0"/>
        <w:spacing w:line="360" w:lineRule="auto"/>
        <w:ind w:firstLine="481"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1</w:t>
      </w:r>
      <w:r>
        <w:rPr>
          <w:color w:val="000000" w:themeColor="text1"/>
          <w:sz w:val="24"/>
          <w14:textFill>
            <w14:solidFill>
              <w14:schemeClr w14:val="tx1"/>
            </w14:solidFill>
          </w14:textFill>
        </w:rPr>
        <w:t xml:space="preserve">  采用与实际灌浆施工相同的灌浆料品牌、规格型号；</w:t>
      </w:r>
    </w:p>
    <w:p>
      <w:pPr>
        <w:adjustRightInd w:val="0"/>
        <w:snapToGrid w:val="0"/>
        <w:spacing w:line="360" w:lineRule="auto"/>
        <w:ind w:firstLine="481"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2</w:t>
      </w:r>
      <w:r>
        <w:rPr>
          <w:color w:val="000000" w:themeColor="text1"/>
          <w:sz w:val="24"/>
          <w14:textFill>
            <w14:solidFill>
              <w14:schemeClr w14:val="tx1"/>
            </w14:solidFill>
          </w14:textFill>
        </w:rPr>
        <w:t xml:space="preserve">  按照产品说明书要求的掺水量，制作不少于6批试件，每批试件的强度试验龄期不应少于3个，且应包含3d、7d和28d；</w:t>
      </w:r>
    </w:p>
    <w:p>
      <w:pPr>
        <w:adjustRightInd w:val="0"/>
        <w:snapToGrid w:val="0"/>
        <w:spacing w:line="360" w:lineRule="auto"/>
        <w:ind w:firstLine="481"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3</w:t>
      </w:r>
      <w:r>
        <w:rPr>
          <w:color w:val="000000" w:themeColor="text1"/>
          <w:sz w:val="24"/>
          <w14:textFill>
            <w14:solidFill>
              <w14:schemeClr w14:val="tx1"/>
            </w14:solidFill>
          </w14:textFill>
        </w:rPr>
        <w:t xml:space="preserve">  应同一锅搅拌分别制作圆柱体试件和棱柱体试件；</w:t>
      </w:r>
    </w:p>
    <w:p>
      <w:pPr>
        <w:adjustRightInd w:val="0"/>
        <w:snapToGrid w:val="0"/>
        <w:spacing w:line="360" w:lineRule="auto"/>
        <w:ind w:firstLine="481"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 xml:space="preserve">4 </w:t>
      </w:r>
      <w:r>
        <w:rPr>
          <w:color w:val="000000" w:themeColor="text1"/>
          <w:sz w:val="24"/>
          <w14:textFill>
            <w14:solidFill>
              <w14:schemeClr w14:val="tx1"/>
            </w14:solidFill>
          </w14:textFill>
        </w:rPr>
        <w:t xml:space="preserve"> 各批每个龄期应分别制作不少于30个圆柱体试件，试件尺寸应与强度检测用圆柱体试件一致，宜采用与工程现场灌浆相同的灌浆管、排浆管、外接延长管制作，应按本</w:t>
      </w:r>
      <w:r>
        <w:rPr>
          <w:rFonts w:hint="eastAsia"/>
          <w:color w:val="000000" w:themeColor="text1"/>
          <w:sz w:val="24"/>
          <w14:textFill>
            <w14:solidFill>
              <w14:schemeClr w14:val="tx1"/>
            </w14:solidFill>
          </w14:textFill>
        </w:rPr>
        <w:t>标准</w:t>
      </w:r>
      <w:r>
        <w:rPr>
          <w:color w:val="000000" w:themeColor="text1"/>
          <w:sz w:val="24"/>
          <w14:textFill>
            <w14:solidFill>
              <w14:schemeClr w14:val="tx1"/>
            </w14:solidFill>
          </w14:textFill>
        </w:rPr>
        <w:t>第</w:t>
      </w:r>
      <w:r>
        <w:rPr>
          <w:rFonts w:hint="eastAsia"/>
          <w:color w:val="000000" w:themeColor="text1"/>
          <w:sz w:val="24"/>
          <w14:textFill>
            <w14:solidFill>
              <w14:schemeClr w14:val="tx1"/>
            </w14:solidFill>
          </w14:textFill>
        </w:rPr>
        <w:t>E.2节有关</w:t>
      </w:r>
      <w:r>
        <w:rPr>
          <w:color w:val="000000" w:themeColor="text1"/>
          <w:sz w:val="24"/>
          <w14:textFill>
            <w14:solidFill>
              <w14:schemeClr w14:val="tx1"/>
            </w14:solidFill>
          </w14:textFill>
        </w:rPr>
        <w:t>要求进行切割加工，除高径比外，圆柱体试件质量应符合</w:t>
      </w:r>
      <w:r>
        <w:rPr>
          <w:rFonts w:hint="eastAsia"/>
          <w:color w:val="000000" w:themeColor="text1"/>
          <w:sz w:val="24"/>
          <w14:textFill>
            <w14:solidFill>
              <w14:schemeClr w14:val="tx1"/>
            </w14:solidFill>
          </w14:textFill>
        </w:rPr>
        <w:t>本标准</w:t>
      </w:r>
      <w:r>
        <w:rPr>
          <w:color w:val="000000" w:themeColor="text1"/>
          <w:sz w:val="24"/>
          <w14:textFill>
            <w14:solidFill>
              <w14:schemeClr w14:val="tx1"/>
            </w14:solidFill>
          </w14:textFill>
        </w:rPr>
        <w:t>第</w:t>
      </w:r>
      <w:r>
        <w:rPr>
          <w:bCs/>
          <w:color w:val="000000" w:themeColor="text1"/>
          <w:sz w:val="24"/>
          <w:szCs w:val="24"/>
          <w14:textFill>
            <w14:solidFill>
              <w14:schemeClr w14:val="tx1"/>
            </w14:solidFill>
          </w14:textFill>
        </w:rPr>
        <w:t>E.2.7</w:t>
      </w:r>
      <w:r>
        <w:rPr>
          <w:color w:val="000000" w:themeColor="text1"/>
          <w:sz w:val="24"/>
          <w:szCs w:val="24"/>
          <w14:textFill>
            <w14:solidFill>
              <w14:schemeClr w14:val="tx1"/>
            </w14:solidFill>
          </w14:textFill>
        </w:rPr>
        <w:t>条</w:t>
      </w:r>
      <w:r>
        <w:rPr>
          <w:color w:val="000000" w:themeColor="text1"/>
          <w:sz w:val="24"/>
          <w14:textFill>
            <w14:solidFill>
              <w14:schemeClr w14:val="tx1"/>
            </w14:solidFill>
          </w14:textFill>
        </w:rPr>
        <w:t>的要求；</w:t>
      </w:r>
    </w:p>
    <w:p>
      <w:pPr>
        <w:adjustRightInd w:val="0"/>
        <w:snapToGrid w:val="0"/>
        <w:spacing w:line="360" w:lineRule="auto"/>
        <w:ind w:firstLine="481" w:firstLineChars="200"/>
        <w:rPr>
          <w:sz w:val="24"/>
        </w:rPr>
      </w:pPr>
      <w:r>
        <w:rPr>
          <w:b/>
          <w:bCs/>
          <w:color w:val="000000"/>
          <w:sz w:val="24"/>
        </w:rPr>
        <w:t>5</w:t>
      </w:r>
      <w:r>
        <w:rPr>
          <w:sz w:val="24"/>
        </w:rPr>
        <w:t xml:space="preserve">  各批每个龄期应分别制作不少于6块40mm×40mm×160mm的棱柱体试件；</w:t>
      </w:r>
    </w:p>
    <w:p>
      <w:pPr>
        <w:adjustRightInd w:val="0"/>
        <w:snapToGrid w:val="0"/>
        <w:spacing w:line="360" w:lineRule="auto"/>
        <w:ind w:firstLine="481" w:firstLineChars="200"/>
        <w:rPr>
          <w:color w:val="000000" w:themeColor="text1"/>
          <w:sz w:val="24"/>
          <w14:textFill>
            <w14:solidFill>
              <w14:schemeClr w14:val="tx1"/>
            </w14:solidFill>
          </w14:textFill>
        </w:rPr>
      </w:pPr>
      <w:r>
        <w:rPr>
          <w:b/>
          <w:bCs/>
          <w:color w:val="000000"/>
          <w:sz w:val="24"/>
        </w:rPr>
        <w:t>6</w:t>
      </w:r>
      <w:r>
        <w:rPr>
          <w:color w:val="000000" w:themeColor="text1"/>
          <w:sz w:val="24"/>
          <w14:textFill>
            <w14:solidFill>
              <w14:schemeClr w14:val="tx1"/>
            </w14:solidFill>
          </w14:textFill>
        </w:rPr>
        <w:t xml:space="preserve">  圆柱体试件和棱柱体试件均应在相同养护条件下养护到相同龄期再进行抗压强度试验。</w:t>
      </w:r>
    </w:p>
    <w:p>
      <w:pPr>
        <w:adjustRightInd w:val="0"/>
        <w:snapToGrid w:val="0"/>
        <w:spacing w:line="360" w:lineRule="auto"/>
        <w:rPr>
          <w:color w:val="000000" w:themeColor="text1"/>
          <w:sz w:val="24"/>
          <w14:textFill>
            <w14:solidFill>
              <w14:schemeClr w14:val="tx1"/>
            </w14:solidFill>
          </w14:textFill>
        </w:rPr>
      </w:pPr>
      <w:r>
        <w:rPr>
          <w:b/>
          <w:bCs/>
          <w:color w:val="000000"/>
          <w:sz w:val="24"/>
        </w:rPr>
        <w:t xml:space="preserve">E.4.2  </w:t>
      </w:r>
      <w:r>
        <w:rPr>
          <w:rFonts w:hint="eastAsia"/>
          <w:bCs/>
          <w:color w:val="000000"/>
          <w:sz w:val="24"/>
        </w:rPr>
        <w:t>应</w:t>
      </w:r>
      <w:r>
        <w:rPr>
          <w:color w:val="000000" w:themeColor="text1"/>
          <w:sz w:val="24"/>
          <w14:textFill>
            <w14:solidFill>
              <w14:schemeClr w14:val="tx1"/>
            </w14:solidFill>
          </w14:textFill>
        </w:rPr>
        <w:t>根据现行国家标准《水泥胶砂强度检验方法（ISO法）》GB/T 17671对棱柱体试件的抗压强度进行测试，每组宜获得不少于12个抗压强度试验值，并计算各组试件抗压强度平均值</w:t>
      </w:r>
      <w:r>
        <w:rPr>
          <w:color w:val="000000" w:themeColor="text1"/>
          <w:position w:val="-14"/>
          <w:sz w:val="24"/>
          <w14:textFill>
            <w14:solidFill>
              <w14:schemeClr w14:val="tx1"/>
            </w14:solidFill>
          </w14:textFill>
        </w:rPr>
        <w:object>
          <v:shape id="_x0000_i1124" o:spt="75" type="#_x0000_t75" style="height:19.6pt;width:19.6pt;" o:ole="t" filled="f" o:preferrelative="t" stroked="f" coordsize="21600,21600">
            <v:path/>
            <v:fill on="f" focussize="0,0"/>
            <v:stroke on="f" joinstyle="miter"/>
            <v:imagedata r:id="rId196" o:title=""/>
            <o:lock v:ext="edit" aspectratio="t"/>
            <w10:wrap type="none"/>
            <w10:anchorlock/>
          </v:shape>
          <o:OLEObject Type="Embed" ProgID="Equation.DSMT4" ShapeID="_x0000_i1124" DrawAspect="Content" ObjectID="_1468075824" r:id="rId195">
            <o:LockedField>false</o:LockedField>
          </o:OLEObject>
        </w:object>
      </w:r>
      <w:r>
        <w:rPr>
          <w:color w:val="000000" w:themeColor="text1"/>
          <w:sz w:val="24"/>
          <w14:textFill>
            <w14:solidFill>
              <w14:schemeClr w14:val="tx1"/>
            </w14:solidFill>
          </w14:textFill>
        </w:rPr>
        <w:t>。</w:t>
      </w:r>
    </w:p>
    <w:p>
      <w:pPr>
        <w:adjustRightInd w:val="0"/>
        <w:snapToGrid w:val="0"/>
        <w:spacing w:line="360" w:lineRule="auto"/>
        <w:rPr>
          <w:color w:val="44546A" w:themeColor="text2"/>
          <w:sz w:val="24"/>
          <w14:textFill>
            <w14:solidFill>
              <w14:schemeClr w14:val="tx2"/>
            </w14:solidFill>
          </w14:textFill>
        </w:rPr>
      </w:pPr>
      <w:r>
        <w:rPr>
          <w:b/>
          <w:bCs/>
          <w:color w:val="000000"/>
          <w:sz w:val="24"/>
        </w:rPr>
        <w:t xml:space="preserve">E.4.3  </w:t>
      </w:r>
      <w:r>
        <w:rPr>
          <w:color w:val="000000" w:themeColor="text1"/>
          <w:sz w:val="24"/>
          <w14:textFill>
            <w14:solidFill>
              <w14:schemeClr w14:val="tx1"/>
            </w14:solidFill>
          </w14:textFill>
        </w:rPr>
        <w:t>根据</w:t>
      </w:r>
      <w:r>
        <w:rPr>
          <w:rFonts w:hint="eastAsia"/>
          <w:color w:val="000000" w:themeColor="text1"/>
          <w:sz w:val="24"/>
          <w14:textFill>
            <w14:solidFill>
              <w14:schemeClr w14:val="tx1"/>
            </w14:solidFill>
          </w14:textFill>
        </w:rPr>
        <w:t>本标准</w:t>
      </w:r>
      <w:r>
        <w:rPr>
          <w:color w:val="000000" w:themeColor="text1"/>
          <w:sz w:val="24"/>
          <w14:textFill>
            <w14:solidFill>
              <w14:schemeClr w14:val="tx1"/>
            </w14:solidFill>
          </w14:textFill>
        </w:rPr>
        <w:t>第E.3.2条的规定对灌浆料圆柱体试件的抗压强度进行测试，每组宜获得不少于21个抗压强度测试值，并计算各组圆柱体试件抗压强度平均值</w:t>
      </w:r>
      <w:r>
        <w:rPr>
          <w:color w:val="000000" w:themeColor="text1"/>
          <w:position w:val="-14"/>
          <w:sz w:val="24"/>
          <w14:textFill>
            <w14:solidFill>
              <w14:schemeClr w14:val="tx1"/>
            </w14:solidFill>
          </w14:textFill>
        </w:rPr>
        <w:object>
          <v:shape id="_x0000_i1125" o:spt="75" type="#_x0000_t75" style="height:19.6pt;width:19.6pt;" o:ole="t" filled="f" o:preferrelative="t" stroked="f" coordsize="21600,21600">
            <v:path/>
            <v:fill on="f" focussize="0,0"/>
            <v:stroke on="f" joinstyle="miter"/>
            <v:imagedata r:id="rId198" o:title=""/>
            <o:lock v:ext="edit" aspectratio="t"/>
            <w10:wrap type="none"/>
            <w10:anchorlock/>
          </v:shape>
          <o:OLEObject Type="Embed" ProgID="Equation.DSMT4" ShapeID="_x0000_i1125" DrawAspect="Content" ObjectID="_1468075825" r:id="rId197">
            <o:LockedField>false</o:LockedField>
          </o:OLEObject>
        </w:object>
      </w:r>
      <w:r>
        <w:rPr>
          <w:color w:val="000000" w:themeColor="text1"/>
          <w:sz w:val="24"/>
          <w14:textFill>
            <w14:solidFill>
              <w14:schemeClr w14:val="tx1"/>
            </w14:solidFill>
          </w14:textFill>
        </w:rPr>
        <w:t>。</w:t>
      </w:r>
    </w:p>
    <w:p>
      <w:pPr>
        <w:adjustRightInd w:val="0"/>
        <w:snapToGrid w:val="0"/>
        <w:spacing w:line="360" w:lineRule="auto"/>
        <w:rPr>
          <w:color w:val="FF0000"/>
          <w:sz w:val="24"/>
        </w:rPr>
      </w:pPr>
      <w:r>
        <w:rPr>
          <w:b/>
          <w:bCs/>
          <w:color w:val="000000"/>
          <w:sz w:val="24"/>
        </w:rPr>
        <w:t xml:space="preserve">E.4.4  </w:t>
      </w:r>
      <w:r>
        <w:rPr>
          <w:color w:val="000000"/>
          <w:sz w:val="24"/>
        </w:rPr>
        <w:t>灌浆料圆柱体试件与棱柱体试</w:t>
      </w:r>
      <w:r>
        <w:rPr>
          <w:color w:val="000000" w:themeColor="text1"/>
          <w:sz w:val="24"/>
          <w14:textFill>
            <w14:solidFill>
              <w14:schemeClr w14:val="tx1"/>
            </w14:solidFill>
          </w14:textFill>
        </w:rPr>
        <w:t>件的抗压强度换算系数的计算应符合下列规定：</w:t>
      </w:r>
    </w:p>
    <w:p>
      <w:pPr>
        <w:adjustRightInd w:val="0"/>
        <w:snapToGrid w:val="0"/>
        <w:spacing w:line="360" w:lineRule="auto"/>
        <w:ind w:firstLine="481" w:firstLineChars="200"/>
        <w:rPr>
          <w:color w:val="000000" w:themeColor="text1"/>
          <w:sz w:val="24"/>
          <w14:textFill>
            <w14:solidFill>
              <w14:schemeClr w14:val="tx1"/>
            </w14:solidFill>
          </w14:textFill>
        </w:rPr>
      </w:pPr>
      <w:r>
        <w:rPr>
          <w:b/>
          <w:bCs/>
          <w:color w:val="000000"/>
          <w:sz w:val="24"/>
        </w:rPr>
        <w:t xml:space="preserve">1  </w:t>
      </w:r>
      <w:r>
        <w:rPr>
          <w:rFonts w:hint="eastAsia"/>
          <w:color w:val="000000" w:themeColor="text1"/>
          <w:sz w:val="24"/>
          <w14:textFill>
            <w14:solidFill>
              <w14:schemeClr w14:val="tx1"/>
            </w14:solidFill>
          </w14:textFill>
        </w:rPr>
        <w:t>应通过</w:t>
      </w:r>
      <w:r>
        <w:rPr>
          <w:color w:val="000000" w:themeColor="text1"/>
          <w:sz w:val="24"/>
          <w14:textFill>
            <w14:solidFill>
              <w14:schemeClr w14:val="tx1"/>
            </w14:solidFill>
          </w14:textFill>
        </w:rPr>
        <w:t>对各组试件测得的</w:t>
      </w:r>
      <w:r>
        <w:rPr>
          <w:color w:val="000000" w:themeColor="text1"/>
          <w:position w:val="-14"/>
          <w:sz w:val="24"/>
          <w14:textFill>
            <w14:solidFill>
              <w14:schemeClr w14:val="tx1"/>
            </w14:solidFill>
          </w14:textFill>
        </w:rPr>
        <w:object>
          <v:shape id="_x0000_i1126" o:spt="75" type="#_x0000_t75" style="height:19.6pt;width:19.6pt;" o:ole="t" filled="f" o:preferrelative="t" stroked="f" coordsize="21600,21600">
            <v:path/>
            <v:fill on="f" focussize="0,0"/>
            <v:stroke on="f" joinstyle="miter"/>
            <v:imagedata r:id="rId196" o:title=""/>
            <o:lock v:ext="edit" aspectratio="t"/>
            <w10:wrap type="none"/>
            <w10:anchorlock/>
          </v:shape>
          <o:OLEObject Type="Embed" ProgID="Equation.DSMT4" ShapeID="_x0000_i1126" DrawAspect="Content" ObjectID="_1468075826" r:id="rId199">
            <o:LockedField>false</o:LockedField>
          </o:OLEObject>
        </w:object>
      </w:r>
      <w:r>
        <w:rPr>
          <w:color w:val="000000" w:themeColor="text1"/>
          <w:sz w:val="24"/>
          <w14:textFill>
            <w14:solidFill>
              <w14:schemeClr w14:val="tx1"/>
            </w14:solidFill>
          </w14:textFill>
        </w:rPr>
        <w:t>和</w:t>
      </w:r>
      <w:r>
        <w:rPr>
          <w:color w:val="000000" w:themeColor="text1"/>
          <w:position w:val="-14"/>
          <w:sz w:val="24"/>
          <w14:textFill>
            <w14:solidFill>
              <w14:schemeClr w14:val="tx1"/>
            </w14:solidFill>
          </w14:textFill>
        </w:rPr>
        <w:object>
          <v:shape id="_x0000_i1127" o:spt="75" type="#_x0000_t75" style="height:19.6pt;width:19.6pt;" o:ole="t" filled="f" o:preferrelative="t" stroked="f" coordsize="21600,21600">
            <v:path/>
            <v:fill on="f" focussize="0,0"/>
            <v:stroke on="f" joinstyle="miter"/>
            <v:imagedata r:id="rId198" o:title=""/>
            <o:lock v:ext="edit" aspectratio="t"/>
            <w10:wrap type="none"/>
            <w10:anchorlock/>
          </v:shape>
          <o:OLEObject Type="Embed" ProgID="Equation.DSMT4" ShapeID="_x0000_i1127" DrawAspect="Content" ObjectID="_1468075827" r:id="rId200">
            <o:LockedField>false</o:LockedField>
          </o:OLEObject>
        </w:object>
      </w:r>
      <w:r>
        <w:rPr>
          <w:color w:val="000000" w:themeColor="text1"/>
          <w:sz w:val="24"/>
          <w14:textFill>
            <w14:solidFill>
              <w14:schemeClr w14:val="tx1"/>
            </w14:solidFill>
          </w14:textFill>
        </w:rPr>
        <w:t>进行回归分析</w:t>
      </w:r>
      <w:r>
        <w:rPr>
          <w:rFonts w:hint="eastAsia"/>
          <w:color w:val="000000" w:themeColor="text1"/>
          <w:sz w:val="24"/>
          <w14:textFill>
            <w14:solidFill>
              <w14:schemeClr w14:val="tx1"/>
            </w14:solidFill>
          </w14:textFill>
        </w:rPr>
        <w:t>确定</w:t>
      </w:r>
      <w:r>
        <w:rPr>
          <w:color w:val="000000" w:themeColor="text1"/>
          <w:sz w:val="24"/>
          <w14:textFill>
            <w14:solidFill>
              <w14:schemeClr w14:val="tx1"/>
            </w14:solidFill>
          </w14:textFill>
        </w:rPr>
        <w:t>圆柱体试件抗压强度换算系数。</w:t>
      </w:r>
    </w:p>
    <w:p>
      <w:pPr>
        <w:adjustRightInd w:val="0"/>
        <w:snapToGrid w:val="0"/>
        <w:spacing w:line="360" w:lineRule="auto"/>
        <w:ind w:firstLine="481" w:firstLineChars="200"/>
        <w:rPr>
          <w:color w:val="000000" w:themeColor="text1"/>
          <w:sz w:val="24"/>
          <w14:textFill>
            <w14:solidFill>
              <w14:schemeClr w14:val="tx1"/>
            </w14:solidFill>
          </w14:textFill>
        </w:rPr>
      </w:pPr>
      <w:r>
        <w:rPr>
          <w:b/>
          <w:bCs/>
          <w:color w:val="000000"/>
          <w:sz w:val="24"/>
        </w:rPr>
        <w:t>2</w:t>
      </w:r>
      <w:r>
        <w:rPr>
          <w:color w:val="000000" w:themeColor="text1"/>
          <w:sz w:val="24"/>
          <w14:textFill>
            <w14:solidFill>
              <w14:schemeClr w14:val="tx1"/>
            </w14:solidFill>
          </w14:textFill>
        </w:rPr>
        <w:t xml:space="preserve">  回归方程式宜采用以下函数关系式：</w:t>
      </w:r>
    </w:p>
    <w:p>
      <w:pPr>
        <w:adjustRightInd w:val="0"/>
        <w:snapToGrid w:val="0"/>
        <w:spacing w:line="360" w:lineRule="auto"/>
        <w:ind w:firstLine="480" w:firstLineChars="200"/>
        <w:jc w:val="right"/>
        <w:rPr>
          <w:color w:val="000000" w:themeColor="text1"/>
          <w:sz w:val="24"/>
          <w14:textFill>
            <w14:solidFill>
              <w14:schemeClr w14:val="tx1"/>
            </w14:solidFill>
          </w14:textFill>
        </w:rPr>
      </w:pPr>
      <w:bookmarkStart w:id="145" w:name="_Hlk119937007"/>
      <w:r>
        <w:rPr>
          <w:color w:val="000000" w:themeColor="text1"/>
          <w:position w:val="-14"/>
          <w:sz w:val="24"/>
          <w14:textFill>
            <w14:solidFill>
              <w14:schemeClr w14:val="tx1"/>
            </w14:solidFill>
          </w14:textFill>
        </w:rPr>
        <w:object>
          <v:shape id="_x0000_i1128" o:spt="75" type="#_x0000_t75" style="height:19.6pt;width:66.25pt;" o:ole="t" filled="f" o:preferrelative="t" stroked="f" coordsize="21600,21600">
            <v:path/>
            <v:fill on="f" focussize="0,0"/>
            <v:stroke on="f" joinstyle="miter"/>
            <v:imagedata r:id="rId202" o:title=""/>
            <o:lock v:ext="edit" aspectratio="t"/>
            <w10:wrap type="none"/>
            <w10:anchorlock/>
          </v:shape>
          <o:OLEObject Type="Embed" ProgID="Equation.DSMT4" ShapeID="_x0000_i1128" DrawAspect="Content" ObjectID="_1468075828" r:id="rId201">
            <o:LockedField>false</o:LockedField>
          </o:OLEObject>
        </w:objec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E.4.4-1</w:t>
      </w:r>
      <w:r>
        <w:rPr>
          <w:rFonts w:hint="eastAsia"/>
          <w:color w:val="000000" w:themeColor="text1"/>
          <w:sz w:val="24"/>
          <w14:textFill>
            <w14:solidFill>
              <w14:schemeClr w14:val="tx1"/>
            </w14:solidFill>
          </w14:textFill>
        </w:rPr>
        <w:t>）</w:t>
      </w:r>
    </w:p>
    <w:p>
      <w:pPr>
        <w:adjustRightInd w:val="0"/>
        <w:snapToGrid w:val="0"/>
        <w:spacing w:line="360" w:lineRule="auto"/>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式中：</w:t>
      </w:r>
      <w:r>
        <w:rPr>
          <w:color w:val="000000" w:themeColor="text1"/>
          <w:position w:val="-12"/>
          <w:sz w:val="24"/>
          <w14:textFill>
            <w14:solidFill>
              <w14:schemeClr w14:val="tx1"/>
            </w14:solidFill>
          </w14:textFill>
        </w:rPr>
        <w:object>
          <v:shape id="_x0000_i1129" o:spt="75" type="#_x0000_t75" style="height:19.6pt;width:17.3pt;" o:ole="t" filled="f" o:preferrelative="t" stroked="f" coordsize="21600,21600">
            <v:path/>
            <v:fill on="f" focussize="0,0"/>
            <v:stroke on="f" joinstyle="miter"/>
            <v:imagedata r:id="rId15" o:title=""/>
            <o:lock v:ext="edit" aspectratio="t"/>
            <w10:wrap type="none"/>
            <w10:anchorlock/>
          </v:shape>
          <o:OLEObject Type="Embed" ProgID="Equation.DSMT4" ShapeID="_x0000_i1129" DrawAspect="Content" ObjectID="_1468075829" r:id="rId203">
            <o:LockedField>false</o:LockedField>
          </o:OLEObject>
        </w:object>
      </w:r>
      <w:r>
        <w:rPr>
          <w:color w:val="000000" w:themeColor="text1"/>
          <w:sz w:val="24"/>
          <w14:textFill>
            <w14:solidFill>
              <w14:schemeClr w14:val="tx1"/>
            </w14:solidFill>
          </w14:textFill>
        </w:rPr>
        <w:t>——灌浆料棱柱体试件抗压强度值，回归方程式的因变量</w:t>
      </w:r>
      <w:r>
        <w:rPr>
          <w:color w:val="000000"/>
          <w:sz w:val="24"/>
        </w:rPr>
        <w:t>，</w:t>
      </w:r>
      <w:r>
        <w:rPr>
          <w:rFonts w:hint="eastAsia"/>
          <w:color w:val="000000"/>
          <w:sz w:val="24"/>
        </w:rPr>
        <w:t>应</w:t>
      </w:r>
      <w:r>
        <w:rPr>
          <w:color w:val="000000"/>
          <w:sz w:val="24"/>
        </w:rPr>
        <w:t>精确至0.1MPa</w:t>
      </w:r>
      <w:r>
        <w:rPr>
          <w:color w:val="000000" w:themeColor="text1"/>
          <w:sz w:val="24"/>
          <w14:textFill>
            <w14:solidFill>
              <w14:schemeClr w14:val="tx1"/>
            </w14:solidFill>
          </w14:textFill>
        </w:rPr>
        <w:t>；</w:t>
      </w:r>
    </w:p>
    <w:p>
      <w:pPr>
        <w:adjustRightInd w:val="0"/>
        <w:snapToGrid w:val="0"/>
        <w:spacing w:line="360" w:lineRule="auto"/>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w:t>
      </w:r>
      <w:r>
        <w:rPr>
          <w:color w:val="000000" w:themeColor="text1"/>
          <w:position w:val="-14"/>
          <w:sz w:val="24"/>
          <w14:textFill>
            <w14:solidFill>
              <w14:schemeClr w14:val="tx1"/>
            </w14:solidFill>
          </w14:textFill>
        </w:rPr>
        <w:object>
          <v:shape id="_x0000_i1130" o:spt="75" type="#_x0000_t75" style="height:19.6pt;width:17.3pt;" o:ole="t" filled="f" o:preferrelative="t" stroked="f" coordsize="21600,21600">
            <v:path/>
            <v:fill on="f" focussize="0,0"/>
            <v:stroke on="f" joinstyle="miter"/>
            <v:imagedata r:id="rId27" o:title=""/>
            <o:lock v:ext="edit" aspectratio="t"/>
            <w10:wrap type="none"/>
            <w10:anchorlock/>
          </v:shape>
          <o:OLEObject Type="Embed" ProgID="Equation.DSMT4" ShapeID="_x0000_i1130" DrawAspect="Content" ObjectID="_1468075830" r:id="rId204">
            <o:LockedField>false</o:LockedField>
          </o:OLEObject>
        </w:object>
      </w:r>
      <w:r>
        <w:rPr>
          <w:color w:val="000000" w:themeColor="text1"/>
          <w:sz w:val="24"/>
          <w14:textFill>
            <w14:solidFill>
              <w14:schemeClr w14:val="tx1"/>
            </w14:solidFill>
          </w14:textFill>
        </w:rPr>
        <w:t>——灌浆料圆柱体试件抗压强度值，回归方程式的自变量</w:t>
      </w:r>
      <w:r>
        <w:rPr>
          <w:color w:val="000000"/>
          <w:sz w:val="24"/>
        </w:rPr>
        <w:t>，</w:t>
      </w:r>
      <w:r>
        <w:rPr>
          <w:rFonts w:hint="eastAsia"/>
          <w:color w:val="000000"/>
          <w:sz w:val="24"/>
        </w:rPr>
        <w:t>应</w:t>
      </w:r>
      <w:r>
        <w:rPr>
          <w:color w:val="000000"/>
          <w:sz w:val="24"/>
        </w:rPr>
        <w:t>精确至0.1MPa</w:t>
      </w:r>
      <w:r>
        <w:rPr>
          <w:rFonts w:hint="eastAsia"/>
          <w:color w:val="000000" w:themeColor="text1"/>
          <w:sz w:val="24"/>
          <w14:textFill>
            <w14:solidFill>
              <w14:schemeClr w14:val="tx1"/>
            </w14:solidFill>
          </w14:textFill>
        </w:rPr>
        <w:t>。</w:t>
      </w:r>
    </w:p>
    <w:p>
      <w:pPr>
        <w:adjustRightInd w:val="0"/>
        <w:snapToGrid w:val="0"/>
        <w:spacing w:line="360" w:lineRule="auto"/>
        <w:ind w:firstLine="481"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3</w:t>
      </w:r>
      <w:r>
        <w:rPr>
          <w:color w:val="000000" w:themeColor="text1"/>
          <w:sz w:val="24"/>
          <w14:textFill>
            <w14:solidFill>
              <w14:schemeClr w14:val="tx1"/>
            </w14:solidFill>
          </w14:textFill>
        </w:rPr>
        <w:t xml:space="preserve">  回归方程式的强度值平均相对误差</w:t>
      </w:r>
      <w:r>
        <w:rPr>
          <w:color w:val="000000" w:themeColor="text1"/>
          <w:position w:val="-12"/>
          <w:sz w:val="24"/>
          <w14:textFill>
            <w14:solidFill>
              <w14:schemeClr w14:val="tx1"/>
            </w14:solidFill>
          </w14:textFill>
        </w:rPr>
        <w:object>
          <v:shape id="_x0000_i1131" o:spt="75" type="#_x0000_t75" style="height:19pt;width:13.25pt;" o:ole="t" filled="f" o:preferrelative="t" stroked="f" coordsize="21600,21600">
            <v:path/>
            <v:fill on="f" focussize="0,0"/>
            <v:stroke on="f" joinstyle="miter"/>
            <v:imagedata r:id="rId206" o:title=""/>
            <o:lock v:ext="edit" aspectratio="t"/>
            <w10:wrap type="none"/>
            <w10:anchorlock/>
          </v:shape>
          <o:OLEObject Type="Embed" ProgID="Equation.DSMT4" ShapeID="_x0000_i1131" DrawAspect="Content" ObjectID="_1468075831" r:id="rId205">
            <o:LockedField>false</o:LockedField>
          </o:OLEObject>
        </w:object>
      </w:r>
      <w:r>
        <w:rPr>
          <w:color w:val="000000" w:themeColor="text1"/>
          <w:sz w:val="24"/>
          <w14:textFill>
            <w14:solidFill>
              <w14:schemeClr w14:val="tx1"/>
            </w14:solidFill>
          </w14:textFill>
        </w:rPr>
        <w:t>不应大于12.0%</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相对误差</w:t>
      </w:r>
      <w:r>
        <w:rPr>
          <w:color w:val="000000" w:themeColor="text1"/>
          <w:position w:val="-12"/>
          <w:sz w:val="24"/>
          <w14:textFill>
            <w14:solidFill>
              <w14:schemeClr w14:val="tx1"/>
            </w14:solidFill>
          </w14:textFill>
        </w:rPr>
        <w:object>
          <v:shape id="_x0000_i1132" o:spt="75" type="#_x0000_t75" style="height:19pt;width:13.25pt;" o:ole="t" filled="f" o:preferrelative="t" stroked="f" coordsize="21600,21600">
            <v:path/>
            <v:fill on="f" focussize="0,0"/>
            <v:stroke on="f" joinstyle="miter"/>
            <v:imagedata r:id="rId208" o:title=""/>
            <o:lock v:ext="edit" aspectratio="t"/>
            <w10:wrap type="none"/>
            <w10:anchorlock/>
          </v:shape>
          <o:OLEObject Type="Embed" ProgID="Equation.DSMT4" ShapeID="_x0000_i1132" DrawAspect="Content" ObjectID="_1468075832" r:id="rId207">
            <o:LockedField>false</o:LockedField>
          </o:OLEObject>
        </w:object>
      </w:r>
      <w:r>
        <w:rPr>
          <w:color w:val="000000" w:themeColor="text1"/>
          <w:sz w:val="24"/>
          <w14:textFill>
            <w14:solidFill>
              <w14:schemeClr w14:val="tx1"/>
            </w14:solidFill>
          </w14:textFill>
        </w:rPr>
        <w:t>应</w:t>
      </w:r>
      <w:r>
        <w:rPr>
          <w:rFonts w:hint="eastAsia"/>
          <w:color w:val="000000" w:themeColor="text1"/>
          <w:sz w:val="24"/>
          <w14:textFill>
            <w14:solidFill>
              <w14:schemeClr w14:val="tx1"/>
            </w14:solidFill>
          </w14:textFill>
        </w:rPr>
        <w:t>按下列公式</w:t>
      </w:r>
      <w:r>
        <w:rPr>
          <w:color w:val="000000" w:themeColor="text1"/>
          <w:sz w:val="24"/>
          <w14:textFill>
            <w14:solidFill>
              <w14:schemeClr w14:val="tx1"/>
            </w14:solidFill>
          </w14:textFill>
        </w:rPr>
        <w:t>计算</w:t>
      </w:r>
      <w:r>
        <w:rPr>
          <w:rFonts w:hint="eastAsia"/>
          <w:color w:val="000000" w:themeColor="text1"/>
          <w:sz w:val="24"/>
          <w14:textFill>
            <w14:solidFill>
              <w14:schemeClr w14:val="tx1"/>
            </w14:solidFill>
          </w14:textFill>
        </w:rPr>
        <w:t>：</w:t>
      </w:r>
    </w:p>
    <w:p>
      <w:pPr>
        <w:adjustRightInd w:val="0"/>
        <w:snapToGrid w:val="0"/>
        <w:spacing w:line="360" w:lineRule="auto"/>
        <w:ind w:firstLine="480" w:firstLineChars="200"/>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w:t>
      </w:r>
      <w:r>
        <w:rPr>
          <w:color w:val="000000" w:themeColor="text1"/>
          <w:position w:val="-34"/>
          <w:sz w:val="24"/>
          <w14:textFill>
            <w14:solidFill>
              <w14:schemeClr w14:val="tx1"/>
            </w14:solidFill>
          </w14:textFill>
        </w:rPr>
        <w:object>
          <v:shape id="_x0000_i1133" o:spt="75" type="#_x0000_t75" style="height:39.75pt;width:114.05pt;" o:ole="t" filled="f" o:preferrelative="t" stroked="f" coordsize="21600,21600">
            <v:path/>
            <v:fill on="f" focussize="0,0"/>
            <v:stroke on="f" joinstyle="miter"/>
            <v:imagedata r:id="rId210" o:title=""/>
            <o:lock v:ext="edit" aspectratio="t"/>
            <w10:wrap type="none"/>
            <w10:anchorlock/>
          </v:shape>
          <o:OLEObject Type="Embed" ProgID="Equation.DSMT4" ShapeID="_x0000_i1133" DrawAspect="Content" ObjectID="_1468075833" r:id="rId209">
            <o:LockedField>false</o:LockedField>
          </o:OLEObject>
        </w:object>
      </w:r>
      <w:r>
        <w:rPr>
          <w:color w:val="000000" w:themeColor="text1"/>
          <w:sz w:val="24"/>
          <w14:textFill>
            <w14:solidFill>
              <w14:schemeClr w14:val="tx1"/>
            </w14:solidFill>
          </w14:textFill>
        </w:rPr>
        <w:t xml:space="preserve">              （E.4.4-2）</w:t>
      </w:r>
    </w:p>
    <w:p>
      <w:pPr>
        <w:adjustRightInd w:val="0"/>
        <w:snapToGrid w:val="0"/>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式中：</w:t>
      </w:r>
      <w:r>
        <w:rPr>
          <w:color w:val="000000" w:themeColor="text1"/>
          <w:position w:val="-12"/>
          <w:sz w:val="24"/>
          <w14:textFill>
            <w14:solidFill>
              <w14:schemeClr w14:val="tx1"/>
            </w14:solidFill>
          </w14:textFill>
        </w:rPr>
        <w:object>
          <v:shape id="_x0000_i1134" o:spt="75" type="#_x0000_t75" style="height:19pt;width:13.25pt;" o:ole="t" filled="f" o:preferrelative="t" stroked="f" coordsize="21600,21600">
            <v:path/>
            <v:fill on="f" focussize="0,0"/>
            <v:stroke on="f" joinstyle="miter"/>
            <v:imagedata r:id="rId212" o:title=""/>
            <o:lock v:ext="edit" aspectratio="t"/>
            <w10:wrap type="none"/>
            <w10:anchorlock/>
          </v:shape>
          <o:OLEObject Type="Embed" ProgID="Equation.DSMT4" ShapeID="_x0000_i1134" DrawAspect="Content" ObjectID="_1468075834" r:id="rId211">
            <o:LockedField>false</o:LockedField>
          </o:OLEObject>
        </w:object>
      </w:r>
      <w:r>
        <w:rPr>
          <w:color w:val="000000" w:themeColor="text1"/>
          <w:sz w:val="24"/>
          <w14:textFill>
            <w14:solidFill>
              <w14:schemeClr w14:val="tx1"/>
            </w14:solidFill>
          </w14:textFill>
        </w:rPr>
        <w:t>——回归方程式的强度值平均相对误差（%），</w:t>
      </w:r>
      <w:r>
        <w:rPr>
          <w:rFonts w:hint="eastAsia"/>
          <w:color w:val="000000" w:themeColor="text1"/>
          <w:sz w:val="24"/>
          <w14:textFill>
            <w14:solidFill>
              <w14:schemeClr w14:val="tx1"/>
            </w14:solidFill>
          </w14:textFill>
        </w:rPr>
        <w:t>应</w:t>
      </w:r>
      <w:r>
        <w:rPr>
          <w:color w:val="000000" w:themeColor="text1"/>
          <w:sz w:val="24"/>
          <w14:textFill>
            <w14:solidFill>
              <w14:schemeClr w14:val="tx1"/>
            </w14:solidFill>
          </w14:textFill>
        </w:rPr>
        <w:t>精确至0.1；</w:t>
      </w:r>
    </w:p>
    <w:p>
      <w:pPr>
        <w:adjustRightInd w:val="0"/>
        <w:snapToGrid w:val="0"/>
        <w:spacing w:line="360" w:lineRule="auto"/>
        <w:ind w:firstLine="720" w:firstLineChars="300"/>
        <w:rPr>
          <w:color w:val="000000"/>
          <w:sz w:val="24"/>
        </w:rPr>
      </w:pPr>
      <w:r>
        <w:rPr>
          <w:color w:val="000000" w:themeColor="text1"/>
          <w:position w:val="-14"/>
          <w:sz w:val="24"/>
          <w14:textFill>
            <w14:solidFill>
              <w14:schemeClr w14:val="tx1"/>
            </w14:solidFill>
          </w14:textFill>
        </w:rPr>
        <w:object>
          <v:shape id="_x0000_i1135" o:spt="75" type="#_x0000_t75" style="height:19.6pt;width:20.75pt;" o:ole="t" filled="f" o:preferrelative="t" stroked="f" coordsize="21600,21600">
            <v:path/>
            <v:fill on="f" focussize="0,0"/>
            <v:stroke on="f" joinstyle="miter"/>
            <v:imagedata r:id="rId25" o:title=""/>
            <o:lock v:ext="edit" aspectratio="t"/>
            <w10:wrap type="none"/>
            <w10:anchorlock/>
          </v:shape>
          <o:OLEObject Type="Embed" ProgID="Equation.DSMT4" ShapeID="_x0000_i1135" DrawAspect="Content" ObjectID="_1468075835" r:id="rId213">
            <o:LockedField>false</o:LockedField>
          </o:OLEObject>
        </w:object>
      </w:r>
      <w:r>
        <w:rPr>
          <w:color w:val="000000" w:themeColor="text1"/>
          <w:sz w:val="24"/>
          <w14:textFill>
            <w14:solidFill>
              <w14:schemeClr w14:val="tx1"/>
            </w14:solidFill>
          </w14:textFill>
        </w:rPr>
        <w:t>——</w:t>
      </w:r>
      <w:r>
        <w:rPr>
          <w:rFonts w:hint="eastAsia"/>
          <w:color w:val="000000" w:themeColor="text1"/>
          <w:sz w:val="24"/>
          <w:szCs w:val="24"/>
          <w14:textFill>
            <w14:solidFill>
              <w14:schemeClr w14:val="tx1"/>
            </w14:solidFill>
          </w14:textFill>
        </w:rPr>
        <w:t>按</w:t>
      </w:r>
      <w:r>
        <w:rPr>
          <w:color w:val="000000" w:themeColor="text1"/>
          <w:sz w:val="24"/>
          <w:szCs w:val="24"/>
          <w14:textFill>
            <w14:solidFill>
              <w14:schemeClr w14:val="tx1"/>
            </w14:solidFill>
          </w14:textFill>
        </w:rPr>
        <w:t>回归方程</w:t>
      </w:r>
      <w:r>
        <w:rPr>
          <w:rFonts w:hint="eastAsia"/>
          <w:color w:val="000000" w:themeColor="text1"/>
          <w:sz w:val="24"/>
          <w:szCs w:val="24"/>
          <w14:textFill>
            <w14:solidFill>
              <w14:schemeClr w14:val="tx1"/>
            </w14:solidFill>
          </w14:textFill>
        </w:rPr>
        <w:t>式</w:t>
      </w:r>
      <w:r>
        <w:rPr>
          <w:color w:val="000000" w:themeColor="text1"/>
          <w:sz w:val="24"/>
          <w:szCs w:val="24"/>
          <w14:textFill>
            <w14:solidFill>
              <w14:schemeClr w14:val="tx1"/>
            </w14:solidFill>
          </w14:textFill>
        </w:rPr>
        <w:t>计算</w:t>
      </w:r>
      <w:r>
        <w:rPr>
          <w:rFonts w:hint="eastAsia"/>
          <w:color w:val="000000" w:themeColor="text1"/>
          <w:sz w:val="24"/>
          <w:szCs w:val="24"/>
          <w14:textFill>
            <w14:solidFill>
              <w14:schemeClr w14:val="tx1"/>
            </w14:solidFill>
          </w14:textFill>
        </w:rPr>
        <w:t>得到</w:t>
      </w:r>
      <w:r>
        <w:rPr>
          <w:color w:val="000000" w:themeColor="text1"/>
          <w:sz w:val="24"/>
          <w:szCs w:val="24"/>
          <w14:textFill>
            <w14:solidFill>
              <w14:schemeClr w14:val="tx1"/>
            </w14:solidFill>
          </w14:textFill>
        </w:rPr>
        <w:t>的灌浆料抗压强度换算值</w:t>
      </w:r>
      <w:r>
        <w:rPr>
          <w:color w:val="000000" w:themeColor="text1"/>
          <w:sz w:val="24"/>
          <w14:textFill>
            <w14:solidFill>
              <w14:schemeClr w14:val="tx1"/>
            </w14:solidFill>
          </w14:textFill>
        </w:rPr>
        <w:t>（MPa）</w:t>
      </w:r>
      <w:r>
        <w:rPr>
          <w:color w:val="000000" w:themeColor="text1"/>
          <w:sz w:val="24"/>
          <w:szCs w:val="24"/>
          <w14:textFill>
            <w14:solidFill>
              <w14:schemeClr w14:val="tx1"/>
            </w14:solidFill>
          </w14:textFill>
        </w:rPr>
        <w:t>，应</w:t>
      </w:r>
      <w:r>
        <w:rPr>
          <w:sz w:val="24"/>
          <w:szCs w:val="24"/>
        </w:rPr>
        <w:t>精确至0.1MPa；</w:t>
      </w:r>
    </w:p>
    <w:p>
      <w:pPr>
        <w:adjustRightInd w:val="0"/>
        <w:snapToGrid w:val="0"/>
        <w:spacing w:line="360" w:lineRule="auto"/>
        <w:ind w:firstLine="720" w:firstLineChars="300"/>
        <w:rPr>
          <w:color w:val="000000"/>
          <w:sz w:val="24"/>
        </w:rPr>
      </w:pPr>
      <w:r>
        <w:rPr>
          <w:color w:val="000000"/>
          <w:position w:val="-14"/>
          <w:sz w:val="24"/>
        </w:rPr>
        <w:object>
          <v:shape id="_x0000_i1136" o:spt="75" type="#_x0000_t75" style="height:19pt;width:19.6pt;" o:ole="t" filled="f" o:preferrelative="t" stroked="f" coordsize="21600,21600">
            <v:path/>
            <v:fill on="f" focussize="0,0"/>
            <v:stroke on="f" joinstyle="miter"/>
            <v:imagedata r:id="rId215" o:title=""/>
            <o:lock v:ext="edit" aspectratio="t"/>
            <w10:wrap type="none"/>
            <w10:anchorlock/>
          </v:shape>
          <o:OLEObject Type="Embed" ProgID="Equation.DSMT4" ShapeID="_x0000_i1136" DrawAspect="Content" ObjectID="_1468075836" r:id="rId214">
            <o:LockedField>false</o:LockedField>
          </o:OLEObject>
        </w:object>
      </w:r>
      <w:r>
        <w:rPr>
          <w:color w:val="000000"/>
          <w:sz w:val="24"/>
        </w:rPr>
        <w:t>——</w:t>
      </w:r>
      <w:r>
        <w:rPr>
          <w:rFonts w:hint="eastAsia"/>
          <w:color w:val="000000"/>
          <w:sz w:val="24"/>
        </w:rPr>
        <w:t>灌浆料</w:t>
      </w:r>
      <w:r>
        <w:rPr>
          <w:color w:val="000000"/>
          <w:sz w:val="24"/>
        </w:rPr>
        <w:t>棱柱体试件抗压强度值（MPa），</w:t>
      </w:r>
      <w:r>
        <w:rPr>
          <w:rFonts w:hint="eastAsia"/>
          <w:color w:val="000000"/>
          <w:sz w:val="24"/>
        </w:rPr>
        <w:t>应</w:t>
      </w:r>
      <w:r>
        <w:rPr>
          <w:color w:val="000000"/>
          <w:sz w:val="24"/>
        </w:rPr>
        <w:t>精确至0.1MPa；</w:t>
      </w:r>
    </w:p>
    <w:p>
      <w:pPr>
        <w:adjustRightInd w:val="0"/>
        <w:snapToGrid w:val="0"/>
        <w:spacing w:line="360" w:lineRule="auto"/>
        <w:ind w:firstLine="720" w:firstLineChars="300"/>
        <w:rPr>
          <w:color w:val="000000" w:themeColor="text1"/>
          <w:sz w:val="24"/>
          <w14:textFill>
            <w14:solidFill>
              <w14:schemeClr w14:val="tx1"/>
            </w14:solidFill>
          </w14:textFill>
        </w:rPr>
      </w:pPr>
      <w:r>
        <w:rPr>
          <w:color w:val="000000" w:themeColor="text1"/>
          <w:position w:val="-6"/>
          <w:sz w:val="24"/>
          <w14:textFill>
            <w14:solidFill>
              <w14:schemeClr w14:val="tx1"/>
            </w14:solidFill>
          </w14:textFill>
        </w:rPr>
        <w:object>
          <v:shape id="_x0000_i1137" o:spt="75" type="#_x0000_t75" style="height:9.8pt;width:15pt;" o:ole="t" filled="f" o:preferrelative="t" stroked="f" coordsize="21600,21600">
            <v:path/>
            <v:fill on="f" focussize="0,0"/>
            <v:stroke on="f" joinstyle="miter"/>
            <v:imagedata r:id="rId217" o:title=""/>
            <o:lock v:ext="edit" aspectratio="t"/>
            <w10:wrap type="none"/>
            <w10:anchorlock/>
          </v:shape>
          <o:OLEObject Type="Embed" ProgID="Equation.DSMT4" ShapeID="_x0000_i1137" DrawAspect="Content" ObjectID="_1468075837" r:id="rId216">
            <o:LockedField>false</o:LockedField>
          </o:OLEObject>
        </w:object>
      </w:r>
      <w:r>
        <w:rPr>
          <w:color w:val="000000" w:themeColor="text1"/>
          <w:sz w:val="24"/>
          <w14:textFill>
            <w14:solidFill>
              <w14:schemeClr w14:val="tx1"/>
            </w14:solidFill>
          </w14:textFill>
        </w:rPr>
        <w:t>——试件组数。</w:t>
      </w:r>
    </w:p>
    <w:bookmarkEnd w:id="145"/>
    <w:p>
      <w:pPr>
        <w:adjustRightInd w:val="0"/>
        <w:snapToGrid w:val="0"/>
        <w:spacing w:line="360" w:lineRule="auto"/>
        <w:ind w:firstLine="481" w:firstLineChars="200"/>
        <w:rPr>
          <w:b/>
          <w:kern w:val="44"/>
          <w:sz w:val="28"/>
          <w:szCs w:val="28"/>
        </w:rPr>
      </w:pPr>
      <w:r>
        <w:rPr>
          <w:b/>
          <w:bCs/>
          <w:color w:val="000000"/>
          <w:sz w:val="24"/>
        </w:rPr>
        <w:t>4</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当</w:t>
      </w:r>
      <w:r>
        <w:rPr>
          <w:color w:val="000000" w:themeColor="text1"/>
          <w:sz w:val="24"/>
          <w14:textFill>
            <w14:solidFill>
              <w14:schemeClr w14:val="tx1"/>
            </w14:solidFill>
          </w14:textFill>
        </w:rPr>
        <w:t>强度值平均相对误差</w:t>
      </w:r>
      <w:r>
        <w:rPr>
          <w:color w:val="000000" w:themeColor="text1"/>
          <w:position w:val="-12"/>
          <w:sz w:val="24"/>
          <w14:textFill>
            <w14:solidFill>
              <w14:schemeClr w14:val="tx1"/>
            </w14:solidFill>
          </w14:textFill>
        </w:rPr>
        <w:object>
          <v:shape id="_x0000_i1138" o:spt="75" type="#_x0000_t75" style="height:19pt;width:13.25pt;" o:ole="t" filled="f" o:preferrelative="t" stroked="f" coordsize="21600,21600">
            <v:path/>
            <v:fill on="f" focussize="0,0"/>
            <v:stroke on="f" joinstyle="miter"/>
            <v:imagedata r:id="rId219" o:title=""/>
            <o:lock v:ext="edit" aspectratio="t"/>
            <w10:wrap type="none"/>
            <w10:anchorlock/>
          </v:shape>
          <o:OLEObject Type="Embed" ProgID="Equation.DSMT4" ShapeID="_x0000_i1138" DrawAspect="Content" ObjectID="_1468075838" r:id="rId218">
            <o:LockedField>false</o:LockedField>
          </o:OLEObject>
        </w:object>
      </w:r>
      <w:r>
        <w:rPr>
          <w:color w:val="000000" w:themeColor="text1"/>
          <w:sz w:val="24"/>
          <w14:textFill>
            <w14:solidFill>
              <w14:schemeClr w14:val="tx1"/>
            </w14:solidFill>
          </w14:textFill>
        </w:rPr>
        <w:t>不满足本条第3款规定时，应增加试件数量补充试验，根据试验结果重新确定回归方程式，直到满足要求后，</w:t>
      </w:r>
      <w:r>
        <w:rPr>
          <w:rFonts w:hint="eastAsia"/>
          <w:color w:val="000000" w:themeColor="text1"/>
          <w:sz w:val="24"/>
          <w14:textFill>
            <w14:solidFill>
              <w14:schemeClr w14:val="tx1"/>
            </w14:solidFill>
          </w14:textFill>
        </w:rPr>
        <w:t>确定的</w:t>
      </w:r>
      <w:r>
        <w:rPr>
          <w:color w:val="000000" w:themeColor="text1"/>
          <w:sz w:val="24"/>
          <w14:textFill>
            <w14:solidFill>
              <w14:schemeClr w14:val="tx1"/>
            </w14:solidFill>
          </w14:textFill>
        </w:rPr>
        <w:t>换算系数才可用于圆柱体试件</w:t>
      </w:r>
      <w:r>
        <w:rPr>
          <w:color w:val="000000"/>
          <w:sz w:val="24"/>
        </w:rPr>
        <w:t>的强度值换算。</w:t>
      </w:r>
      <w:r>
        <w:rPr>
          <w:b/>
          <w:kern w:val="44"/>
          <w:sz w:val="28"/>
          <w:szCs w:val="28"/>
        </w:rPr>
        <w:br w:type="page"/>
      </w:r>
    </w:p>
    <w:p>
      <w:pPr>
        <w:keepNext/>
        <w:keepLines/>
        <w:spacing w:before="240" w:beforeLines="100" w:after="120" w:afterLines="50" w:line="400" w:lineRule="exact"/>
        <w:jc w:val="center"/>
        <w:outlineLvl w:val="0"/>
        <w:rPr>
          <w:b/>
          <w:kern w:val="44"/>
          <w:sz w:val="28"/>
          <w:szCs w:val="28"/>
        </w:rPr>
      </w:pPr>
      <w:bookmarkStart w:id="146" w:name="_Toc120020303"/>
      <w:r>
        <w:rPr>
          <w:b/>
          <w:kern w:val="44"/>
          <w:sz w:val="28"/>
          <w:szCs w:val="28"/>
        </w:rPr>
        <w:t>附录F  回弹法检测套筒灌浆料抗压强度</w:t>
      </w:r>
      <w:bookmarkEnd w:id="146"/>
    </w:p>
    <w:p>
      <w:pPr>
        <w:keepNext/>
        <w:keepLines/>
        <w:spacing w:before="120" w:beforeLines="50" w:after="120" w:afterLines="50" w:line="400" w:lineRule="exact"/>
        <w:jc w:val="center"/>
        <w:rPr>
          <w:b/>
          <w:kern w:val="0"/>
          <w:sz w:val="24"/>
          <w:szCs w:val="24"/>
        </w:rPr>
      </w:pPr>
      <w:r>
        <w:rPr>
          <w:b/>
          <w:kern w:val="0"/>
          <w:sz w:val="24"/>
          <w:szCs w:val="24"/>
        </w:rPr>
        <w:t>F.1  一般规定</w:t>
      </w:r>
    </w:p>
    <w:p>
      <w:pPr>
        <w:spacing w:line="360" w:lineRule="auto"/>
        <w:rPr>
          <w:b/>
          <w:i/>
          <w:color w:val="000000" w:themeColor="text1"/>
          <w:sz w:val="24"/>
          <w:szCs w:val="24"/>
          <w14:textFill>
            <w14:solidFill>
              <w14:schemeClr w14:val="tx1"/>
            </w14:solidFill>
          </w14:textFill>
        </w:rPr>
      </w:pPr>
      <w:r>
        <w:rPr>
          <w:b/>
          <w:color w:val="000000" w:themeColor="text1"/>
          <w:sz w:val="24"/>
          <w:szCs w:val="24"/>
          <w:shd w:val="clear" w:color="auto" w:fill="FFFFFF"/>
          <w14:textFill>
            <w14:solidFill>
              <w14:schemeClr w14:val="tx1"/>
            </w14:solidFill>
          </w14:textFill>
        </w:rPr>
        <w:t xml:space="preserve">F.1.1  </w:t>
      </w:r>
      <w:r>
        <w:rPr>
          <w:rFonts w:hint="eastAsia"/>
          <w:color w:val="000000" w:themeColor="text1"/>
          <w:sz w:val="24"/>
          <w:szCs w:val="24"/>
          <w14:textFill>
            <w14:solidFill>
              <w14:schemeClr w14:val="tx1"/>
            </w14:solidFill>
          </w14:textFill>
        </w:rPr>
        <w:t>回弹法检测套筒灌浆料抗压强度</w:t>
      </w:r>
      <w:r>
        <w:rPr>
          <w:color w:val="000000" w:themeColor="text1"/>
          <w:sz w:val="24"/>
          <w:szCs w:val="24"/>
          <w14:textFill>
            <w14:solidFill>
              <w14:schemeClr w14:val="tx1"/>
            </w14:solidFill>
          </w14:textFill>
        </w:rPr>
        <w:t>应符合下列规定：</w:t>
      </w:r>
      <w:r>
        <w:rPr>
          <w:b/>
          <w:i/>
          <w:color w:val="000000" w:themeColor="text1"/>
          <w:sz w:val="24"/>
          <w:szCs w:val="24"/>
          <w14:textFill>
            <w14:solidFill>
              <w14:schemeClr w14:val="tx1"/>
            </w14:solidFill>
          </w14:textFill>
        </w:rPr>
        <w:t xml:space="preserve"> </w:t>
      </w:r>
    </w:p>
    <w:p>
      <w:pPr>
        <w:spacing w:line="360" w:lineRule="auto"/>
        <w:ind w:firstLine="481" w:firstLineChars="20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1  </w:t>
      </w:r>
      <w:r>
        <w:rPr>
          <w:color w:val="000000" w:themeColor="text1"/>
          <w:sz w:val="24"/>
          <w:szCs w:val="24"/>
          <w14:textFill>
            <w14:solidFill>
              <w14:schemeClr w14:val="tx1"/>
            </w14:solidFill>
          </w14:textFill>
        </w:rPr>
        <w:t>灌浆料龄期不应小于7d；</w:t>
      </w:r>
    </w:p>
    <w:p>
      <w:pPr>
        <w:spacing w:line="360" w:lineRule="auto"/>
        <w:ind w:firstLine="481" w:firstLineChars="20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2  </w:t>
      </w:r>
      <w:r>
        <w:rPr>
          <w:color w:val="000000" w:themeColor="text1"/>
          <w:sz w:val="24"/>
          <w:szCs w:val="24"/>
          <w14:textFill>
            <w14:solidFill>
              <w14:schemeClr w14:val="tx1"/>
            </w14:solidFill>
          </w14:textFill>
        </w:rPr>
        <w:t>检测面不应有明显缺陷，且应处于自然风干状态；</w:t>
      </w:r>
    </w:p>
    <w:p>
      <w:pPr>
        <w:spacing w:line="360" w:lineRule="auto"/>
        <w:ind w:firstLine="481" w:firstLineChars="20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3  </w:t>
      </w:r>
      <w:r>
        <w:rPr>
          <w:color w:val="000000" w:themeColor="text1"/>
          <w:sz w:val="24"/>
          <w:szCs w:val="24"/>
          <w14:textFill>
            <w14:solidFill>
              <w14:schemeClr w14:val="tx1"/>
            </w14:solidFill>
          </w14:textFill>
        </w:rPr>
        <w:t>弹击时灌浆料应无位移；</w:t>
      </w:r>
    </w:p>
    <w:p>
      <w:pPr>
        <w:spacing w:line="360" w:lineRule="auto"/>
        <w:ind w:firstLine="481" w:firstLineChars="20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4  </w:t>
      </w:r>
      <w:r>
        <w:rPr>
          <w:color w:val="000000" w:themeColor="text1"/>
          <w:sz w:val="24"/>
          <w:szCs w:val="24"/>
          <w14:textFill>
            <w14:solidFill>
              <w14:schemeClr w14:val="tx1"/>
            </w14:solidFill>
          </w14:textFill>
        </w:rPr>
        <w:t>抗压强度的检测范围应在40MPa~120MPa之间</w:t>
      </w:r>
      <w:r>
        <w:rPr>
          <w:rFonts w:hint="eastAsia"/>
          <w:color w:val="000000" w:themeColor="text1"/>
          <w:sz w:val="24"/>
          <w:szCs w:val="24"/>
          <w14:textFill>
            <w14:solidFill>
              <w14:schemeClr w14:val="tx1"/>
            </w14:solidFill>
          </w14:textFill>
        </w:rPr>
        <w:t>。</w:t>
      </w:r>
    </w:p>
    <w:p>
      <w:pPr>
        <w:spacing w:line="360" w:lineRule="auto"/>
        <w:rPr>
          <w:color w:val="000000" w:themeColor="text1"/>
          <w:sz w:val="24"/>
          <w:szCs w:val="24"/>
          <w14:textFill>
            <w14:solidFill>
              <w14:schemeClr w14:val="tx1"/>
            </w14:solidFill>
          </w14:textFill>
        </w:rPr>
      </w:pPr>
      <w:r>
        <w:rPr>
          <w:b/>
          <w:bCs/>
          <w:color w:val="000000" w:themeColor="text1"/>
          <w:sz w:val="24"/>
          <w:szCs w:val="24"/>
          <w:shd w:val="clear" w:color="auto" w:fill="FFFFFF"/>
          <w14:textFill>
            <w14:solidFill>
              <w14:schemeClr w14:val="tx1"/>
            </w14:solidFill>
          </w14:textFill>
        </w:rPr>
        <w:t>F.1.2</w:t>
      </w:r>
      <w:r>
        <w:rPr>
          <w:bCs/>
          <w:color w:val="000000" w:themeColor="text1"/>
          <w:sz w:val="24"/>
          <w:szCs w:val="24"/>
          <w:shd w:val="clear" w:color="auto" w:fill="FFFFFF"/>
          <w14:textFill>
            <w14:solidFill>
              <w14:schemeClr w14:val="tx1"/>
            </w14:solidFill>
          </w14:textFill>
        </w:rPr>
        <w:t xml:space="preserve">  回弹法检测套筒灌浆料抗压强度应采用专用的灌浆料回弹仪，并</w:t>
      </w:r>
      <w:r>
        <w:rPr>
          <w:color w:val="000000" w:themeColor="text1"/>
          <w:sz w:val="24"/>
          <w:szCs w:val="24"/>
          <w14:textFill>
            <w14:solidFill>
              <w14:schemeClr w14:val="tx1"/>
            </w14:solidFill>
          </w14:textFill>
        </w:rPr>
        <w:t>应符合下列规定：</w:t>
      </w:r>
    </w:p>
    <w:p>
      <w:pPr>
        <w:pStyle w:val="72"/>
        <w:adjustRightInd/>
        <w:snapToGrid/>
        <w:spacing w:line="360" w:lineRule="auto"/>
        <w:ind w:firstLine="482"/>
        <w:rPr>
          <w:color w:val="000000" w:themeColor="text1"/>
          <w:sz w:val="24"/>
          <w:szCs w:val="24"/>
          <w14:textFill>
            <w14:solidFill>
              <w14:schemeClr w14:val="tx1"/>
            </w14:solidFill>
          </w14:textFill>
        </w:rPr>
      </w:pPr>
      <w:r>
        <w:rPr>
          <w:b/>
          <w:color w:val="000000" w:themeColor="text1"/>
          <w:sz w:val="24"/>
          <w:szCs w:val="24"/>
          <w:shd w:val="clear" w:color="auto" w:fill="FFFFFF"/>
          <w14:textFill>
            <w14:solidFill>
              <w14:schemeClr w14:val="tx1"/>
            </w14:solidFill>
          </w14:textFill>
        </w:rPr>
        <w:t xml:space="preserve">1  </w:t>
      </w:r>
      <w:r>
        <w:rPr>
          <w:bCs/>
          <w:color w:val="000000" w:themeColor="text1"/>
          <w:sz w:val="24"/>
          <w:szCs w:val="24"/>
          <w:shd w:val="clear" w:color="auto" w:fill="FFFFFF"/>
          <w14:textFill>
            <w14:solidFill>
              <w14:schemeClr w14:val="tx1"/>
            </w14:solidFill>
          </w14:textFill>
        </w:rPr>
        <w:t>水平弹击的</w:t>
      </w:r>
      <w:r>
        <w:rPr>
          <w:color w:val="000000" w:themeColor="text1"/>
          <w:sz w:val="24"/>
          <w:szCs w:val="24"/>
          <w14:textFill>
            <w14:solidFill>
              <w14:schemeClr w14:val="tx1"/>
            </w14:solidFill>
          </w14:textFill>
        </w:rPr>
        <w:t>冲击能量标称值应为1.1×10</w:t>
      </w:r>
      <w:r>
        <w:rPr>
          <w:color w:val="000000" w:themeColor="text1"/>
          <w:sz w:val="24"/>
          <w:szCs w:val="24"/>
          <w:vertAlign w:val="superscript"/>
          <w14:textFill>
            <w14:solidFill>
              <w14:schemeClr w14:val="tx1"/>
            </w14:solidFill>
          </w14:textFill>
        </w:rPr>
        <w:t xml:space="preserve">-2 </w:t>
      </w:r>
      <w:r>
        <w:rPr>
          <w:color w:val="000000" w:themeColor="text1"/>
          <w:sz w:val="24"/>
          <w:szCs w:val="24"/>
          <w14:textFill>
            <w14:solidFill>
              <w14:schemeClr w14:val="tx1"/>
            </w14:solidFill>
          </w14:textFill>
        </w:rPr>
        <w:t>J，冲击体质量标称值应为7.2g，球头标称直径应为3mm，冲击装置直径不宜大于6mm；</w:t>
      </w:r>
    </w:p>
    <w:p>
      <w:pPr>
        <w:pStyle w:val="72"/>
        <w:adjustRightInd/>
        <w:snapToGrid/>
        <w:spacing w:line="360" w:lineRule="auto"/>
        <w:ind w:firstLine="482"/>
        <w:rPr>
          <w:b/>
          <w:color w:val="000000" w:themeColor="text1"/>
          <w:sz w:val="24"/>
          <w:szCs w:val="24"/>
          <w:shd w:val="clear" w:color="auto" w:fill="FFFFFF"/>
          <w14:textFill>
            <w14:solidFill>
              <w14:schemeClr w14:val="tx1"/>
            </w14:solidFill>
          </w14:textFill>
        </w:rPr>
      </w:pPr>
      <w:r>
        <w:rPr>
          <w:b/>
          <w:color w:val="000000" w:themeColor="text1"/>
          <w:sz w:val="24"/>
          <w:szCs w:val="24"/>
          <w:shd w:val="clear" w:color="auto" w:fill="FFFFFF"/>
          <w14:textFill>
            <w14:solidFill>
              <w14:schemeClr w14:val="tx1"/>
            </w14:solidFill>
          </w14:textFill>
        </w:rPr>
        <w:t xml:space="preserve">2  </w:t>
      </w:r>
      <w:r>
        <w:rPr>
          <w:color w:val="000000" w:themeColor="text1"/>
          <w:sz w:val="24"/>
          <w:szCs w:val="24"/>
          <w14:textFill>
            <w14:solidFill>
              <w14:schemeClr w14:val="tx1"/>
            </w14:solidFill>
          </w14:textFill>
        </w:rPr>
        <w:t>支承环宜包括手持段和抵接段，抵接段应能伸入灌浆孔道或出浆孔道并与灌浆料表面接触；</w:t>
      </w:r>
    </w:p>
    <w:p>
      <w:pPr>
        <w:pStyle w:val="72"/>
        <w:adjustRightInd/>
        <w:snapToGrid/>
        <w:spacing w:line="360" w:lineRule="auto"/>
        <w:ind w:firstLine="482"/>
        <w:rPr>
          <w:color w:val="000000" w:themeColor="text1"/>
          <w:sz w:val="24"/>
          <w:szCs w:val="24"/>
          <w14:textFill>
            <w14:solidFill>
              <w14:schemeClr w14:val="tx1"/>
            </w14:solidFill>
          </w14:textFill>
        </w:rPr>
      </w:pPr>
      <w:r>
        <w:rPr>
          <w:b/>
          <w:color w:val="000000" w:themeColor="text1"/>
          <w:sz w:val="24"/>
          <w:szCs w:val="24"/>
          <w:shd w:val="clear" w:color="auto" w:fill="FFFFFF"/>
          <w14:textFill>
            <w14:solidFill>
              <w14:schemeClr w14:val="tx1"/>
            </w14:solidFill>
          </w14:textFill>
        </w:rPr>
        <w:t xml:space="preserve">3  </w:t>
      </w:r>
      <w:r>
        <w:rPr>
          <w:color w:val="000000" w:themeColor="text1"/>
          <w:sz w:val="24"/>
          <w:szCs w:val="24"/>
          <w:shd w:val="clear" w:color="auto" w:fill="FFFFFF"/>
          <w14:textFill>
            <w14:solidFill>
              <w14:schemeClr w14:val="tx1"/>
            </w14:solidFill>
          </w14:textFill>
        </w:rPr>
        <w:t>应</w:t>
      </w:r>
      <w:r>
        <w:rPr>
          <w:color w:val="000000" w:themeColor="text1"/>
          <w:sz w:val="24"/>
          <w:szCs w:val="24"/>
          <w14:textFill>
            <w14:solidFill>
              <w14:schemeClr w14:val="tx1"/>
            </w14:solidFill>
          </w14:textFill>
        </w:rPr>
        <w:t>在里氏硬度范围为（895±20）HLDL的标准块上进行率定，回弹仪的率定值与标准块基准值的允许偏差为±12，示值重复性不应大于12</w:t>
      </w:r>
      <w:r>
        <w:rPr>
          <w:rFonts w:hint="eastAsia"/>
          <w:color w:val="000000" w:themeColor="text1"/>
          <w:sz w:val="24"/>
          <w:szCs w:val="24"/>
          <w14:textFill>
            <w14:solidFill>
              <w14:schemeClr w14:val="tx1"/>
            </w14:solidFill>
          </w14:textFill>
        </w:rPr>
        <w:t>；</w:t>
      </w:r>
    </w:p>
    <w:p>
      <w:pPr>
        <w:pStyle w:val="72"/>
        <w:adjustRightInd/>
        <w:snapToGrid/>
        <w:spacing w:line="360" w:lineRule="auto"/>
        <w:ind w:firstLine="482"/>
        <w:rPr>
          <w:b/>
          <w:color w:val="000000" w:themeColor="text1"/>
          <w:sz w:val="24"/>
          <w:szCs w:val="24"/>
          <w:shd w:val="clear" w:color="auto" w:fill="FFFFFF"/>
          <w14:textFill>
            <w14:solidFill>
              <w14:schemeClr w14:val="tx1"/>
            </w14:solidFill>
          </w14:textFill>
        </w:rPr>
      </w:pPr>
      <w:r>
        <w:rPr>
          <w:b/>
          <w:bCs/>
          <w:color w:val="000000" w:themeColor="text1"/>
          <w:sz w:val="24"/>
          <w:szCs w:val="24"/>
          <w14:textFill>
            <w14:solidFill>
              <w14:schemeClr w14:val="tx1"/>
            </w14:solidFill>
          </w14:textFill>
        </w:rPr>
        <w:t>4</w:t>
      </w:r>
      <w:r>
        <w:rPr>
          <w:color w:val="000000" w:themeColor="text1"/>
          <w:sz w:val="24"/>
          <w:szCs w:val="24"/>
          <w14:textFill>
            <w14:solidFill>
              <w14:schemeClr w14:val="tx1"/>
            </w14:solidFill>
          </w14:textFill>
        </w:rPr>
        <w:t xml:space="preserve">  回弹仪使用时的环境温度宜为（-4~40）</w:t>
      </w:r>
      <w:r>
        <w:rPr>
          <w:rFonts w:hint="eastAsia" w:ascii="宋体" w:hAnsi="宋体" w:cs="宋体"/>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w:t>
      </w:r>
    </w:p>
    <w:p>
      <w:pPr>
        <w:spacing w:line="360" w:lineRule="auto"/>
        <w:rPr>
          <w:bCs/>
          <w:color w:val="000000" w:themeColor="text1"/>
          <w:sz w:val="24"/>
          <w:szCs w:val="24"/>
          <w:shd w:val="clear" w:color="auto" w:fill="FFFFFF"/>
          <w14:textFill>
            <w14:solidFill>
              <w14:schemeClr w14:val="tx1"/>
            </w14:solidFill>
          </w14:textFill>
        </w:rPr>
      </w:pPr>
      <w:r>
        <w:rPr>
          <w:b/>
          <w:color w:val="000000" w:themeColor="text1"/>
          <w:sz w:val="24"/>
          <w:szCs w:val="24"/>
          <w:shd w:val="clear" w:color="auto" w:fill="FFFFFF"/>
          <w14:textFill>
            <w14:solidFill>
              <w14:schemeClr w14:val="tx1"/>
            </w14:solidFill>
          </w14:textFill>
        </w:rPr>
        <w:t xml:space="preserve">F.1.3  </w:t>
      </w:r>
      <w:r>
        <w:rPr>
          <w:bCs/>
          <w:color w:val="000000" w:themeColor="text1"/>
          <w:sz w:val="24"/>
          <w:szCs w:val="24"/>
          <w:shd w:val="clear" w:color="auto" w:fill="FFFFFF"/>
          <w14:textFill>
            <w14:solidFill>
              <w14:schemeClr w14:val="tx1"/>
            </w14:solidFill>
          </w14:textFill>
        </w:rPr>
        <w:t>灌浆料回弹仪率定试验应符合下列规定：</w:t>
      </w:r>
    </w:p>
    <w:p>
      <w:pPr>
        <w:pStyle w:val="72"/>
        <w:adjustRightInd/>
        <w:snapToGrid/>
        <w:spacing w:line="360" w:lineRule="auto"/>
        <w:ind w:firstLine="482"/>
        <w:rPr>
          <w:bCs/>
          <w:color w:val="000000" w:themeColor="text1"/>
          <w:sz w:val="24"/>
          <w:szCs w:val="24"/>
          <w:shd w:val="clear" w:color="auto" w:fill="FFFFFF"/>
          <w14:textFill>
            <w14:solidFill>
              <w14:schemeClr w14:val="tx1"/>
            </w14:solidFill>
          </w14:textFill>
        </w:rPr>
      </w:pPr>
      <w:r>
        <w:rPr>
          <w:b/>
          <w:color w:val="000000" w:themeColor="text1"/>
          <w:sz w:val="24"/>
          <w:szCs w:val="24"/>
          <w:shd w:val="clear" w:color="auto" w:fill="FFFFFF"/>
          <w14:textFill>
            <w14:solidFill>
              <w14:schemeClr w14:val="tx1"/>
            </w14:solidFill>
          </w14:textFill>
        </w:rPr>
        <w:t>1</w:t>
      </w:r>
      <w:r>
        <w:rPr>
          <w:bCs/>
          <w:color w:val="000000" w:themeColor="text1"/>
          <w:sz w:val="24"/>
          <w:szCs w:val="24"/>
          <w:shd w:val="clear" w:color="auto" w:fill="FFFFFF"/>
          <w14:textFill>
            <w14:solidFill>
              <w14:schemeClr w14:val="tx1"/>
            </w14:solidFill>
          </w14:textFill>
        </w:rPr>
        <w:t xml:space="preserve">  率定试验应在室温为（5~35）</w:t>
      </w:r>
      <w:r>
        <w:rPr>
          <w:rFonts w:hint="eastAsia" w:ascii="宋体" w:hAnsi="宋体" w:cs="宋体"/>
          <w:bCs/>
          <w:color w:val="000000" w:themeColor="text1"/>
          <w:sz w:val="24"/>
          <w:szCs w:val="24"/>
          <w:shd w:val="clear" w:color="auto" w:fill="FFFFFF"/>
          <w14:textFill>
            <w14:solidFill>
              <w14:schemeClr w14:val="tx1"/>
            </w14:solidFill>
          </w14:textFill>
        </w:rPr>
        <w:t>℃</w:t>
      </w:r>
      <w:r>
        <w:rPr>
          <w:bCs/>
          <w:color w:val="000000" w:themeColor="text1"/>
          <w:sz w:val="24"/>
          <w:szCs w:val="24"/>
          <w:shd w:val="clear" w:color="auto" w:fill="FFFFFF"/>
          <w14:textFill>
            <w14:solidFill>
              <w14:schemeClr w14:val="tx1"/>
            </w14:solidFill>
          </w14:textFill>
        </w:rPr>
        <w:t>的条件下进行；</w:t>
      </w:r>
    </w:p>
    <w:p>
      <w:pPr>
        <w:pStyle w:val="72"/>
        <w:adjustRightInd/>
        <w:snapToGrid/>
        <w:spacing w:line="360" w:lineRule="auto"/>
        <w:ind w:firstLine="482"/>
        <w:rPr>
          <w:bCs/>
          <w:color w:val="000000" w:themeColor="text1"/>
          <w:sz w:val="24"/>
          <w:szCs w:val="24"/>
          <w:shd w:val="clear" w:color="auto" w:fill="FFFFFF"/>
          <w14:textFill>
            <w14:solidFill>
              <w14:schemeClr w14:val="tx1"/>
            </w14:solidFill>
          </w14:textFill>
        </w:rPr>
      </w:pPr>
      <w:r>
        <w:rPr>
          <w:b/>
          <w:color w:val="000000" w:themeColor="text1"/>
          <w:sz w:val="24"/>
          <w:szCs w:val="24"/>
          <w:shd w:val="clear" w:color="auto" w:fill="FFFFFF"/>
          <w14:textFill>
            <w14:solidFill>
              <w14:schemeClr w14:val="tx1"/>
            </w14:solidFill>
          </w14:textFill>
        </w:rPr>
        <w:t>2</w:t>
      </w:r>
      <w:r>
        <w:rPr>
          <w:bCs/>
          <w:color w:val="000000" w:themeColor="text1"/>
          <w:sz w:val="24"/>
          <w:szCs w:val="24"/>
          <w:shd w:val="clear" w:color="auto" w:fill="FFFFFF"/>
          <w14:textFill>
            <w14:solidFill>
              <w14:schemeClr w14:val="tx1"/>
            </w14:solidFill>
          </w14:textFill>
        </w:rPr>
        <w:t xml:space="preserve">  标准块表面应干燥、清洁，并应稳固地放置在水平支承面上；</w:t>
      </w:r>
    </w:p>
    <w:p>
      <w:pPr>
        <w:pStyle w:val="72"/>
        <w:adjustRightInd/>
        <w:snapToGrid/>
        <w:spacing w:line="360" w:lineRule="auto"/>
        <w:ind w:firstLine="482"/>
        <w:rPr>
          <w:b/>
          <w:color w:val="000000" w:themeColor="text1"/>
          <w:sz w:val="24"/>
          <w:szCs w:val="24"/>
          <w:shd w:val="clear" w:color="auto" w:fill="FFFFFF"/>
          <w14:textFill>
            <w14:solidFill>
              <w14:schemeClr w14:val="tx1"/>
            </w14:solidFill>
          </w14:textFill>
        </w:rPr>
      </w:pPr>
      <w:r>
        <w:rPr>
          <w:b/>
          <w:color w:val="000000" w:themeColor="text1"/>
          <w:sz w:val="24"/>
          <w:szCs w:val="24"/>
          <w:shd w:val="clear" w:color="auto" w:fill="FFFFFF"/>
          <w14:textFill>
            <w14:solidFill>
              <w14:schemeClr w14:val="tx1"/>
            </w14:solidFill>
          </w14:textFill>
        </w:rPr>
        <w:t>3</w:t>
      </w:r>
      <w:r>
        <w:rPr>
          <w:bCs/>
          <w:color w:val="000000" w:themeColor="text1"/>
          <w:sz w:val="24"/>
          <w:szCs w:val="24"/>
          <w:shd w:val="clear" w:color="auto" w:fill="FFFFFF"/>
          <w14:textFill>
            <w14:solidFill>
              <w14:schemeClr w14:val="tx1"/>
            </w14:solidFill>
          </w14:textFill>
        </w:rPr>
        <w:t xml:space="preserve">  率定时，回弹仪应竖直向下弹击，测点应在标准块表面均匀分布，应取5次回弹的平均值作为率定值。</w:t>
      </w:r>
    </w:p>
    <w:p>
      <w:pPr>
        <w:spacing w:line="360" w:lineRule="auto"/>
        <w:rPr>
          <w:b/>
          <w:color w:val="000000" w:themeColor="text1"/>
          <w:sz w:val="24"/>
          <w:szCs w:val="24"/>
          <w:shd w:val="clear" w:color="auto" w:fill="FFFFFF"/>
          <w14:textFill>
            <w14:solidFill>
              <w14:schemeClr w14:val="tx1"/>
            </w14:solidFill>
          </w14:textFill>
        </w:rPr>
      </w:pPr>
      <w:r>
        <w:rPr>
          <w:b/>
          <w:color w:val="000000" w:themeColor="text1"/>
          <w:sz w:val="24"/>
          <w:szCs w:val="24"/>
          <w:shd w:val="clear" w:color="auto" w:fill="FFFFFF"/>
          <w14:textFill>
            <w14:solidFill>
              <w14:schemeClr w14:val="tx1"/>
            </w14:solidFill>
          </w14:textFill>
        </w:rPr>
        <w:t xml:space="preserve">F.1.4  </w:t>
      </w:r>
      <w:r>
        <w:rPr>
          <w:rFonts w:hint="eastAsia"/>
          <w:bCs/>
          <w:color w:val="000000" w:themeColor="text1"/>
          <w:sz w:val="24"/>
          <w:szCs w:val="24"/>
          <w:shd w:val="clear" w:color="auto" w:fill="FFFFFF"/>
          <w14:textFill>
            <w14:solidFill>
              <w14:schemeClr w14:val="tx1"/>
            </w14:solidFill>
          </w14:textFill>
        </w:rPr>
        <w:t>回弹法检测</w:t>
      </w:r>
      <w:r>
        <w:rPr>
          <w:bCs/>
          <w:color w:val="000000" w:themeColor="text1"/>
          <w:sz w:val="24"/>
          <w:szCs w:val="24"/>
          <w:shd w:val="clear" w:color="auto" w:fill="FFFFFF"/>
          <w14:textFill>
            <w14:solidFill>
              <w14:schemeClr w14:val="tx1"/>
            </w14:solidFill>
          </w14:textFill>
        </w:rPr>
        <w:t>灌浆料实体强度可按单个构件或按批量进行</w:t>
      </w:r>
      <w:r>
        <w:rPr>
          <w:rFonts w:hint="eastAsia"/>
          <w:bCs/>
          <w:color w:val="000000" w:themeColor="text1"/>
          <w:sz w:val="24"/>
          <w:szCs w:val="24"/>
          <w:shd w:val="clear" w:color="auto" w:fill="FFFFFF"/>
          <w14:textFill>
            <w14:solidFill>
              <w14:schemeClr w14:val="tx1"/>
            </w14:solidFill>
          </w14:textFill>
        </w:rPr>
        <w:t>推定</w:t>
      </w:r>
      <w:r>
        <w:rPr>
          <w:bCs/>
          <w:color w:val="000000" w:themeColor="text1"/>
          <w:sz w:val="24"/>
          <w:szCs w:val="24"/>
          <w:shd w:val="clear" w:color="auto" w:fill="FFFFFF"/>
          <w14:textFill>
            <w14:solidFill>
              <w14:schemeClr w14:val="tx1"/>
            </w14:solidFill>
          </w14:textFill>
        </w:rPr>
        <w:t>，并应符合下列规定：</w:t>
      </w:r>
    </w:p>
    <w:p>
      <w:pPr>
        <w:spacing w:line="360" w:lineRule="auto"/>
        <w:ind w:firstLine="481" w:firstLineChars="200"/>
        <w:rPr>
          <w:b/>
          <w:sz w:val="24"/>
          <w:szCs w:val="24"/>
          <w:shd w:val="clear" w:color="auto" w:fill="FFFFFF"/>
        </w:rPr>
      </w:pPr>
      <w:r>
        <w:rPr>
          <w:b/>
          <w:bCs/>
          <w:sz w:val="24"/>
          <w:szCs w:val="24"/>
          <w:shd w:val="clear" w:color="auto" w:fill="FFFFFF"/>
        </w:rPr>
        <w:t>1</w:t>
      </w:r>
      <w:r>
        <w:rPr>
          <w:bCs/>
          <w:sz w:val="24"/>
          <w:szCs w:val="24"/>
          <w:shd w:val="clear" w:color="auto" w:fill="FFFFFF"/>
        </w:rPr>
        <w:t xml:space="preserve">  当需要按检测批推定灌浆料实体强度时，每个检测批的构件抽检数量不宜少于10个；</w:t>
      </w:r>
    </w:p>
    <w:p>
      <w:pPr>
        <w:pStyle w:val="72"/>
        <w:adjustRightInd/>
        <w:snapToGrid/>
        <w:spacing w:line="360" w:lineRule="auto"/>
        <w:ind w:firstLine="482"/>
        <w:rPr>
          <w:b/>
          <w:sz w:val="24"/>
          <w:szCs w:val="24"/>
          <w:shd w:val="clear" w:color="auto" w:fill="FFFFFF"/>
        </w:rPr>
      </w:pPr>
      <w:r>
        <w:rPr>
          <w:b/>
          <w:sz w:val="24"/>
          <w:szCs w:val="24"/>
          <w:shd w:val="clear" w:color="auto" w:fill="FFFFFF"/>
        </w:rPr>
        <w:t xml:space="preserve">2  </w:t>
      </w:r>
      <w:r>
        <w:rPr>
          <w:sz w:val="24"/>
          <w:szCs w:val="24"/>
          <w:shd w:val="clear" w:color="auto" w:fill="FFFFFF"/>
        </w:rPr>
        <w:t>在</w:t>
      </w:r>
      <w:r>
        <w:rPr>
          <w:bCs/>
          <w:sz w:val="24"/>
          <w:szCs w:val="24"/>
          <w:shd w:val="clear" w:color="auto" w:fill="FFFFFF"/>
        </w:rPr>
        <w:t>所检构件上宜随机选取不少于4个连续灌浆施工的灌浆套筒，每个套筒的</w:t>
      </w:r>
      <w:r>
        <w:rPr>
          <w:bCs/>
          <w:color w:val="000000" w:themeColor="text1"/>
          <w:sz w:val="24"/>
          <w:szCs w:val="24"/>
          <w:shd w:val="clear" w:color="auto" w:fill="FFFFFF"/>
          <w14:textFill>
            <w14:solidFill>
              <w14:schemeClr w14:val="tx1"/>
            </w14:solidFill>
          </w14:textFill>
        </w:rPr>
        <w:t>灌浆孔道或出浆孔道</w:t>
      </w:r>
      <w:r>
        <w:rPr>
          <w:bCs/>
          <w:sz w:val="24"/>
          <w:szCs w:val="24"/>
          <w:shd w:val="clear" w:color="auto" w:fill="FFFFFF"/>
        </w:rPr>
        <w:t>内可用于回弹法检测的</w:t>
      </w:r>
      <w:r>
        <w:rPr>
          <w:sz w:val="24"/>
          <w:szCs w:val="24"/>
        </w:rPr>
        <w:t>灌浆料原浆面</w:t>
      </w:r>
      <w:r>
        <w:rPr>
          <w:bCs/>
          <w:sz w:val="24"/>
          <w:szCs w:val="24"/>
          <w:shd w:val="clear" w:color="auto" w:fill="FFFFFF"/>
        </w:rPr>
        <w:t>不应少于1处。</w:t>
      </w:r>
    </w:p>
    <w:p>
      <w:pPr>
        <w:keepNext/>
        <w:keepLines/>
        <w:spacing w:before="120" w:beforeLines="50" w:after="120" w:afterLines="50" w:line="400" w:lineRule="exact"/>
        <w:jc w:val="center"/>
        <w:rPr>
          <w:b/>
          <w:kern w:val="0"/>
          <w:sz w:val="24"/>
          <w:szCs w:val="24"/>
        </w:rPr>
      </w:pPr>
      <w:r>
        <w:rPr>
          <w:b/>
          <w:kern w:val="0"/>
          <w:sz w:val="24"/>
          <w:szCs w:val="24"/>
        </w:rPr>
        <w:t>F.2  回弹法检测</w:t>
      </w:r>
    </w:p>
    <w:p>
      <w:pPr>
        <w:spacing w:line="360" w:lineRule="auto"/>
        <w:rPr>
          <w:color w:val="000000" w:themeColor="text1"/>
          <w:sz w:val="24"/>
          <w:szCs w:val="24"/>
          <w14:textFill>
            <w14:solidFill>
              <w14:schemeClr w14:val="tx1"/>
            </w14:solidFill>
          </w14:textFill>
        </w:rPr>
      </w:pPr>
      <w:r>
        <w:rPr>
          <w:b/>
          <w:color w:val="000000" w:themeColor="text1"/>
          <w:sz w:val="24"/>
          <w:szCs w:val="24"/>
          <w:shd w:val="clear" w:color="auto" w:fill="FFFFFF"/>
          <w14:textFill>
            <w14:solidFill>
              <w14:schemeClr w14:val="tx1"/>
            </w14:solidFill>
          </w14:textFill>
        </w:rPr>
        <w:t xml:space="preserve">F.2.1  </w:t>
      </w:r>
      <w:r>
        <w:rPr>
          <w:color w:val="000000" w:themeColor="text1"/>
          <w:sz w:val="24"/>
          <w:szCs w:val="24"/>
          <w14:textFill>
            <w14:solidFill>
              <w14:schemeClr w14:val="tx1"/>
            </w14:solidFill>
          </w14:textFill>
        </w:rPr>
        <w:t>回弹法检测灌浆料抗压强度应符合下列规定：</w:t>
      </w:r>
    </w:p>
    <w:p>
      <w:pPr>
        <w:pStyle w:val="72"/>
        <w:adjustRightInd/>
        <w:snapToGrid/>
        <w:spacing w:line="360" w:lineRule="auto"/>
        <w:ind w:firstLine="482"/>
        <w:rPr>
          <w:color w:val="000000" w:themeColor="text1"/>
          <w:sz w:val="24"/>
          <w:szCs w:val="24"/>
          <w14:textFill>
            <w14:solidFill>
              <w14:schemeClr w14:val="tx1"/>
            </w14:solidFill>
          </w14:textFill>
        </w:rPr>
      </w:pPr>
      <w:r>
        <w:rPr>
          <w:b/>
          <w:bCs/>
          <w:color w:val="000000" w:themeColor="text1"/>
          <w:sz w:val="24"/>
          <w:szCs w:val="24"/>
          <w:shd w:val="clear" w:color="auto" w:fill="FFFFFF"/>
          <w14:textFill>
            <w14:solidFill>
              <w14:schemeClr w14:val="tx1"/>
            </w14:solidFill>
          </w14:textFill>
        </w:rPr>
        <w:t xml:space="preserve">1  </w:t>
      </w:r>
      <w:r>
        <w:rPr>
          <w:color w:val="000000" w:themeColor="text1"/>
          <w:sz w:val="24"/>
          <w:szCs w:val="24"/>
          <w14:textFill>
            <w14:solidFill>
              <w14:schemeClr w14:val="tx1"/>
            </w14:solidFill>
          </w14:textFill>
        </w:rPr>
        <w:t>检测前应记录工程名称、楼号、楼层、轴线、套筒所在构件编号和套筒位置等信息；</w:t>
      </w:r>
    </w:p>
    <w:p>
      <w:pPr>
        <w:pStyle w:val="72"/>
        <w:adjustRightInd/>
        <w:snapToGrid/>
        <w:spacing w:line="360" w:lineRule="auto"/>
        <w:ind w:firstLine="482"/>
        <w:rPr>
          <w:color w:val="000000" w:themeColor="text1"/>
          <w:sz w:val="24"/>
          <w:szCs w:val="24"/>
          <w14:textFill>
            <w14:solidFill>
              <w14:schemeClr w14:val="tx1"/>
            </w14:solidFill>
          </w14:textFill>
        </w:rPr>
      </w:pPr>
      <w:r>
        <w:rPr>
          <w:b/>
          <w:color w:val="000000" w:themeColor="text1"/>
          <w:sz w:val="24"/>
          <w:szCs w:val="24"/>
          <w:shd w:val="clear" w:color="auto" w:fill="FFFFFF"/>
          <w14:textFill>
            <w14:solidFill>
              <w14:schemeClr w14:val="tx1"/>
            </w14:solidFill>
          </w14:textFill>
        </w:rPr>
        <w:t xml:space="preserve">2  </w:t>
      </w:r>
      <w:r>
        <w:rPr>
          <w:color w:val="000000" w:themeColor="text1"/>
          <w:sz w:val="24"/>
          <w:szCs w:val="24"/>
          <w14:textFill>
            <w14:solidFill>
              <w14:schemeClr w14:val="tx1"/>
            </w14:solidFill>
          </w14:textFill>
        </w:rPr>
        <w:t>检测面</w:t>
      </w:r>
      <w:r>
        <w:rPr>
          <w:color w:val="000000" w:themeColor="text1"/>
          <w:sz w:val="24"/>
          <w:szCs w:val="24"/>
          <w:shd w:val="clear" w:color="auto" w:fill="FFFFFF"/>
          <w14:textFill>
            <w14:solidFill>
              <w14:schemeClr w14:val="tx1"/>
            </w14:solidFill>
          </w14:textFill>
        </w:rPr>
        <w:t>应为</w:t>
      </w:r>
      <w:r>
        <w:rPr>
          <w:color w:val="000000" w:themeColor="text1"/>
          <w:sz w:val="24"/>
          <w:szCs w:val="24"/>
          <w14:textFill>
            <w14:solidFill>
              <w14:schemeClr w14:val="tx1"/>
            </w14:solidFill>
          </w14:textFill>
        </w:rPr>
        <w:t>灌浆饱满、平整、光洁、干燥的原浆面；</w:t>
      </w:r>
    </w:p>
    <w:p>
      <w:pPr>
        <w:pStyle w:val="72"/>
        <w:adjustRightInd/>
        <w:snapToGrid/>
        <w:spacing w:line="360" w:lineRule="auto"/>
        <w:ind w:firstLine="482"/>
        <w:rPr>
          <w:color w:val="000000" w:themeColor="text1"/>
          <w:sz w:val="24"/>
          <w:szCs w:val="24"/>
          <w14:textFill>
            <w14:solidFill>
              <w14:schemeClr w14:val="tx1"/>
            </w14:solidFill>
          </w14:textFill>
        </w:rPr>
      </w:pPr>
      <w:r>
        <w:rPr>
          <w:b/>
          <w:bCs/>
          <w:color w:val="000000" w:themeColor="text1"/>
          <w:sz w:val="24"/>
          <w:szCs w:val="24"/>
          <w:shd w:val="clear" w:color="auto" w:fill="FFFFFF"/>
          <w14:textFill>
            <w14:solidFill>
              <w14:schemeClr w14:val="tx1"/>
            </w14:solidFill>
          </w14:textFill>
        </w:rPr>
        <w:t xml:space="preserve">3  </w:t>
      </w:r>
      <w:r>
        <w:rPr>
          <w:color w:val="000000" w:themeColor="text1"/>
          <w:sz w:val="24"/>
          <w:szCs w:val="24"/>
          <w14:textFill>
            <w14:solidFill>
              <w14:schemeClr w14:val="tx1"/>
            </w14:solidFill>
          </w14:textFill>
        </w:rPr>
        <w:t>测点应在检测面内均匀分布，同一测点不应重复回弹，任意两压痕中心之间的距离以及任一压痕中心距检测面边缘的距离均不宜小于3mm；</w:t>
      </w:r>
    </w:p>
    <w:p>
      <w:pPr>
        <w:pStyle w:val="72"/>
        <w:adjustRightInd/>
        <w:snapToGrid/>
        <w:spacing w:line="360" w:lineRule="auto"/>
        <w:ind w:firstLine="482"/>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4</w:t>
      </w:r>
      <w:r>
        <w:rPr>
          <w:color w:val="000000" w:themeColor="text1"/>
          <w:sz w:val="24"/>
          <w:szCs w:val="24"/>
          <w14:textFill>
            <w14:solidFill>
              <w14:schemeClr w14:val="tx1"/>
            </w14:solidFill>
          </w14:textFill>
        </w:rPr>
        <w:t xml:space="preserve">  每个检测面宜读取3～4个回弹值，每一测点的回弹值应精确至1，每个预制构件应读取16个回弹值；</w:t>
      </w:r>
    </w:p>
    <w:p>
      <w:pPr>
        <w:pStyle w:val="72"/>
        <w:adjustRightInd/>
        <w:snapToGrid/>
        <w:spacing w:line="360" w:lineRule="auto"/>
        <w:ind w:firstLine="482"/>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5</w:t>
      </w:r>
      <w:r>
        <w:rPr>
          <w:color w:val="000000" w:themeColor="text1"/>
          <w:sz w:val="24"/>
          <w:szCs w:val="24"/>
          <w14:textFill>
            <w14:solidFill>
              <w14:schemeClr w14:val="tx1"/>
            </w14:solidFill>
          </w14:textFill>
        </w:rPr>
        <w:t xml:space="preserve">  回弹时，应平稳的按动冲击装置释放按钮并记录回弹值；</w:t>
      </w:r>
    </w:p>
    <w:p>
      <w:pPr>
        <w:pStyle w:val="72"/>
        <w:adjustRightInd/>
        <w:snapToGrid/>
        <w:spacing w:line="360" w:lineRule="auto"/>
        <w:ind w:firstLine="482"/>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6</w:t>
      </w:r>
      <w:r>
        <w:rPr>
          <w:color w:val="000000" w:themeColor="text1"/>
          <w:sz w:val="24"/>
          <w:szCs w:val="24"/>
          <w14:textFill>
            <w14:solidFill>
              <w14:schemeClr w14:val="tx1"/>
            </w14:solidFill>
          </w14:textFill>
        </w:rPr>
        <w:t xml:space="preserve">  在每个构件16个回弹值中，应剔除3个最大值和3个最小值后计算剩余10个回弹值的平均值。</w:t>
      </w:r>
    </w:p>
    <w:p>
      <w:pPr>
        <w:spacing w:line="360" w:lineRule="auto"/>
        <w:rPr>
          <w:color w:val="000000" w:themeColor="text1"/>
          <w:sz w:val="24"/>
          <w:szCs w:val="24"/>
          <w14:textFill>
            <w14:solidFill>
              <w14:schemeClr w14:val="tx1"/>
            </w14:solidFill>
          </w14:textFill>
        </w:rPr>
      </w:pPr>
      <w:r>
        <w:rPr>
          <w:b/>
          <w:color w:val="000000" w:themeColor="text1"/>
          <w:sz w:val="24"/>
          <w:szCs w:val="24"/>
          <w:shd w:val="clear" w:color="auto" w:fill="FFFFFF"/>
          <w14:textFill>
            <w14:solidFill>
              <w14:schemeClr w14:val="tx1"/>
            </w14:solidFill>
          </w14:textFill>
        </w:rPr>
        <w:t xml:space="preserve">F.2.2  </w:t>
      </w:r>
      <w:r>
        <w:rPr>
          <w:color w:val="000000" w:themeColor="text1"/>
          <w:sz w:val="24"/>
          <w:szCs w:val="24"/>
          <w14:textFill>
            <w14:solidFill>
              <w14:schemeClr w14:val="tx1"/>
            </w14:solidFill>
          </w14:textFill>
        </w:rPr>
        <w:t>灌浆料抗压强度换算值宜按本标准第F.3节的规定建立专用测强曲线进行计算；当存在下列情况时，应采用专用测强曲线计算灌浆料抗压强度换算值：</w:t>
      </w:r>
    </w:p>
    <w:p>
      <w:pPr>
        <w:spacing w:line="360" w:lineRule="auto"/>
        <w:ind w:firstLine="481" w:firstLineChars="20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1  </w:t>
      </w:r>
      <w:r>
        <w:rPr>
          <w:color w:val="000000" w:themeColor="text1"/>
          <w:sz w:val="24"/>
          <w:szCs w:val="24"/>
          <w14:textFill>
            <w14:solidFill>
              <w14:schemeClr w14:val="tx1"/>
            </w14:solidFill>
          </w14:textFill>
        </w:rPr>
        <w:t>灌浆料中骨料最大粒径大于2.36mm；</w:t>
      </w:r>
    </w:p>
    <w:p>
      <w:pPr>
        <w:spacing w:line="360" w:lineRule="auto"/>
        <w:ind w:firstLine="481" w:firstLineChars="20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2  </w:t>
      </w:r>
      <w:r>
        <w:rPr>
          <w:color w:val="000000" w:themeColor="text1"/>
          <w:sz w:val="24"/>
          <w:szCs w:val="24"/>
          <w14:textFill>
            <w14:solidFill>
              <w14:schemeClr w14:val="tx1"/>
            </w14:solidFill>
          </w14:textFill>
        </w:rPr>
        <w:t>特种工艺生产的灌浆料；</w:t>
      </w:r>
    </w:p>
    <w:p>
      <w:pPr>
        <w:spacing w:line="360" w:lineRule="auto"/>
        <w:ind w:firstLine="481" w:firstLineChars="20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3  </w:t>
      </w:r>
      <w:r>
        <w:rPr>
          <w:color w:val="000000" w:themeColor="text1"/>
          <w:sz w:val="24"/>
          <w:szCs w:val="24"/>
          <w14:textFill>
            <w14:solidFill>
              <w14:schemeClr w14:val="tx1"/>
            </w14:solidFill>
          </w14:textFill>
        </w:rPr>
        <w:t>当对抗压强度检测结果存在争议时。</w:t>
      </w:r>
    </w:p>
    <w:p>
      <w:pPr>
        <w:spacing w:line="360" w:lineRule="auto"/>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F.2.3</w:t>
      </w:r>
      <w:r>
        <w:rPr>
          <w:color w:val="000000" w:themeColor="text1"/>
          <w:sz w:val="24"/>
          <w:szCs w:val="24"/>
          <w14:textFill>
            <w14:solidFill>
              <w14:schemeClr w14:val="tx1"/>
            </w14:solidFill>
          </w14:textFill>
        </w:rPr>
        <w:t xml:space="preserve">  当缺少专用测强曲线时，可按下式计算灌浆料抗压强度换算值：</w:t>
      </w:r>
    </w:p>
    <w:p>
      <w:pPr>
        <w:spacing w:line="360" w:lineRule="auto"/>
        <w:jc w:val="right"/>
        <w:rPr>
          <w:color w:val="000000" w:themeColor="text1"/>
          <w:sz w:val="24"/>
          <w:szCs w:val="24"/>
          <w14:textFill>
            <w14:solidFill>
              <w14:schemeClr w14:val="tx1"/>
            </w14:solidFill>
          </w14:textFill>
        </w:rPr>
      </w:pPr>
      <w:bookmarkStart w:id="147" w:name="_Hlk119937026"/>
      <w:r>
        <w:rPr>
          <w:color w:val="000000" w:themeColor="text1"/>
          <w:position w:val="-14"/>
          <w:sz w:val="24"/>
          <w:szCs w:val="24"/>
          <w14:textFill>
            <w14:solidFill>
              <w14:schemeClr w14:val="tx1"/>
            </w14:solidFill>
          </w14:textFill>
        </w:rPr>
        <w:object>
          <v:shape id="_x0000_i1139" o:spt="75" type="#_x0000_t75" style="height:20.75pt;width:108.3pt;" o:ole="t" filled="f" o:preferrelative="t" stroked="f" coordsize="21600,21600">
            <v:path/>
            <v:fill on="f" focussize="0,0"/>
            <v:stroke on="f" joinstyle="miter"/>
            <v:imagedata r:id="rId221" o:title=""/>
            <o:lock v:ext="edit" aspectratio="t"/>
            <w10:wrap type="none"/>
            <w10:anchorlock/>
          </v:shape>
          <o:OLEObject Type="Embed" ProgID="Equation.DSMT4" ShapeID="_x0000_i1139" DrawAspect="Content" ObjectID="_1468075839" r:id="rId220">
            <o:LockedField>false</o:LockedField>
          </o:OLEObject>
        </w:object>
      </w:r>
      <w:r>
        <w:rPr>
          <w:color w:val="000000" w:themeColor="text1"/>
          <w:sz w:val="24"/>
          <w:szCs w:val="24"/>
          <w14:textFill>
            <w14:solidFill>
              <w14:schemeClr w14:val="tx1"/>
            </w14:solidFill>
          </w14:textFill>
        </w:rPr>
        <w:t xml:space="preserve">                 （</w:t>
      </w:r>
      <w:r>
        <w:rPr>
          <w:color w:val="000000" w:themeColor="text1"/>
          <w:sz w:val="24"/>
          <w:szCs w:val="24"/>
          <w:shd w:val="clear" w:color="auto" w:fill="FFFFFF"/>
          <w14:textFill>
            <w14:solidFill>
              <w14:schemeClr w14:val="tx1"/>
            </w14:solidFill>
          </w14:textFill>
        </w:rPr>
        <w:t>F.2.3</w:t>
      </w:r>
      <w:r>
        <w:rPr>
          <w:color w:val="000000" w:themeColor="text1"/>
          <w:sz w:val="24"/>
          <w:szCs w:val="24"/>
          <w14:textFill>
            <w14:solidFill>
              <w14:schemeClr w14:val="tx1"/>
            </w14:solidFill>
          </w14:textFill>
        </w:rPr>
        <w:t>）</w:t>
      </w:r>
    </w:p>
    <w:p>
      <w:pPr>
        <w:spacing w:line="360" w:lineRule="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式中：</w:t>
      </w:r>
      <w:r>
        <w:rPr>
          <w:color w:val="000000" w:themeColor="text1"/>
          <w:position w:val="-14"/>
          <w:sz w:val="24"/>
          <w:szCs w:val="24"/>
          <w14:textFill>
            <w14:solidFill>
              <w14:schemeClr w14:val="tx1"/>
            </w14:solidFill>
          </w14:textFill>
        </w:rPr>
        <w:object>
          <v:shape id="_x0000_i1140" o:spt="75" type="#_x0000_t75" style="height:19.6pt;width:16.7pt;" o:ole="t" filled="f" o:preferrelative="t" stroked="f" coordsize="21600,21600">
            <v:path/>
            <v:fill on="f" focussize="0,0"/>
            <v:stroke on="f" joinstyle="miter"/>
            <v:imagedata r:id="rId223" o:title=""/>
            <o:lock v:ext="edit" aspectratio="t"/>
            <w10:wrap type="none"/>
            <w10:anchorlock/>
          </v:shape>
          <o:OLEObject Type="Embed" ProgID="Equation.DSMT4" ShapeID="_x0000_i1140" DrawAspect="Content" ObjectID="_1468075840" r:id="rId222">
            <o:LockedField>false</o:LockedField>
          </o:OLEObject>
        </w:object>
      </w:r>
      <w:r>
        <w:rPr>
          <w:color w:val="000000" w:themeColor="text1"/>
          <w:sz w:val="24"/>
          <w:szCs w:val="24"/>
          <w14:textFill>
            <w14:solidFill>
              <w14:schemeClr w14:val="tx1"/>
            </w14:solidFill>
          </w14:textFill>
        </w:rPr>
        <w:t>——灌浆料抗压强度换算值</w:t>
      </w:r>
      <w:r>
        <w:rPr>
          <w:color w:val="000000" w:themeColor="text1"/>
          <w:sz w:val="24"/>
          <w14:textFill>
            <w14:solidFill>
              <w14:schemeClr w14:val="tx1"/>
            </w14:solidFill>
          </w14:textFill>
        </w:rPr>
        <w:t>（MPa）</w:t>
      </w:r>
      <w:r>
        <w:rPr>
          <w:color w:val="000000" w:themeColor="text1"/>
          <w:sz w:val="24"/>
          <w:szCs w:val="24"/>
          <w14:textFill>
            <w14:solidFill>
              <w14:schemeClr w14:val="tx1"/>
            </w14:solidFill>
          </w14:textFill>
        </w:rPr>
        <w:t>，应精确至0.1MPa</w:t>
      </w:r>
      <w:r>
        <w:rPr>
          <w:rFonts w:hint="eastAsia"/>
          <w:color w:val="000000" w:themeColor="text1"/>
          <w:sz w:val="24"/>
          <w:szCs w:val="24"/>
          <w14:textFill>
            <w14:solidFill>
              <w14:schemeClr w14:val="tx1"/>
            </w14:solidFill>
          </w14:textFill>
        </w:rPr>
        <w:t>；</w:t>
      </w:r>
    </w:p>
    <w:p>
      <w:pPr>
        <w:spacing w:line="360" w:lineRule="auto"/>
        <w:ind w:firstLine="720" w:firstLineChars="300"/>
        <w:rPr>
          <w:color w:val="000000" w:themeColor="text1"/>
          <w:sz w:val="24"/>
          <w:szCs w:val="24"/>
          <w14:textFill>
            <w14:solidFill>
              <w14:schemeClr w14:val="tx1"/>
            </w14:solidFill>
          </w14:textFill>
        </w:rPr>
      </w:pPr>
      <w:r>
        <w:rPr>
          <w:color w:val="000000" w:themeColor="text1"/>
          <w:position w:val="-14"/>
          <w:sz w:val="24"/>
          <w:szCs w:val="24"/>
          <w14:textFill>
            <w14:solidFill>
              <w14:schemeClr w14:val="tx1"/>
            </w14:solidFill>
          </w14:textFill>
        </w:rPr>
        <w:object>
          <v:shape id="_x0000_i1141" o:spt="75" type="#_x0000_t75" style="height:19.6pt;width:22.45pt;" o:ole="t" filled="f" o:preferrelative="t" stroked="f" coordsize="21600,21600">
            <v:path/>
            <v:fill on="f" focussize="0,0"/>
            <v:stroke on="f" joinstyle="miter"/>
            <v:imagedata r:id="rId225" o:title=""/>
            <o:lock v:ext="edit" aspectratio="t"/>
            <w10:wrap type="none"/>
            <w10:anchorlock/>
          </v:shape>
          <o:OLEObject Type="Embed" ProgID="Equation.DSMT4" ShapeID="_x0000_i1141" DrawAspect="Content" ObjectID="_1468075841" r:id="rId224">
            <o:LockedField>false</o:LockedField>
          </o:OLEObject>
        </w:object>
      </w:r>
      <w:r>
        <w:rPr>
          <w:color w:val="000000" w:themeColor="text1"/>
          <w:sz w:val="24"/>
          <w:szCs w:val="24"/>
          <w14:textFill>
            <w14:solidFill>
              <w14:schemeClr w14:val="tx1"/>
            </w14:solidFill>
          </w14:textFill>
        </w:rPr>
        <w:t>——灌浆料回弹值的平均值，应精确至1。</w:t>
      </w:r>
    </w:p>
    <w:bookmarkEnd w:id="147"/>
    <w:p>
      <w:pPr>
        <w:spacing w:line="360" w:lineRule="auto"/>
        <w:rPr>
          <w:color w:val="000000" w:themeColor="text1"/>
          <w:sz w:val="24"/>
          <w:szCs w:val="24"/>
          <w14:textFill>
            <w14:solidFill>
              <w14:schemeClr w14:val="tx1"/>
            </w14:solidFill>
          </w14:textFill>
        </w:rPr>
      </w:pPr>
      <w:r>
        <w:rPr>
          <w:b/>
          <w:color w:val="000000" w:themeColor="text1"/>
          <w:sz w:val="24"/>
          <w:szCs w:val="24"/>
          <w:shd w:val="clear" w:color="auto" w:fill="FFFFFF"/>
          <w14:textFill>
            <w14:solidFill>
              <w14:schemeClr w14:val="tx1"/>
            </w14:solidFill>
          </w14:textFill>
        </w:rPr>
        <w:t xml:space="preserve">F.2.4  </w:t>
      </w:r>
      <w:r>
        <w:rPr>
          <w:color w:val="000000" w:themeColor="text1"/>
          <w:sz w:val="24"/>
          <w:szCs w:val="24"/>
          <w14:textFill>
            <w14:solidFill>
              <w14:schemeClr w14:val="tx1"/>
            </w14:solidFill>
          </w14:textFill>
        </w:rPr>
        <w:t>当按单个构件推定时，灌浆料抗压强度推定值应取由回弹值平均值计算的抗压强度换算值；当按</w:t>
      </w:r>
      <w:r>
        <w:rPr>
          <w:bCs/>
          <w:color w:val="000000" w:themeColor="text1"/>
          <w:sz w:val="24"/>
          <w:szCs w:val="24"/>
          <w:shd w:val="clear" w:color="auto" w:fill="FFFFFF"/>
          <w14:textFill>
            <w14:solidFill>
              <w14:schemeClr w14:val="tx1"/>
            </w14:solidFill>
          </w14:textFill>
        </w:rPr>
        <w:t>检测批推定</w:t>
      </w:r>
      <w:r>
        <w:rPr>
          <w:color w:val="000000" w:themeColor="text1"/>
          <w:sz w:val="24"/>
          <w:szCs w:val="24"/>
          <w14:textFill>
            <w14:solidFill>
              <w14:schemeClr w14:val="tx1"/>
            </w14:solidFill>
          </w14:textFill>
        </w:rPr>
        <w:t>时，</w:t>
      </w:r>
      <w:r>
        <w:rPr>
          <w:rFonts w:hint="eastAsia"/>
          <w:color w:val="000000" w:themeColor="text1"/>
          <w:sz w:val="24"/>
          <w:szCs w:val="24"/>
          <w14:textFill>
            <w14:solidFill>
              <w14:schemeClr w14:val="tx1"/>
            </w14:solidFill>
          </w14:textFill>
        </w:rPr>
        <w:t>强度推定</w:t>
      </w:r>
      <w:r>
        <w:rPr>
          <w:color w:val="000000" w:themeColor="text1"/>
          <w:sz w:val="24"/>
          <w:szCs w:val="24"/>
          <w14:textFill>
            <w14:solidFill>
              <w14:schemeClr w14:val="tx1"/>
            </w14:solidFill>
          </w14:textFill>
        </w:rPr>
        <w:t>应符合</w:t>
      </w:r>
      <w:r>
        <w:rPr>
          <w:rFonts w:hint="eastAsia"/>
          <w:color w:val="000000" w:themeColor="text1"/>
          <w:sz w:val="24"/>
          <w:szCs w:val="24"/>
          <w14:textFill>
            <w14:solidFill>
              <w14:schemeClr w14:val="tx1"/>
            </w14:solidFill>
          </w14:textFill>
        </w:rPr>
        <w:t>本标准第E.3.6条的</w:t>
      </w:r>
      <w:r>
        <w:rPr>
          <w:color w:val="000000" w:themeColor="text1"/>
          <w:sz w:val="24"/>
          <w:szCs w:val="24"/>
          <w14:textFill>
            <w14:solidFill>
              <w14:schemeClr w14:val="tx1"/>
            </w14:solidFill>
          </w14:textFill>
        </w:rPr>
        <w:t>规定</w:t>
      </w:r>
      <w:r>
        <w:rPr>
          <w:rFonts w:hint="eastAsia"/>
          <w:color w:val="000000" w:themeColor="text1"/>
          <w:sz w:val="24"/>
          <w:szCs w:val="24"/>
          <w14:textFill>
            <w14:solidFill>
              <w14:schemeClr w14:val="tx1"/>
            </w14:solidFill>
          </w14:textFill>
        </w:rPr>
        <w:t>。</w:t>
      </w:r>
    </w:p>
    <w:p>
      <w:pPr>
        <w:keepNext/>
        <w:keepLines/>
        <w:spacing w:before="120" w:beforeLines="50" w:after="120" w:afterLines="50" w:line="400" w:lineRule="exact"/>
        <w:jc w:val="center"/>
        <w:rPr>
          <w:b/>
          <w:kern w:val="0"/>
          <w:sz w:val="24"/>
          <w:szCs w:val="24"/>
        </w:rPr>
      </w:pPr>
      <w:r>
        <w:rPr>
          <w:b/>
          <w:kern w:val="0"/>
          <w:sz w:val="24"/>
          <w:szCs w:val="24"/>
        </w:rPr>
        <w:t>F.3  测强曲线建立方法</w:t>
      </w:r>
    </w:p>
    <w:p>
      <w:pPr>
        <w:spacing w:line="360" w:lineRule="auto"/>
        <w:rPr>
          <w:bCs/>
          <w:sz w:val="24"/>
          <w:szCs w:val="24"/>
          <w:shd w:val="clear" w:color="auto" w:fill="FFFFFF"/>
        </w:rPr>
      </w:pPr>
      <w:r>
        <w:rPr>
          <w:b/>
          <w:sz w:val="24"/>
          <w:szCs w:val="24"/>
          <w:shd w:val="clear" w:color="auto" w:fill="FFFFFF"/>
        </w:rPr>
        <w:t xml:space="preserve">F.3.1  </w:t>
      </w:r>
      <w:r>
        <w:rPr>
          <w:bCs/>
          <w:sz w:val="24"/>
          <w:szCs w:val="24"/>
          <w:shd w:val="clear" w:color="auto" w:fill="FFFFFF"/>
        </w:rPr>
        <w:t>试件的制作</w:t>
      </w:r>
      <w:r>
        <w:rPr>
          <w:rFonts w:hint="eastAsia"/>
          <w:bCs/>
          <w:sz w:val="24"/>
          <w:szCs w:val="24"/>
          <w:shd w:val="clear" w:color="auto" w:fill="FFFFFF"/>
        </w:rPr>
        <w:t>和</w:t>
      </w:r>
      <w:r>
        <w:rPr>
          <w:bCs/>
          <w:sz w:val="24"/>
          <w:szCs w:val="24"/>
          <w:shd w:val="clear" w:color="auto" w:fill="FFFFFF"/>
        </w:rPr>
        <w:t>养护应符合下列规定：</w:t>
      </w:r>
    </w:p>
    <w:p>
      <w:pPr>
        <w:spacing w:line="360" w:lineRule="auto"/>
        <w:ind w:firstLine="481" w:firstLineChars="20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1  </w:t>
      </w:r>
      <w:r>
        <w:rPr>
          <w:color w:val="000000" w:themeColor="text1"/>
          <w:sz w:val="24"/>
          <w:szCs w:val="24"/>
          <w14:textFill>
            <w14:solidFill>
              <w14:schemeClr w14:val="tx1"/>
            </w14:solidFill>
          </w14:textFill>
        </w:rPr>
        <w:t>应采用与实际灌浆施工相同的灌浆料品牌和规格型号；</w:t>
      </w:r>
    </w:p>
    <w:p>
      <w:pPr>
        <w:spacing w:line="360" w:lineRule="auto"/>
        <w:ind w:firstLine="481" w:firstLineChars="200"/>
        <w:rPr>
          <w:sz w:val="24"/>
          <w:szCs w:val="24"/>
        </w:rPr>
      </w:pPr>
      <w:r>
        <w:rPr>
          <w:b/>
          <w:bCs/>
          <w:color w:val="000000"/>
          <w:sz w:val="24"/>
          <w:szCs w:val="24"/>
        </w:rPr>
        <w:t xml:space="preserve">2  </w:t>
      </w:r>
      <w:r>
        <w:rPr>
          <w:sz w:val="24"/>
          <w:szCs w:val="24"/>
        </w:rPr>
        <w:t>按照实际灌浆施工的掺水量应制作不少于6批试件，每批试件的灌浆料强度试验龄期不应少于3个，且应包含3d、7d和28d；</w:t>
      </w:r>
    </w:p>
    <w:p>
      <w:pPr>
        <w:spacing w:line="360" w:lineRule="auto"/>
        <w:ind w:firstLine="481" w:firstLineChars="20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3  </w:t>
      </w:r>
      <w:r>
        <w:rPr>
          <w:color w:val="000000" w:themeColor="text1"/>
          <w:sz w:val="24"/>
          <w:szCs w:val="24"/>
          <w14:textFill>
            <w14:solidFill>
              <w14:schemeClr w14:val="tx1"/>
            </w14:solidFill>
          </w14:textFill>
        </w:rPr>
        <w:t>每个龄期应分别制作3个试件对（图F.3.1），每个试件对至少应包括1块边长为150mm且中间穿有4根内径为（18±1）mm的PVC管的混凝土立方体试块和1组边长为40mm×40mm×160mm的灌浆料棱柱体试块，立方体试块的混凝土设计强度等级宜为C30，4根PVC管宜沿混凝土试块的形心对称布置，PVC管侧面距混凝土试块边缘不应小于20mm，PVC管的间距不宜小于45mm；</w:t>
      </w:r>
    </w:p>
    <w:p>
      <w:pPr>
        <w:spacing w:line="360" w:lineRule="auto"/>
        <w:ind w:firstLine="481" w:firstLineChars="200"/>
        <w:rPr>
          <w:color w:val="000000"/>
          <w:sz w:val="24"/>
          <w:szCs w:val="24"/>
        </w:rPr>
      </w:pPr>
      <w:r>
        <w:rPr>
          <w:b/>
          <w:color w:val="000000"/>
          <w:sz w:val="24"/>
          <w:szCs w:val="24"/>
        </w:rPr>
        <w:t>4</w:t>
      </w:r>
      <w:r>
        <w:rPr>
          <w:color w:val="000000"/>
          <w:sz w:val="24"/>
          <w:szCs w:val="24"/>
        </w:rPr>
        <w:t xml:space="preserve">  </w:t>
      </w:r>
      <w:r>
        <w:rPr>
          <w:sz w:val="24"/>
          <w:szCs w:val="24"/>
        </w:rPr>
        <w:t>混凝土试块养护14d后，应在其中预埋的</w:t>
      </w:r>
      <w:r>
        <w:rPr>
          <w:color w:val="000000"/>
          <w:sz w:val="24"/>
          <w:szCs w:val="24"/>
        </w:rPr>
        <w:t>PVC管一端塞入</w:t>
      </w:r>
      <w:r>
        <w:rPr>
          <w:sz w:val="24"/>
          <w:szCs w:val="24"/>
        </w:rPr>
        <w:t>橡胶塞</w:t>
      </w:r>
      <w:r>
        <w:rPr>
          <w:color w:val="000000"/>
          <w:sz w:val="24"/>
          <w:szCs w:val="24"/>
        </w:rPr>
        <w:t>并从另一端灌入灌浆料，同时应制作成型1组</w:t>
      </w:r>
      <w:r>
        <w:rPr>
          <w:sz w:val="24"/>
          <w:szCs w:val="24"/>
        </w:rPr>
        <w:t>灌浆料棱柱体试块，各试件对均应由同一锅搅拌的灌浆料制作成型</w:t>
      </w:r>
      <w:r>
        <w:rPr>
          <w:color w:val="000000"/>
          <w:sz w:val="24"/>
          <w:szCs w:val="24"/>
        </w:rPr>
        <w:t>；</w:t>
      </w:r>
    </w:p>
    <w:p>
      <w:pPr>
        <w:spacing w:line="360" w:lineRule="auto"/>
        <w:ind w:firstLine="481" w:firstLineChars="200"/>
        <w:rPr>
          <w:color w:val="000000" w:themeColor="text1"/>
          <w:sz w:val="24"/>
          <w:szCs w:val="24"/>
          <w14:textFill>
            <w14:solidFill>
              <w14:schemeClr w14:val="tx1"/>
            </w14:solidFill>
          </w14:textFill>
        </w:rPr>
      </w:pPr>
      <w:r>
        <w:rPr>
          <w:b/>
          <w:bCs/>
          <w:color w:val="000000"/>
          <w:sz w:val="24"/>
          <w:szCs w:val="24"/>
        </w:rPr>
        <w:t xml:space="preserve">5  </w:t>
      </w:r>
      <w:r>
        <w:rPr>
          <w:color w:val="000000"/>
          <w:sz w:val="24"/>
          <w:szCs w:val="24"/>
        </w:rPr>
        <w:t>各</w:t>
      </w:r>
      <w:r>
        <w:rPr>
          <w:color w:val="000000" w:themeColor="text1"/>
          <w:sz w:val="24"/>
          <w:szCs w:val="24"/>
          <w14:textFill>
            <w14:solidFill>
              <w14:schemeClr w14:val="tx1"/>
            </w14:solidFill>
          </w14:textFill>
        </w:rPr>
        <w:t>试件对均应在相同养护条件下养护至目标龄期再进行回弹值测试和抗压强度试验，宜在养护2d后拔出PVC中的橡胶塞。</w:t>
      </w:r>
    </w:p>
    <w:p>
      <w:pPr>
        <w:jc w:val="center"/>
      </w:pPr>
      <w:bookmarkStart w:id="148" w:name="_Ref95836460"/>
      <w:r>
        <w:drawing>
          <wp:inline distT="0" distB="0" distL="0" distR="0">
            <wp:extent cx="1466215" cy="2519680"/>
            <wp:effectExtent l="19050" t="0" r="183" b="0"/>
            <wp:docPr id="262" name="图片 262" descr="C:\Users\l\Desktop\7-正式报批稿修改0703\标准附图0709\回弹法试件对图片.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2" name="图片 262" descr="C:\Users\l\Desktop\7-正式报批稿修改0703\标准附图0709\回弹法试件对图片.jpg"/>
                    <pic:cNvPicPr>
                      <a:picLocks noChangeAspect="true" noChangeArrowheads="true"/>
                    </pic:cNvPicPr>
                  </pic:nvPicPr>
                  <pic:blipFill>
                    <a:blip r:embed="rId226" cstate="print"/>
                    <a:srcRect/>
                    <a:stretch>
                      <a:fillRect/>
                    </a:stretch>
                  </pic:blipFill>
                  <pic:spPr>
                    <a:xfrm>
                      <a:off x="0" y="0"/>
                      <a:ext cx="1466667" cy="2520000"/>
                    </a:xfrm>
                    <a:prstGeom prst="rect">
                      <a:avLst/>
                    </a:prstGeom>
                    <a:noFill/>
                    <a:ln w="9525">
                      <a:noFill/>
                      <a:miter lim="800000"/>
                      <a:headEnd/>
                      <a:tailEnd/>
                    </a:ln>
                  </pic:spPr>
                </pic:pic>
              </a:graphicData>
            </a:graphic>
          </wp:inline>
        </w:drawing>
      </w:r>
    </w:p>
    <w:p>
      <w:pPr>
        <w:jc w:val="center"/>
      </w:pPr>
    </w:p>
    <w:p>
      <w:pPr>
        <w:jc w:val="center"/>
        <w:rPr>
          <w:color w:val="000000" w:themeColor="text1"/>
          <w:szCs w:val="18"/>
          <w14:textFill>
            <w14:solidFill>
              <w14:schemeClr w14:val="tx1"/>
            </w14:solidFill>
          </w14:textFill>
        </w:rPr>
      </w:pPr>
      <w:r>
        <w:rPr>
          <w:color w:val="000000" w:themeColor="text1"/>
          <w:szCs w:val="18"/>
          <w14:textFill>
            <w14:solidFill>
              <w14:schemeClr w14:val="tx1"/>
            </w14:solidFill>
          </w14:textFill>
        </w:rPr>
        <w:t>1-PVC管；2-150mm×150mm×150mm混凝土立方体试块；</w:t>
      </w:r>
    </w:p>
    <w:p>
      <w:pPr>
        <w:jc w:val="center"/>
        <w:rPr>
          <w:color w:val="000000" w:themeColor="text1"/>
          <w:szCs w:val="18"/>
          <w14:textFill>
            <w14:solidFill>
              <w14:schemeClr w14:val="tx1"/>
            </w14:solidFill>
          </w14:textFill>
        </w:rPr>
      </w:pPr>
    </w:p>
    <w:p>
      <w:pPr>
        <w:jc w:val="center"/>
      </w:pPr>
      <w:r>
        <w:rPr>
          <w:color w:val="000000" w:themeColor="text1"/>
          <w:szCs w:val="18"/>
          <w14:textFill>
            <w14:solidFill>
              <w14:schemeClr w14:val="tx1"/>
            </w14:solidFill>
          </w14:textFill>
        </w:rPr>
        <w:t>3-40mm×40mm×160mm灌浆料棱柱体试块</w:t>
      </w:r>
    </w:p>
    <w:p>
      <w:pPr>
        <w:pStyle w:val="6"/>
        <w:spacing w:before="120" w:beforeLines="50" w:after="120" w:afterLines="50"/>
        <w:jc w:val="center"/>
        <w:rPr>
          <w:rFonts w:ascii="Times New Roman" w:hAnsi="Times New Roman" w:cs="Times New Roman" w:eastAsiaTheme="minorEastAsia"/>
          <w:b/>
          <w:bCs/>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图</w:t>
      </w:r>
      <w:bookmarkEnd w:id="148"/>
      <w:r>
        <w:rPr>
          <w:rFonts w:ascii="Times New Roman" w:hAnsi="Times New Roman" w:cs="Times New Roman"/>
          <w:b/>
          <w:color w:val="000000" w:themeColor="text1"/>
          <w:sz w:val="21"/>
          <w:szCs w:val="21"/>
          <w14:textFill>
            <w14:solidFill>
              <w14:schemeClr w14:val="tx1"/>
            </w14:solidFill>
          </w14:textFill>
        </w:rPr>
        <w:t>F.3.1</w:t>
      </w:r>
      <w:r>
        <w:rPr>
          <w:rFonts w:ascii="Times New Roman" w:hAnsi="Times New Roman" w:cs="Times New Roman" w:eastAsiaTheme="minorEastAsia"/>
          <w:b/>
          <w:bCs/>
          <w:color w:val="000000" w:themeColor="text1"/>
          <w:sz w:val="21"/>
          <w:szCs w:val="21"/>
          <w14:textFill>
            <w14:solidFill>
              <w14:schemeClr w14:val="tx1"/>
            </w14:solidFill>
          </w14:textFill>
        </w:rPr>
        <w:t xml:space="preserve">  试件对示意图</w:t>
      </w:r>
    </w:p>
    <w:p>
      <w:pPr>
        <w:spacing w:line="360" w:lineRule="auto"/>
        <w:rPr>
          <w:bCs/>
          <w:color w:val="000000" w:themeColor="text1"/>
          <w:sz w:val="24"/>
          <w:szCs w:val="24"/>
          <w:shd w:val="clear" w:color="auto" w:fill="FFFFFF"/>
          <w14:textFill>
            <w14:solidFill>
              <w14:schemeClr w14:val="tx1"/>
            </w14:solidFill>
          </w14:textFill>
        </w:rPr>
      </w:pPr>
      <w:r>
        <w:rPr>
          <w:b/>
          <w:color w:val="000000" w:themeColor="text1"/>
          <w:sz w:val="24"/>
          <w:szCs w:val="24"/>
          <w:shd w:val="clear" w:color="auto" w:fill="FFFFFF"/>
          <w14:textFill>
            <w14:solidFill>
              <w14:schemeClr w14:val="tx1"/>
            </w14:solidFill>
          </w14:textFill>
        </w:rPr>
        <w:t xml:space="preserve">F.3.2  </w:t>
      </w:r>
      <w:r>
        <w:rPr>
          <w:color w:val="000000" w:themeColor="text1"/>
          <w:sz w:val="24"/>
          <w:szCs w:val="24"/>
          <w:shd w:val="clear" w:color="auto" w:fill="FFFFFF"/>
          <w14:textFill>
            <w14:solidFill>
              <w14:schemeClr w14:val="tx1"/>
            </w14:solidFill>
          </w14:textFill>
        </w:rPr>
        <w:t>每个</w:t>
      </w:r>
      <w:r>
        <w:rPr>
          <w:bCs/>
          <w:color w:val="000000" w:themeColor="text1"/>
          <w:sz w:val="24"/>
          <w:szCs w:val="24"/>
          <w:shd w:val="clear" w:color="auto" w:fill="FFFFFF"/>
          <w14:textFill>
            <w14:solidFill>
              <w14:schemeClr w14:val="tx1"/>
            </w14:solidFill>
          </w14:textFill>
        </w:rPr>
        <w:t>试件对的测试应符合下列规定：</w:t>
      </w:r>
    </w:p>
    <w:p>
      <w:pPr>
        <w:spacing w:line="360" w:lineRule="auto"/>
        <w:ind w:firstLine="481" w:firstLineChars="200"/>
        <w:rPr>
          <w:color w:val="000000" w:themeColor="text1"/>
          <w:sz w:val="24"/>
          <w:szCs w:val="24"/>
          <w14:textFill>
            <w14:solidFill>
              <w14:schemeClr w14:val="tx1"/>
            </w14:solidFill>
          </w14:textFill>
        </w:rPr>
      </w:pPr>
      <w:r>
        <w:rPr>
          <w:b/>
          <w:color w:val="000000" w:themeColor="text1"/>
          <w:sz w:val="24"/>
          <w:szCs w:val="24"/>
          <w:shd w:val="clear" w:color="auto" w:fill="FFFFFF"/>
          <w14:textFill>
            <w14:solidFill>
              <w14:schemeClr w14:val="tx1"/>
            </w14:solidFill>
          </w14:textFill>
        </w:rPr>
        <w:t xml:space="preserve">1  </w:t>
      </w:r>
      <w:r>
        <w:rPr>
          <w:color w:val="000000" w:themeColor="text1"/>
          <w:sz w:val="24"/>
          <w:szCs w:val="24"/>
          <w:shd w:val="clear" w:color="auto" w:fill="FFFFFF"/>
          <w14:textFill>
            <w14:solidFill>
              <w14:schemeClr w14:val="tx1"/>
            </w14:solidFill>
          </w14:textFill>
        </w:rPr>
        <w:t>在弹击灌浆料前，</w:t>
      </w:r>
      <w:r>
        <w:rPr>
          <w:color w:val="000000" w:themeColor="text1"/>
          <w:sz w:val="24"/>
          <w:szCs w:val="24"/>
          <w14:textFill>
            <w14:solidFill>
              <w14:schemeClr w14:val="tx1"/>
            </w14:solidFill>
          </w14:textFill>
        </w:rPr>
        <w:t>应在混凝土立方体试块无PVC管外露的成型面施加</w:t>
      </w:r>
      <w:r>
        <w:rPr>
          <w:rFonts w:eastAsiaTheme="minorEastAsia"/>
          <w:color w:val="000000" w:themeColor="text1"/>
          <w:sz w:val="24"/>
          <w:szCs w:val="24"/>
          <w14:textFill>
            <w14:solidFill>
              <w14:schemeClr w14:val="tx1"/>
            </w14:solidFill>
          </w14:textFill>
        </w:rPr>
        <w:t>3</w:t>
      </w:r>
      <w:r>
        <w:rPr>
          <w:color w:val="000000" w:themeColor="text1"/>
          <w:sz w:val="24"/>
          <w:szCs w:val="24"/>
          <w14:textFill>
            <w14:solidFill>
              <w14:schemeClr w14:val="tx1"/>
            </w14:solidFill>
          </w14:textFill>
        </w:rPr>
        <w:t>N/mm</w:t>
      </w:r>
      <w:r>
        <w:rPr>
          <w:color w:val="000000" w:themeColor="text1"/>
          <w:sz w:val="24"/>
          <w:szCs w:val="24"/>
          <w:vertAlign w:val="superscript"/>
          <w14:textFill>
            <w14:solidFill>
              <w14:schemeClr w14:val="tx1"/>
            </w14:solidFill>
          </w14:textFill>
        </w:rPr>
        <w:t>2</w:t>
      </w:r>
      <w:r>
        <w:rPr>
          <w:rFonts w:eastAsiaTheme="minor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5N/mm</w:t>
      </w:r>
      <w:r>
        <w:rPr>
          <w:color w:val="000000" w:themeColor="text1"/>
          <w:sz w:val="24"/>
          <w:szCs w:val="24"/>
          <w:vertAlign w:val="superscript"/>
          <w14:textFill>
            <w14:solidFill>
              <w14:schemeClr w14:val="tx1"/>
            </w14:solidFill>
          </w14:textFill>
        </w:rPr>
        <w:t>2</w:t>
      </w:r>
      <w:r>
        <w:rPr>
          <w:color w:val="000000" w:themeColor="text1"/>
          <w:sz w:val="24"/>
          <w:szCs w:val="24"/>
          <w14:textFill>
            <w14:solidFill>
              <w14:schemeClr w14:val="tx1"/>
            </w14:solidFill>
          </w14:textFill>
        </w:rPr>
        <w:t>的竖向压力值对试件进行固定，应</w:t>
      </w:r>
      <w:r>
        <w:rPr>
          <w:bCs/>
          <w:color w:val="000000" w:themeColor="text1"/>
          <w:sz w:val="24"/>
          <w:szCs w:val="24"/>
          <w14:textFill>
            <w14:solidFill>
              <w14:schemeClr w14:val="tx1"/>
            </w14:solidFill>
          </w14:textFill>
        </w:rPr>
        <w:t>采用符合本标准第F.1.2条规定的回弹仪，并应按本标准第F.2.1条规定的操作方式对</w:t>
      </w:r>
      <w:r>
        <w:rPr>
          <w:color w:val="000000" w:themeColor="text1"/>
          <w:sz w:val="24"/>
          <w:szCs w:val="24"/>
          <w14:textFill>
            <w14:solidFill>
              <w14:schemeClr w14:val="tx1"/>
            </w14:solidFill>
          </w14:textFill>
        </w:rPr>
        <w:t>混凝土立方体试块</w:t>
      </w:r>
      <w:r>
        <w:rPr>
          <w:bCs/>
          <w:color w:val="000000" w:themeColor="text1"/>
          <w:sz w:val="24"/>
          <w:szCs w:val="24"/>
          <w14:textFill>
            <w14:solidFill>
              <w14:schemeClr w14:val="tx1"/>
            </w14:solidFill>
          </w14:textFill>
        </w:rPr>
        <w:t>PVC管中的4个灌浆料端面进行回弹测试，</w:t>
      </w:r>
      <w:r>
        <w:rPr>
          <w:color w:val="000000" w:themeColor="text1"/>
          <w:sz w:val="24"/>
          <w:szCs w:val="24"/>
          <w14:textFill>
            <w14:solidFill>
              <w14:schemeClr w14:val="tx1"/>
            </w14:solidFill>
          </w14:textFill>
        </w:rPr>
        <w:t>每个试件对应读取16个回弹值，应剔除3个最大值和3个最小值后计算剩余10个回弹值的平均值；</w:t>
      </w:r>
    </w:p>
    <w:p>
      <w:pPr>
        <w:spacing w:line="360" w:lineRule="auto"/>
        <w:ind w:firstLine="481" w:firstLineChars="200"/>
        <w:rPr>
          <w:color w:val="000000"/>
          <w:sz w:val="24"/>
        </w:rPr>
      </w:pPr>
      <w:r>
        <w:rPr>
          <w:b/>
          <w:bCs/>
          <w:sz w:val="24"/>
          <w:szCs w:val="24"/>
        </w:rPr>
        <w:t xml:space="preserve">2  </w:t>
      </w:r>
      <w:r>
        <w:rPr>
          <w:bCs/>
          <w:sz w:val="24"/>
          <w:szCs w:val="24"/>
        </w:rPr>
        <w:t>应</w:t>
      </w:r>
      <w:r>
        <w:rPr>
          <w:color w:val="000000" w:themeColor="text1"/>
          <w:sz w:val="24"/>
          <w14:textFill>
            <w14:solidFill>
              <w14:schemeClr w14:val="tx1"/>
            </w14:solidFill>
          </w14:textFill>
        </w:rPr>
        <w:t>根据现行国家标准《水泥胶砂强度检验方法（ISO法）》GB/T 17671对灌浆料棱柱体试件进行抗压强度试验</w:t>
      </w:r>
      <w:r>
        <w:rPr>
          <w:color w:val="000000"/>
          <w:sz w:val="24"/>
        </w:rPr>
        <w:t>并计算试件抗压强度平均值。</w:t>
      </w:r>
    </w:p>
    <w:p>
      <w:pPr>
        <w:spacing w:line="360" w:lineRule="auto"/>
        <w:rPr>
          <w:bCs/>
          <w:color w:val="000000" w:themeColor="text1"/>
          <w:sz w:val="24"/>
          <w:szCs w:val="24"/>
          <w:shd w:val="clear" w:color="auto" w:fill="FFFFFF"/>
          <w14:textFill>
            <w14:solidFill>
              <w14:schemeClr w14:val="tx1"/>
            </w14:solidFill>
          </w14:textFill>
        </w:rPr>
      </w:pPr>
      <w:r>
        <w:rPr>
          <w:b/>
          <w:color w:val="000000" w:themeColor="text1"/>
          <w:sz w:val="24"/>
          <w:szCs w:val="24"/>
          <w:shd w:val="clear" w:color="auto" w:fill="FFFFFF"/>
          <w14:textFill>
            <w14:solidFill>
              <w14:schemeClr w14:val="tx1"/>
            </w14:solidFill>
          </w14:textFill>
        </w:rPr>
        <w:t xml:space="preserve">F.3.3  </w:t>
      </w:r>
      <w:r>
        <w:rPr>
          <w:color w:val="000000" w:themeColor="text1"/>
          <w:sz w:val="24"/>
          <w:szCs w:val="24"/>
          <w14:textFill>
            <w14:solidFill>
              <w14:schemeClr w14:val="tx1"/>
            </w14:solidFill>
          </w14:textFill>
        </w:rPr>
        <w:t>灌浆料抗压强度与回弹值的换算</w:t>
      </w:r>
      <w:r>
        <w:rPr>
          <w:bCs/>
          <w:color w:val="000000" w:themeColor="text1"/>
          <w:sz w:val="24"/>
          <w:szCs w:val="24"/>
          <w:shd w:val="clear" w:color="auto" w:fill="FFFFFF"/>
          <w14:textFill>
            <w14:solidFill>
              <w14:schemeClr w14:val="tx1"/>
            </w14:solidFill>
          </w14:textFill>
        </w:rPr>
        <w:t>关系计算应符合下列规定：</w:t>
      </w:r>
    </w:p>
    <w:p>
      <w:pPr>
        <w:pStyle w:val="80"/>
        <w:spacing w:line="360" w:lineRule="auto"/>
        <w:ind w:left="0" w:leftChars="0" w:firstLine="481" w:firstLineChars="200"/>
        <w:rPr>
          <w:sz w:val="24"/>
          <w:szCs w:val="24"/>
        </w:rPr>
      </w:pPr>
      <w:r>
        <w:rPr>
          <w:b/>
          <w:bCs/>
          <w:sz w:val="24"/>
          <w:szCs w:val="24"/>
        </w:rPr>
        <w:t xml:space="preserve">1 </w:t>
      </w:r>
      <w:r>
        <w:rPr>
          <w:sz w:val="24"/>
          <w:szCs w:val="24"/>
        </w:rPr>
        <w:t>应采用最小二乘法对各试件对的灌浆料</w:t>
      </w:r>
      <w:r>
        <w:rPr>
          <w:color w:val="000000" w:themeColor="text1"/>
          <w:sz w:val="24"/>
          <w14:textFill>
            <w14:solidFill>
              <w14:schemeClr w14:val="tx1"/>
            </w14:solidFill>
          </w14:textFill>
        </w:rPr>
        <w:t>棱柱体</w:t>
      </w:r>
      <w:r>
        <w:rPr>
          <w:sz w:val="24"/>
          <w:szCs w:val="24"/>
        </w:rPr>
        <w:t>试件抗压强度平均值</w:t>
      </w:r>
      <w:r>
        <w:rPr>
          <w:color w:val="000000" w:themeColor="text1"/>
          <w:sz w:val="24"/>
          <w:szCs w:val="24"/>
          <w14:textFill>
            <w14:solidFill>
              <w14:schemeClr w14:val="tx1"/>
            </w14:solidFill>
          </w14:textFill>
        </w:rPr>
        <w:t>和PVC管灌浆料端面</w:t>
      </w:r>
      <w:r>
        <w:rPr>
          <w:sz w:val="24"/>
          <w:szCs w:val="24"/>
        </w:rPr>
        <w:t>平均回弹值进行回归分析；</w:t>
      </w:r>
    </w:p>
    <w:p>
      <w:pPr>
        <w:pStyle w:val="80"/>
        <w:spacing w:line="360" w:lineRule="auto"/>
        <w:ind w:left="0" w:leftChars="0" w:firstLine="481" w:firstLineChars="200"/>
        <w:rPr>
          <w:sz w:val="24"/>
          <w:szCs w:val="24"/>
        </w:rPr>
      </w:pPr>
      <w:bookmarkStart w:id="149" w:name="_Hlk119937042"/>
      <w:r>
        <w:rPr>
          <w:b/>
          <w:bCs/>
          <w:sz w:val="24"/>
          <w:szCs w:val="24"/>
        </w:rPr>
        <w:t xml:space="preserve">2  </w:t>
      </w:r>
      <w:r>
        <w:rPr>
          <w:sz w:val="24"/>
          <w:szCs w:val="24"/>
        </w:rPr>
        <w:t>回归方程</w:t>
      </w:r>
      <w:r>
        <w:rPr>
          <w:rFonts w:hint="eastAsia"/>
          <w:sz w:val="24"/>
          <w:szCs w:val="24"/>
        </w:rPr>
        <w:t>式</w:t>
      </w:r>
      <w:r>
        <w:rPr>
          <w:sz w:val="24"/>
          <w:szCs w:val="24"/>
        </w:rPr>
        <w:t>宜采用以下函数关系式：</w:t>
      </w:r>
    </w:p>
    <w:tbl>
      <w:tblPr>
        <w:tblStyle w:val="25"/>
        <w:tblW w:w="852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54"/>
        <w:gridCol w:w="1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54" w:type="dxa"/>
            <w:vAlign w:val="center"/>
          </w:tcPr>
          <w:p>
            <w:pPr>
              <w:spacing w:line="360" w:lineRule="auto"/>
              <w:jc w:val="center"/>
              <w:rPr>
                <w:i/>
                <w:color w:val="000000" w:themeColor="text1"/>
                <w:kern w:val="0"/>
                <w:sz w:val="24"/>
                <w:szCs w:val="24"/>
                <w14:textFill>
                  <w14:solidFill>
                    <w14:schemeClr w14:val="tx1"/>
                  </w14:solidFill>
                </w14:textFill>
              </w:rPr>
            </w:pPr>
            <w:r>
              <w:rPr>
                <w:color w:val="7030A0"/>
                <w:position w:val="-12"/>
                <w:sz w:val="24"/>
                <w:szCs w:val="24"/>
              </w:rPr>
              <w:object>
                <v:shape id="_x0000_i1142" o:spt="75" type="#_x0000_t75" style="height:19.6pt;width:70.25pt;" o:ole="t" filled="f" o:preferrelative="t" stroked="f" coordsize="21600,21600">
                  <v:path/>
                  <v:fill on="f" focussize="0,0"/>
                  <v:stroke on="f" joinstyle="miter"/>
                  <v:imagedata r:id="rId228" o:title=""/>
                  <o:lock v:ext="edit" aspectratio="t"/>
                  <w10:wrap type="none"/>
                  <w10:anchorlock/>
                </v:shape>
                <o:OLEObject Type="Embed" ProgID="Equation.DSMT4" ShapeID="_x0000_i1142" DrawAspect="Content" ObjectID="_1468075842" r:id="rId227">
                  <o:LockedField>false</o:LockedField>
                </o:OLEObject>
              </w:object>
            </w:r>
          </w:p>
        </w:tc>
        <w:tc>
          <w:tcPr>
            <w:tcW w:w="1474" w:type="dxa"/>
            <w:vAlign w:val="center"/>
          </w:tcPr>
          <w:p>
            <w:pPr>
              <w:spacing w:line="360" w:lineRule="auto"/>
              <w:jc w:val="right"/>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w:t>
            </w:r>
            <w:r>
              <w:rPr>
                <w:bCs/>
                <w:kern w:val="0"/>
                <w:sz w:val="24"/>
                <w:szCs w:val="24"/>
                <w:shd w:val="clear" w:color="auto" w:fill="FFFFFF"/>
              </w:rPr>
              <w:t>F.3.3</w:t>
            </w:r>
            <w:r>
              <w:rPr>
                <w:kern w:val="0"/>
                <w:sz w:val="24"/>
                <w:szCs w:val="24"/>
              </w:rPr>
              <w:t>-1</w:t>
            </w:r>
            <w:r>
              <w:rPr>
                <w:color w:val="000000" w:themeColor="text1"/>
                <w:kern w:val="0"/>
                <w:sz w:val="24"/>
                <w:szCs w:val="24"/>
                <w14:textFill>
                  <w14:solidFill>
                    <w14:schemeClr w14:val="tx1"/>
                  </w14:solidFill>
                </w14:textFill>
              </w:rPr>
              <w:t>）</w:t>
            </w:r>
          </w:p>
        </w:tc>
      </w:tr>
    </w:tbl>
    <w:p>
      <w:pPr>
        <w:pStyle w:val="72"/>
        <w:spacing w:line="360" w:lineRule="auto"/>
        <w:ind w:firstLine="0" w:firstLineChars="0"/>
        <w:rPr>
          <w:sz w:val="24"/>
          <w:szCs w:val="24"/>
        </w:rPr>
      </w:pPr>
      <w:r>
        <w:rPr>
          <w:rFonts w:hint="eastAsia"/>
          <w:sz w:val="24"/>
          <w:szCs w:val="24"/>
        </w:rPr>
        <w:t>式中：</w:t>
      </w:r>
      <w:r>
        <w:rPr>
          <w:color w:val="FF0000"/>
          <w:position w:val="-6"/>
          <w:sz w:val="24"/>
          <w:szCs w:val="24"/>
        </w:rPr>
        <w:object>
          <v:shape id="_x0000_i1143" o:spt="75" type="#_x0000_t75" style="height:11.5pt;width:15pt;" o:ole="t" filled="f" o:preferrelative="t" stroked="f" coordsize="21600,21600">
            <v:path/>
            <v:fill on="f" focussize="0,0"/>
            <v:stroke on="f" joinstyle="miter"/>
            <v:imagedata r:id="rId230" o:title=""/>
            <o:lock v:ext="edit" aspectratio="t"/>
            <w10:wrap type="none"/>
            <w10:anchorlock/>
          </v:shape>
          <o:OLEObject Type="Embed" ProgID="Equation.DSMT4" ShapeID="_x0000_i1143" DrawAspect="Content" ObjectID="_1468075843" r:id="rId229">
            <o:LockedField>false</o:LockedField>
          </o:OLEObject>
        </w:object>
      </w:r>
      <w:r>
        <w:rPr>
          <w:rFonts w:hint="eastAsia"/>
          <w:sz w:val="24"/>
          <w:szCs w:val="24"/>
        </w:rPr>
        <w:t>、</w:t>
      </w:r>
      <w:r>
        <w:rPr>
          <w:color w:val="FF0000"/>
          <w:position w:val="-6"/>
          <w:sz w:val="24"/>
          <w:szCs w:val="24"/>
        </w:rPr>
        <w:object>
          <v:shape id="_x0000_i1144" o:spt="75" type="#_x0000_t75" style="height:15pt;width:11.5pt;" o:ole="t" filled="f" o:preferrelative="t" stroked="f" coordsize="21600,21600">
            <v:path/>
            <v:fill on="f" focussize="0,0"/>
            <v:stroke on="f" joinstyle="miter"/>
            <v:imagedata r:id="rId232" o:title=""/>
            <o:lock v:ext="edit" aspectratio="t"/>
            <w10:wrap type="none"/>
            <w10:anchorlock/>
          </v:shape>
          <o:OLEObject Type="Embed" ProgID="Equation.DSMT4" ShapeID="_x0000_i1144" DrawAspect="Content" ObjectID="_1468075844" r:id="rId231">
            <o:LockedField>false</o:LockedField>
          </o:OLEObject>
        </w:object>
      </w:r>
      <w:r>
        <w:rPr>
          <w:sz w:val="24"/>
          <w:szCs w:val="24"/>
        </w:rPr>
        <w:t>——</w:t>
      </w:r>
      <w:r>
        <w:rPr>
          <w:rFonts w:hint="eastAsia"/>
          <w:sz w:val="24"/>
          <w:szCs w:val="24"/>
        </w:rPr>
        <w:t>回归系数。</w:t>
      </w:r>
    </w:p>
    <w:p>
      <w:pPr>
        <w:pStyle w:val="72"/>
        <w:spacing w:line="360" w:lineRule="auto"/>
        <w:ind w:firstLine="482"/>
        <w:rPr>
          <w:sz w:val="24"/>
          <w:szCs w:val="24"/>
        </w:rPr>
      </w:pPr>
      <w:r>
        <w:rPr>
          <w:b/>
          <w:sz w:val="24"/>
          <w:szCs w:val="24"/>
          <w:shd w:val="clear" w:color="auto" w:fill="FFFFFF"/>
        </w:rPr>
        <w:t xml:space="preserve">3  </w:t>
      </w:r>
      <w:r>
        <w:rPr>
          <w:color w:val="000000" w:themeColor="text1"/>
          <w:sz w:val="24"/>
          <w:szCs w:val="24"/>
          <w14:textFill>
            <w14:solidFill>
              <w14:schemeClr w14:val="tx1"/>
            </w14:solidFill>
          </w14:textFill>
        </w:rPr>
        <w:t>回归方程</w:t>
      </w:r>
      <w:r>
        <w:rPr>
          <w:rFonts w:hint="eastAsia"/>
          <w:color w:val="000000" w:themeColor="text1"/>
          <w:sz w:val="24"/>
          <w:szCs w:val="24"/>
          <w14:textFill>
            <w14:solidFill>
              <w14:schemeClr w14:val="tx1"/>
            </w14:solidFill>
          </w14:textFill>
        </w:rPr>
        <w:t>式</w:t>
      </w:r>
      <w:r>
        <w:rPr>
          <w:color w:val="000000" w:themeColor="text1"/>
          <w:sz w:val="24"/>
          <w:szCs w:val="24"/>
          <w14:textFill>
            <w14:solidFill>
              <w14:schemeClr w14:val="tx1"/>
            </w14:solidFill>
          </w14:textFill>
        </w:rPr>
        <w:t>的强度值平均相对误差</w:t>
      </w:r>
      <w:r>
        <w:rPr>
          <w:color w:val="000000" w:themeColor="text1"/>
          <w:position w:val="-12"/>
          <w:sz w:val="24"/>
          <w:szCs w:val="24"/>
          <w14:textFill>
            <w14:solidFill>
              <w14:schemeClr w14:val="tx1"/>
            </w14:solidFill>
          </w14:textFill>
        </w:rPr>
        <w:object>
          <v:shape id="_x0000_i1145" o:spt="75" type="#_x0000_t75" style="height:19.6pt;width:15pt;" o:ole="t" filled="f" o:preferrelative="t" stroked="f" coordsize="21600,21600">
            <v:path/>
            <v:fill on="f" focussize="0,0"/>
            <v:stroke on="f" joinstyle="miter"/>
            <v:imagedata r:id="rId234" o:title=""/>
            <o:lock v:ext="edit" aspectratio="t"/>
            <w10:wrap type="none"/>
            <w10:anchorlock/>
          </v:shape>
          <o:OLEObject Type="Embed" ProgID="Equation.DSMT4" ShapeID="_x0000_i1145" DrawAspect="Content" ObjectID="_1468075845" r:id="rId233">
            <o:LockedField>false</o:LockedField>
          </o:OLEObject>
        </w:object>
      </w:r>
      <w:r>
        <w:rPr>
          <w:color w:val="000000" w:themeColor="text1"/>
          <w:sz w:val="24"/>
          <w:szCs w:val="24"/>
          <w14:textFill>
            <w14:solidFill>
              <w14:schemeClr w14:val="tx1"/>
            </w14:solidFill>
          </w14:textFill>
        </w:rPr>
        <w:t>不应大于12%，相对标准差</w:t>
      </w:r>
      <w:r>
        <w:rPr>
          <w:color w:val="000000" w:themeColor="text1"/>
          <w:position w:val="-12"/>
          <w:sz w:val="24"/>
          <w:szCs w:val="24"/>
          <w14:textFill>
            <w14:solidFill>
              <w14:schemeClr w14:val="tx1"/>
            </w14:solidFill>
          </w14:textFill>
        </w:rPr>
        <w:object>
          <v:shape id="_x0000_i1146" o:spt="75" type="#_x0000_t75" style="height:17.3pt;width:13.25pt;" o:ole="t" filled="f" o:preferrelative="t" stroked="f" coordsize="21600,21600">
            <v:path/>
            <v:fill on="f" focussize="0,0"/>
            <v:stroke on="f" joinstyle="miter"/>
            <v:imagedata r:id="rId236" o:title=""/>
            <o:lock v:ext="edit" aspectratio="t"/>
            <w10:wrap type="none"/>
            <w10:anchorlock/>
          </v:shape>
          <o:OLEObject Type="Embed" ProgID="Equation.DSMT4" ShapeID="_x0000_i1146" DrawAspect="Content" ObjectID="_1468075846" r:id="rId235">
            <o:LockedField>false</o:LockedField>
          </o:OLEObject>
        </w:object>
      </w:r>
      <w:r>
        <w:rPr>
          <w:color w:val="000000" w:themeColor="text1"/>
          <w:sz w:val="24"/>
          <w:szCs w:val="24"/>
          <w14:textFill>
            <w14:solidFill>
              <w14:schemeClr w14:val="tx1"/>
            </w14:solidFill>
          </w14:textFill>
        </w:rPr>
        <w:t>不应大于15%</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平均相对误差</w:t>
      </w:r>
      <w:r>
        <w:rPr>
          <w:color w:val="000000" w:themeColor="text1"/>
          <w:position w:val="-12"/>
          <w:sz w:val="24"/>
          <w:szCs w:val="24"/>
          <w14:textFill>
            <w14:solidFill>
              <w14:schemeClr w14:val="tx1"/>
            </w14:solidFill>
          </w14:textFill>
        </w:rPr>
        <w:object>
          <v:shape id="_x0000_i1147" o:spt="75" type="#_x0000_t75" style="height:19.6pt;width:15pt;" o:ole="t" filled="f" o:preferrelative="t" stroked="f" coordsize="21600,21600">
            <v:path/>
            <v:fill on="f" focussize="0,0"/>
            <v:stroke on="f" joinstyle="miter"/>
            <v:imagedata r:id="rId234" o:title=""/>
            <o:lock v:ext="edit" aspectratio="t"/>
            <w10:wrap type="none"/>
            <w10:anchorlock/>
          </v:shape>
          <o:OLEObject Type="Embed" ProgID="Equation.DSMT4" ShapeID="_x0000_i1147" DrawAspect="Content" ObjectID="_1468075847" r:id="rId237">
            <o:LockedField>false</o:LockedField>
          </o:OLEObject>
        </w:object>
      </w:r>
      <w:r>
        <w:rPr>
          <w:rFonts w:hint="eastAsia"/>
          <w:color w:val="000000" w:themeColor="text1"/>
          <w:sz w:val="24"/>
          <w:szCs w:val="24"/>
          <w14:textFill>
            <w14:solidFill>
              <w14:schemeClr w14:val="tx1"/>
            </w14:solidFill>
          </w14:textFill>
        </w:rPr>
        <w:t>应按照式（E.4.4-2）计算，</w:t>
      </w:r>
      <w:r>
        <w:rPr>
          <w:color w:val="000000" w:themeColor="text1"/>
          <w:sz w:val="24"/>
          <w:szCs w:val="24"/>
          <w14:textFill>
            <w14:solidFill>
              <w14:schemeClr w14:val="tx1"/>
            </w14:solidFill>
          </w14:textFill>
        </w:rPr>
        <w:t>相对标准差</w:t>
      </w:r>
      <w:r>
        <w:rPr>
          <w:color w:val="000000" w:themeColor="text1"/>
          <w:position w:val="-12"/>
          <w:sz w:val="24"/>
          <w:szCs w:val="24"/>
          <w14:textFill>
            <w14:solidFill>
              <w14:schemeClr w14:val="tx1"/>
            </w14:solidFill>
          </w14:textFill>
        </w:rPr>
        <w:object>
          <v:shape id="_x0000_i1148" o:spt="75" type="#_x0000_t75" style="height:17.3pt;width:13.25pt;" o:ole="t" filled="f" o:preferrelative="t" stroked="f" coordsize="21600,21600">
            <v:path/>
            <v:fill on="f" focussize="0,0"/>
            <v:stroke on="f" joinstyle="miter"/>
            <v:imagedata r:id="rId239" o:title=""/>
            <o:lock v:ext="edit" aspectratio="t"/>
            <w10:wrap type="none"/>
            <w10:anchorlock/>
          </v:shape>
          <o:OLEObject Type="Embed" ProgID="Equation.DSMT4" ShapeID="_x0000_i1148" DrawAspect="Content" ObjectID="_1468075848" r:id="rId238">
            <o:LockedField>false</o:LockedField>
          </o:OLEObject>
        </w:object>
      </w:r>
      <w:r>
        <w:rPr>
          <w:color w:val="000000" w:themeColor="text1"/>
          <w:sz w:val="24"/>
          <w:szCs w:val="24"/>
          <w14:textFill>
            <w14:solidFill>
              <w14:schemeClr w14:val="tx1"/>
            </w14:solidFill>
          </w14:textFill>
        </w:rPr>
        <w:t>应按下列公式计算：</w:t>
      </w:r>
    </w:p>
    <w:tbl>
      <w:tblPr>
        <w:tblStyle w:val="25"/>
        <w:tblW w:w="852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12"/>
        <w:gridCol w:w="16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12" w:type="dxa"/>
            <w:vAlign w:val="center"/>
          </w:tcPr>
          <w:p>
            <w:pPr>
              <w:spacing w:line="360" w:lineRule="auto"/>
              <w:ind w:firstLine="720" w:firstLineChars="300"/>
              <w:jc w:val="center"/>
              <w:rPr>
                <w:kern w:val="0"/>
                <w:position w:val="-12"/>
                <w:sz w:val="24"/>
                <w:szCs w:val="24"/>
              </w:rPr>
            </w:pPr>
            <w:r>
              <w:rPr>
                <w:color w:val="FF0000"/>
                <w:position w:val="-34"/>
                <w:sz w:val="24"/>
                <w:szCs w:val="24"/>
              </w:rPr>
              <w:object>
                <v:shape id="_x0000_i1149" o:spt="75" type="#_x0000_t75" style="height:42.05pt;width:156.65pt;" o:ole="t" filled="f" o:preferrelative="t" stroked="f" coordsize="21600,21600">
                  <v:path/>
                  <v:fill on="f" focussize="0,0"/>
                  <v:stroke on="f" joinstyle="miter"/>
                  <v:imagedata r:id="rId241" o:title=""/>
                  <o:lock v:ext="edit" aspectratio="t"/>
                  <w10:wrap type="none"/>
                  <w10:anchorlock/>
                </v:shape>
                <o:OLEObject Type="Embed" ProgID="Equation.DSMT4" ShapeID="_x0000_i1149" DrawAspect="Content" ObjectID="_1468075849" r:id="rId240">
                  <o:LockedField>false</o:LockedField>
                </o:OLEObject>
              </w:object>
            </w:r>
          </w:p>
        </w:tc>
        <w:tc>
          <w:tcPr>
            <w:tcW w:w="1616" w:type="dxa"/>
            <w:vAlign w:val="center"/>
          </w:tcPr>
          <w:p>
            <w:pPr>
              <w:spacing w:line="360" w:lineRule="auto"/>
              <w:jc w:val="right"/>
              <w:rPr>
                <w:kern w:val="0"/>
                <w:sz w:val="24"/>
                <w:szCs w:val="24"/>
              </w:rPr>
            </w:pPr>
            <w:r>
              <w:rPr>
                <w:rFonts w:hint="eastAsia"/>
                <w:color w:val="000000" w:themeColor="text1"/>
                <w:kern w:val="0"/>
                <w:sz w:val="24"/>
                <w:szCs w:val="24"/>
                <w14:textFill>
                  <w14:solidFill>
                    <w14:schemeClr w14:val="tx1"/>
                  </w14:solidFill>
                </w14:textFill>
              </w:rPr>
              <w:t>（</w:t>
            </w:r>
            <w:r>
              <w:rPr>
                <w:bCs/>
                <w:color w:val="000000" w:themeColor="text1"/>
                <w:kern w:val="0"/>
                <w:sz w:val="24"/>
                <w:szCs w:val="24"/>
                <w:shd w:val="clear" w:color="auto" w:fill="FFFFFF"/>
                <w14:textFill>
                  <w14:solidFill>
                    <w14:schemeClr w14:val="tx1"/>
                  </w14:solidFill>
                </w14:textFill>
              </w:rPr>
              <w:t>F.3.3</w:t>
            </w:r>
            <w:r>
              <w:rPr>
                <w:color w:val="000000" w:themeColor="text1"/>
                <w:kern w:val="0"/>
                <w:sz w:val="24"/>
                <w:szCs w:val="24"/>
                <w14:textFill>
                  <w14:solidFill>
                    <w14:schemeClr w14:val="tx1"/>
                  </w14:solidFill>
                </w14:textFill>
              </w:rPr>
              <w:t>-</w:t>
            </w:r>
            <w:r>
              <w:rPr>
                <w:rFonts w:hint="eastAsia"/>
                <w:kern w:val="0"/>
                <w:sz w:val="24"/>
                <w:szCs w:val="24"/>
              </w:rPr>
              <w:t>2）</w:t>
            </w:r>
          </w:p>
        </w:tc>
      </w:tr>
    </w:tbl>
    <w:p>
      <w:pPr>
        <w:pStyle w:val="72"/>
        <w:spacing w:line="360" w:lineRule="auto"/>
        <w:ind w:firstLine="0" w:firstLineChars="0"/>
        <w:rPr>
          <w:sz w:val="24"/>
          <w:szCs w:val="24"/>
        </w:rPr>
      </w:pPr>
      <w:r>
        <w:rPr>
          <w:sz w:val="24"/>
          <w:szCs w:val="24"/>
        </w:rPr>
        <w:t>式中：</w:t>
      </w:r>
      <w:r>
        <w:rPr>
          <w:position w:val="-12"/>
          <w:sz w:val="24"/>
          <w:szCs w:val="24"/>
        </w:rPr>
        <w:object>
          <v:shape id="_x0000_i1150" o:spt="75" type="#_x0000_t75" style="height:17.3pt;width:13.25pt;" o:ole="t" filled="f" o:preferrelative="t" stroked="f" coordsize="21600,21600">
            <v:path/>
            <v:fill on="f" focussize="0,0"/>
            <v:stroke on="f" joinstyle="miter"/>
            <v:imagedata r:id="rId243" o:title=""/>
            <o:lock v:ext="edit" aspectratio="t"/>
            <w10:wrap type="none"/>
            <w10:anchorlock/>
          </v:shape>
          <o:OLEObject Type="Embed" ProgID="Equation.DSMT4" ShapeID="_x0000_i1150" DrawAspect="Content" ObjectID="_1468075850" r:id="rId242">
            <o:LockedField>false</o:LockedField>
          </o:OLEObject>
        </w:object>
      </w:r>
      <w:r>
        <w:rPr>
          <w:sz w:val="24"/>
          <w:szCs w:val="24"/>
        </w:rPr>
        <w:t>——</w:t>
      </w:r>
      <w:r>
        <w:rPr>
          <w:color w:val="000000" w:themeColor="text1"/>
          <w:sz w:val="24"/>
          <w14:textFill>
            <w14:solidFill>
              <w14:schemeClr w14:val="tx1"/>
            </w14:solidFill>
          </w14:textFill>
        </w:rPr>
        <w:t>回归方程式</w:t>
      </w:r>
      <w:r>
        <w:rPr>
          <w:sz w:val="24"/>
          <w:szCs w:val="24"/>
        </w:rPr>
        <w:t>的强度值相对标准差（%），应精确至0.1%；</w:t>
      </w:r>
    </w:p>
    <w:p>
      <w:pPr>
        <w:pStyle w:val="72"/>
        <w:spacing w:line="360" w:lineRule="auto"/>
        <w:ind w:left="1575" w:leftChars="350" w:hanging="840" w:hangingChars="350"/>
        <w:rPr>
          <w:sz w:val="24"/>
          <w:szCs w:val="24"/>
        </w:rPr>
      </w:pPr>
      <w:r>
        <w:rPr>
          <w:position w:val="-14"/>
          <w:sz w:val="24"/>
          <w:szCs w:val="24"/>
        </w:rPr>
        <w:object>
          <v:shape id="_x0000_i1151" o:spt="75" type="#_x0000_t75" style="height:19.6pt;width:19.6pt;" o:ole="t" filled="f" o:preferrelative="t" stroked="f" coordsize="21600,21600">
            <v:path/>
            <v:fill on="f" focussize="0,0"/>
            <v:stroke on="f" joinstyle="miter"/>
            <v:imagedata r:id="rId245" o:title=""/>
            <o:lock v:ext="edit" aspectratio="t"/>
            <w10:wrap type="none"/>
            <w10:anchorlock/>
          </v:shape>
          <o:OLEObject Type="Embed" ProgID="Equation.DSMT4" ShapeID="_x0000_i1151" DrawAspect="Content" ObjectID="_1468075851" r:id="rId244">
            <o:LockedField>false</o:LockedField>
          </o:OLEObject>
        </w:object>
      </w:r>
      <w:r>
        <w:rPr>
          <w:sz w:val="24"/>
          <w:szCs w:val="24"/>
        </w:rPr>
        <w:t>——灌浆料</w:t>
      </w:r>
      <w:r>
        <w:rPr>
          <w:color w:val="000000" w:themeColor="text1"/>
          <w:sz w:val="24"/>
          <w14:textFill>
            <w14:solidFill>
              <w14:schemeClr w14:val="tx1"/>
            </w14:solidFill>
          </w14:textFill>
        </w:rPr>
        <w:t>棱柱体试块</w:t>
      </w:r>
      <w:r>
        <w:rPr>
          <w:sz w:val="24"/>
          <w:szCs w:val="24"/>
        </w:rPr>
        <w:t>抗压强度值</w:t>
      </w:r>
      <w:r>
        <w:rPr>
          <w:color w:val="000000"/>
          <w:sz w:val="24"/>
        </w:rPr>
        <w:t>（MPa）</w:t>
      </w:r>
      <w:r>
        <w:rPr>
          <w:sz w:val="24"/>
          <w:szCs w:val="24"/>
        </w:rPr>
        <w:t>，应精确至0.1MPa；</w:t>
      </w:r>
    </w:p>
    <w:p>
      <w:pPr>
        <w:pStyle w:val="72"/>
        <w:spacing w:line="360" w:lineRule="auto"/>
        <w:ind w:left="1575" w:leftChars="350" w:hanging="840" w:hangingChars="350"/>
        <w:rPr>
          <w:sz w:val="24"/>
          <w:szCs w:val="24"/>
        </w:rPr>
      </w:pPr>
      <w:r>
        <w:rPr>
          <w:color w:val="000000" w:themeColor="text1"/>
          <w:position w:val="-14"/>
          <w:sz w:val="24"/>
          <w:szCs w:val="24"/>
          <w14:textFill>
            <w14:solidFill>
              <w14:schemeClr w14:val="tx1"/>
            </w14:solidFill>
          </w14:textFill>
        </w:rPr>
        <w:object>
          <v:shape id="_x0000_i1152" o:spt="75" type="#_x0000_t75" style="height:19.6pt;width:19.6pt;" o:ole="t" filled="f" o:preferrelative="t" stroked="f" coordsize="21600,21600">
            <v:path/>
            <v:fill on="f" focussize="0,0"/>
            <v:stroke on="f" joinstyle="miter"/>
            <v:imagedata r:id="rId247" o:title=""/>
            <o:lock v:ext="edit" aspectratio="t"/>
            <w10:wrap type="none"/>
            <w10:anchorlock/>
          </v:shape>
          <o:OLEObject Type="Embed" ProgID="Equation.DSMT4" ShapeID="_x0000_i1152" DrawAspect="Content" ObjectID="_1468075852" r:id="rId246">
            <o:LockedField>false</o:LockedField>
          </o:OLEObject>
        </w:objec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按</w:t>
      </w:r>
      <w:r>
        <w:rPr>
          <w:color w:val="000000" w:themeColor="text1"/>
          <w:sz w:val="24"/>
          <w:szCs w:val="24"/>
          <w14:textFill>
            <w14:solidFill>
              <w14:schemeClr w14:val="tx1"/>
            </w14:solidFill>
          </w14:textFill>
        </w:rPr>
        <w:t>回归方程</w:t>
      </w:r>
      <w:r>
        <w:rPr>
          <w:rFonts w:hint="eastAsia"/>
          <w:color w:val="000000" w:themeColor="text1"/>
          <w:sz w:val="24"/>
          <w:szCs w:val="24"/>
          <w14:textFill>
            <w14:solidFill>
              <w14:schemeClr w14:val="tx1"/>
            </w14:solidFill>
          </w14:textFill>
        </w:rPr>
        <w:t>式</w:t>
      </w:r>
      <w:r>
        <w:rPr>
          <w:color w:val="000000" w:themeColor="text1"/>
          <w:sz w:val="24"/>
          <w:szCs w:val="24"/>
          <w14:textFill>
            <w14:solidFill>
              <w14:schemeClr w14:val="tx1"/>
            </w14:solidFill>
          </w14:textFill>
        </w:rPr>
        <w:t>计算</w:t>
      </w:r>
      <w:r>
        <w:rPr>
          <w:rFonts w:hint="eastAsia"/>
          <w:color w:val="000000" w:themeColor="text1"/>
          <w:sz w:val="24"/>
          <w:szCs w:val="24"/>
          <w14:textFill>
            <w14:solidFill>
              <w14:schemeClr w14:val="tx1"/>
            </w14:solidFill>
          </w14:textFill>
        </w:rPr>
        <w:t>得到</w:t>
      </w:r>
      <w:r>
        <w:rPr>
          <w:color w:val="000000" w:themeColor="text1"/>
          <w:sz w:val="24"/>
          <w:szCs w:val="24"/>
          <w14:textFill>
            <w14:solidFill>
              <w14:schemeClr w14:val="tx1"/>
            </w14:solidFill>
          </w14:textFill>
        </w:rPr>
        <w:t>的灌浆料抗压强度换算值</w:t>
      </w:r>
      <w:r>
        <w:rPr>
          <w:color w:val="000000" w:themeColor="text1"/>
          <w:sz w:val="24"/>
          <w14:textFill>
            <w14:solidFill>
              <w14:schemeClr w14:val="tx1"/>
            </w14:solidFill>
          </w14:textFill>
        </w:rPr>
        <w:t>（MPa）</w:t>
      </w:r>
      <w:r>
        <w:rPr>
          <w:color w:val="000000" w:themeColor="text1"/>
          <w:sz w:val="24"/>
          <w:szCs w:val="24"/>
          <w14:textFill>
            <w14:solidFill>
              <w14:schemeClr w14:val="tx1"/>
            </w14:solidFill>
          </w14:textFill>
        </w:rPr>
        <w:t>，应精确</w:t>
      </w:r>
      <w:r>
        <w:rPr>
          <w:sz w:val="24"/>
          <w:szCs w:val="24"/>
        </w:rPr>
        <w:t>至0.1MPa；</w:t>
      </w:r>
    </w:p>
    <w:p>
      <w:pPr>
        <w:spacing w:line="360" w:lineRule="auto"/>
        <w:ind w:firstLine="720" w:firstLineChars="300"/>
        <w:rPr>
          <w:sz w:val="24"/>
          <w:szCs w:val="24"/>
        </w:rPr>
      </w:pPr>
      <w:r>
        <w:rPr>
          <w:color w:val="000000" w:themeColor="text1"/>
          <w:sz w:val="24"/>
          <w:szCs w:val="24"/>
          <w14:textFill>
            <w14:solidFill>
              <w14:schemeClr w14:val="tx1"/>
            </w14:solidFill>
          </w14:textFill>
        </w:rPr>
        <w:t>n</w:t>
      </w:r>
      <w:r>
        <w:rPr>
          <w:sz w:val="24"/>
          <w:szCs w:val="24"/>
        </w:rPr>
        <w:t>——试件对的数量。</w:t>
      </w:r>
    </w:p>
    <w:bookmarkEnd w:id="149"/>
    <w:p>
      <w:pPr>
        <w:adjustRightInd w:val="0"/>
        <w:snapToGrid w:val="0"/>
        <w:spacing w:line="360" w:lineRule="auto"/>
        <w:ind w:firstLine="481" w:firstLineChars="200"/>
        <w:rPr>
          <w:bCs/>
          <w:color w:val="000000" w:themeColor="text1"/>
          <w:sz w:val="24"/>
          <w:szCs w:val="24"/>
          <w14:textFill>
            <w14:solidFill>
              <w14:schemeClr w14:val="tx1"/>
            </w14:solidFill>
          </w14:textFill>
        </w:rPr>
      </w:pPr>
      <w:r>
        <w:rPr>
          <w:b/>
          <w:bCs/>
          <w:color w:val="000000" w:themeColor="text1"/>
          <w:sz w:val="24"/>
          <w14:textFill>
            <w14:solidFill>
              <w14:schemeClr w14:val="tx1"/>
            </w14:solidFill>
          </w14:textFill>
        </w:rPr>
        <w:t>4</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当</w:t>
      </w:r>
      <w:r>
        <w:rPr>
          <w:color w:val="000000" w:themeColor="text1"/>
          <w:sz w:val="24"/>
          <w14:textFill>
            <w14:solidFill>
              <w14:schemeClr w14:val="tx1"/>
            </w14:solidFill>
          </w14:textFill>
        </w:rPr>
        <w:t>强度值平均相对误差</w:t>
      </w:r>
      <w:r>
        <w:rPr>
          <w:color w:val="000000" w:themeColor="text1"/>
          <w:position w:val="-12"/>
          <w:sz w:val="24"/>
          <w14:textFill>
            <w14:solidFill>
              <w14:schemeClr w14:val="tx1"/>
            </w14:solidFill>
          </w14:textFill>
        </w:rPr>
        <w:object>
          <v:shape id="_x0000_i1153" o:spt="75" type="#_x0000_t75" style="height:19pt;width:13.25pt;" o:ole="t" filled="f" o:preferrelative="t" stroked="f" coordsize="21600,21600">
            <v:path/>
            <v:fill on="f" focussize="0,0"/>
            <v:stroke on="f" joinstyle="miter"/>
            <v:imagedata r:id="rId219" o:title=""/>
            <o:lock v:ext="edit" aspectratio="t"/>
            <w10:wrap type="none"/>
            <w10:anchorlock/>
          </v:shape>
          <o:OLEObject Type="Embed" ProgID="Equation.DSMT4" ShapeID="_x0000_i1153" DrawAspect="Content" ObjectID="_1468075853" r:id="rId248">
            <o:LockedField>false</o:LockedField>
          </o:OLEObject>
        </w:object>
      </w:r>
      <w:r>
        <w:rPr>
          <w:rFonts w:hint="eastAsia"/>
          <w:color w:val="000000" w:themeColor="text1"/>
          <w:sz w:val="24"/>
          <w14:textFill>
            <w14:solidFill>
              <w14:schemeClr w14:val="tx1"/>
            </w14:solidFill>
          </w14:textFill>
        </w:rPr>
        <w:t>和</w:t>
      </w:r>
      <w:r>
        <w:rPr>
          <w:color w:val="000000" w:themeColor="text1"/>
          <w:sz w:val="24"/>
          <w:szCs w:val="24"/>
          <w14:textFill>
            <w14:solidFill>
              <w14:schemeClr w14:val="tx1"/>
            </w14:solidFill>
          </w14:textFill>
        </w:rPr>
        <w:t>相对标准差</w:t>
      </w:r>
      <w:r>
        <w:rPr>
          <w:color w:val="000000" w:themeColor="text1"/>
          <w:position w:val="-12"/>
          <w:sz w:val="24"/>
          <w:szCs w:val="24"/>
          <w14:textFill>
            <w14:solidFill>
              <w14:schemeClr w14:val="tx1"/>
            </w14:solidFill>
          </w14:textFill>
        </w:rPr>
        <w:object>
          <v:shape id="_x0000_i1154" o:spt="75" type="#_x0000_t75" style="height:17.3pt;width:13.25pt;" o:ole="t" filled="f" o:preferrelative="t" stroked="f" coordsize="21600,21600">
            <v:path/>
            <v:fill on="f" focussize="0,0"/>
            <v:stroke on="f" joinstyle="miter"/>
            <v:imagedata r:id="rId236" o:title=""/>
            <o:lock v:ext="edit" aspectratio="t"/>
            <w10:wrap type="none"/>
            <w10:anchorlock/>
          </v:shape>
          <o:OLEObject Type="Embed" ProgID="Equation.DSMT4" ShapeID="_x0000_i1154" DrawAspect="Content" ObjectID="_1468075854" r:id="rId249">
            <o:LockedField>false</o:LockedField>
          </o:OLEObject>
        </w:object>
      </w:r>
      <w:r>
        <w:rPr>
          <w:color w:val="000000" w:themeColor="text1"/>
          <w:sz w:val="24"/>
          <w14:textFill>
            <w14:solidFill>
              <w14:schemeClr w14:val="tx1"/>
            </w14:solidFill>
          </w14:textFill>
        </w:rPr>
        <w:t>不满足本条第3款规定时，应增加试件数量补充试验，根据试验结果重新确定回归方程式，直到满足要求后，</w:t>
      </w:r>
      <w:r>
        <w:rPr>
          <w:rFonts w:hint="eastAsia"/>
          <w:color w:val="000000" w:themeColor="text1"/>
          <w:sz w:val="24"/>
          <w14:textFill>
            <w14:solidFill>
              <w14:schemeClr w14:val="tx1"/>
            </w14:solidFill>
          </w14:textFill>
        </w:rPr>
        <w:t>确定的回归</w:t>
      </w:r>
      <w:r>
        <w:rPr>
          <w:color w:val="000000" w:themeColor="text1"/>
          <w:sz w:val="24"/>
          <w14:textFill>
            <w14:solidFill>
              <w14:schemeClr w14:val="tx1"/>
            </w14:solidFill>
          </w14:textFill>
        </w:rPr>
        <w:t>系数才可用于</w:t>
      </w:r>
      <w:r>
        <w:rPr>
          <w:rFonts w:hint="eastAsia"/>
          <w:color w:val="000000" w:themeColor="text1"/>
          <w:sz w:val="24"/>
          <w14:textFill>
            <w14:solidFill>
              <w14:schemeClr w14:val="tx1"/>
            </w14:solidFill>
          </w14:textFill>
        </w:rPr>
        <w:t>回弹法检测</w:t>
      </w:r>
      <w:r>
        <w:rPr>
          <w:color w:val="000000" w:themeColor="text1"/>
          <w:sz w:val="24"/>
          <w14:textFill>
            <w14:solidFill>
              <w14:schemeClr w14:val="tx1"/>
            </w14:solidFill>
          </w14:textFill>
        </w:rPr>
        <w:t>的强度值换算。</w:t>
      </w:r>
      <w:r>
        <w:rPr>
          <w:b/>
          <w:color w:val="000000" w:themeColor="text1"/>
          <w:kern w:val="44"/>
          <w:sz w:val="28"/>
          <w:szCs w:val="28"/>
          <w14:textFill>
            <w14:solidFill>
              <w14:schemeClr w14:val="tx1"/>
            </w14:solidFill>
          </w14:textFill>
        </w:rPr>
        <w:br w:type="page"/>
      </w:r>
    </w:p>
    <w:p>
      <w:pPr>
        <w:keepNext/>
        <w:keepLines/>
        <w:spacing w:before="240" w:beforeLines="100" w:after="120" w:afterLines="50" w:line="400" w:lineRule="exact"/>
        <w:jc w:val="center"/>
        <w:outlineLvl w:val="0"/>
        <w:rPr>
          <w:b/>
          <w:kern w:val="44"/>
          <w:sz w:val="28"/>
          <w:szCs w:val="28"/>
        </w:rPr>
      </w:pPr>
      <w:bookmarkStart w:id="150" w:name="_Toc120020304"/>
      <w:r>
        <w:rPr>
          <w:b/>
          <w:kern w:val="44"/>
          <w:sz w:val="28"/>
          <w:szCs w:val="28"/>
        </w:rPr>
        <w:t>附录G  钻孔内窥法</w:t>
      </w:r>
      <w:bookmarkEnd w:id="150"/>
      <w:r>
        <w:rPr>
          <w:b/>
          <w:kern w:val="44"/>
          <w:sz w:val="30"/>
          <w:szCs w:val="30"/>
        </w:rPr>
        <w:fldChar w:fldCharType="begin"/>
      </w:r>
      <w:r>
        <w:rPr>
          <w:b/>
          <w:kern w:val="44"/>
          <w:sz w:val="30"/>
          <w:szCs w:val="30"/>
        </w:rPr>
        <w:instrText xml:space="preserve"> TC  "</w:instrText>
      </w:r>
      <w:bookmarkStart w:id="151" w:name="_Toc108470253"/>
      <w:bookmarkStart w:id="152" w:name="_Toc135038285"/>
      <w:r>
        <w:rPr>
          <w:b/>
          <w:kern w:val="44"/>
          <w:sz w:val="30"/>
          <w:szCs w:val="30"/>
        </w:rPr>
        <w:instrText xml:space="preserve">Appendix G  Endoscopy inspection technology</w:instrText>
      </w:r>
      <w:bookmarkEnd w:id="151"/>
      <w:r>
        <w:rPr>
          <w:b/>
          <w:kern w:val="44"/>
          <w:sz w:val="30"/>
          <w:szCs w:val="30"/>
        </w:rPr>
        <w:instrText xml:space="preserve"> by drilling holes</w:instrText>
      </w:r>
      <w:bookmarkEnd w:id="152"/>
      <w:r>
        <w:rPr>
          <w:b/>
          <w:kern w:val="44"/>
          <w:sz w:val="30"/>
          <w:szCs w:val="30"/>
        </w:rPr>
        <w:instrText xml:space="preserve">" \l 1 </w:instrText>
      </w:r>
      <w:r>
        <w:rPr>
          <w:b/>
          <w:kern w:val="44"/>
          <w:sz w:val="30"/>
          <w:szCs w:val="30"/>
        </w:rPr>
        <w:fldChar w:fldCharType="end"/>
      </w:r>
    </w:p>
    <w:p>
      <w:pPr>
        <w:adjustRightInd w:val="0"/>
        <w:snapToGrid w:val="0"/>
        <w:spacing w:line="360" w:lineRule="auto"/>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G.0.1  </w:t>
      </w:r>
      <w:r>
        <w:rPr>
          <w:color w:val="000000" w:themeColor="text1"/>
          <w:sz w:val="24"/>
          <w:szCs w:val="24"/>
          <w14:textFill>
            <w14:solidFill>
              <w14:schemeClr w14:val="tx1"/>
            </w14:solidFill>
          </w14:textFill>
        </w:rPr>
        <w:t>本附录适用于钢筋套筒灌浆连接的灌浆饱满度和钢筋插入情况的现场检测。</w:t>
      </w:r>
    </w:p>
    <w:p>
      <w:pPr>
        <w:adjustRightInd w:val="0"/>
        <w:snapToGrid w:val="0"/>
        <w:spacing w:line="360" w:lineRule="auto"/>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G.0.2  </w:t>
      </w:r>
      <w:r>
        <w:rPr>
          <w:color w:val="000000" w:themeColor="text1"/>
          <w:sz w:val="24"/>
          <w:szCs w:val="24"/>
          <w14:textFill>
            <w14:solidFill>
              <w14:schemeClr w14:val="tx1"/>
            </w14:solidFill>
          </w14:textFill>
        </w:rPr>
        <w:t>钻孔内窥法的检测设备及辅助工具应包括内窥镜、钻孔设备、毛刷和气吹等，并应符合下列规定：</w:t>
      </w:r>
    </w:p>
    <w:p>
      <w:pPr>
        <w:adjustRightInd w:val="0"/>
        <w:snapToGrid w:val="0"/>
        <w:spacing w:line="360" w:lineRule="auto"/>
        <w:ind w:firstLine="481" w:firstLineChars="20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1  </w:t>
      </w:r>
      <w:r>
        <w:rPr>
          <w:color w:val="000000" w:themeColor="text1"/>
          <w:sz w:val="24"/>
          <w:szCs w:val="24"/>
          <w14:textFill>
            <w14:solidFill>
              <w14:schemeClr w14:val="tx1"/>
            </w14:solidFill>
          </w14:textFill>
        </w:rPr>
        <w:t>内窥镜应具有尺寸测量功能，测量允许误差不应大于量程的±5%；</w:t>
      </w:r>
    </w:p>
    <w:p>
      <w:pPr>
        <w:adjustRightInd w:val="0"/>
        <w:snapToGrid w:val="0"/>
        <w:spacing w:line="360" w:lineRule="auto"/>
        <w:ind w:firstLine="481" w:firstLineChars="20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2  </w:t>
      </w:r>
      <w:r>
        <w:rPr>
          <w:color w:val="000000" w:themeColor="text1"/>
          <w:sz w:val="24"/>
          <w:szCs w:val="24"/>
          <w14:textFill>
            <w14:solidFill>
              <w14:schemeClr w14:val="tx1"/>
            </w14:solidFill>
          </w14:textFill>
        </w:rPr>
        <w:t>内窥镜镜头及导线最大外径不宜大于6mm；</w:t>
      </w:r>
    </w:p>
    <w:p>
      <w:pPr>
        <w:adjustRightInd w:val="0"/>
        <w:snapToGrid w:val="0"/>
        <w:spacing w:line="360" w:lineRule="auto"/>
        <w:ind w:firstLine="481" w:firstLineChars="20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3  </w:t>
      </w:r>
      <w:r>
        <w:rPr>
          <w:color w:val="000000" w:themeColor="text1"/>
          <w:sz w:val="24"/>
          <w:szCs w:val="24"/>
          <w14:textFill>
            <w14:solidFill>
              <w14:schemeClr w14:val="tx1"/>
            </w14:solidFill>
          </w14:textFill>
        </w:rPr>
        <w:t>镜头测量的有效量程不宜小于60mm，测量精度不应低于0.1mm；</w:t>
      </w:r>
    </w:p>
    <w:p>
      <w:pPr>
        <w:adjustRightInd w:val="0"/>
        <w:snapToGrid w:val="0"/>
        <w:spacing w:line="360" w:lineRule="auto"/>
        <w:ind w:firstLine="481" w:firstLineChars="20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4  </w:t>
      </w:r>
      <w:r>
        <w:rPr>
          <w:color w:val="000000" w:themeColor="text1"/>
          <w:sz w:val="24"/>
          <w:szCs w:val="24"/>
          <w14:textFill>
            <w14:solidFill>
              <w14:schemeClr w14:val="tx1"/>
            </w14:solidFill>
          </w14:textFill>
        </w:rPr>
        <w:t>钻孔所形成的检测孔道最小内径与内窥镜镜头及导线的最大外径之差不宜小于2mm，且检测孔道的直径不应大于套筒出浆孔和灌浆孔的直径。</w:t>
      </w:r>
    </w:p>
    <w:p>
      <w:pPr>
        <w:adjustRightInd w:val="0"/>
        <w:snapToGrid w:val="0"/>
        <w:spacing w:line="360" w:lineRule="auto"/>
        <w:rPr>
          <w:color w:val="000000" w:themeColor="text1"/>
          <w:sz w:val="24"/>
          <w:szCs w:val="24"/>
          <w14:textFill>
            <w14:solidFill>
              <w14:schemeClr w14:val="tx1"/>
            </w14:solidFill>
          </w14:textFill>
        </w:rPr>
      </w:pPr>
      <w:r>
        <w:rPr>
          <w:b/>
          <w:sz w:val="24"/>
          <w:szCs w:val="24"/>
        </w:rPr>
        <w:t xml:space="preserve">G.0.3  </w:t>
      </w:r>
      <w:r>
        <w:rPr>
          <w:color w:val="000000" w:themeColor="text1"/>
          <w:sz w:val="24"/>
          <w:szCs w:val="24"/>
          <w14:textFill>
            <w14:solidFill>
              <w14:schemeClr w14:val="tx1"/>
            </w14:solidFill>
          </w14:textFill>
        </w:rPr>
        <w:t>沿着出浆孔道或灌浆孔道进行钻孔形成检测通道时，钻孔前应确认出浆管或灌浆管的走向，钻孔方向应与出浆管或灌浆管的走向保持一致。</w:t>
      </w:r>
    </w:p>
    <w:p>
      <w:pPr>
        <w:adjustRightInd w:val="0"/>
        <w:snapToGrid w:val="0"/>
        <w:spacing w:line="360" w:lineRule="auto"/>
        <w:rPr>
          <w:color w:val="000000" w:themeColor="text1"/>
          <w:sz w:val="24"/>
          <w:szCs w:val="24"/>
          <w14:textFill>
            <w14:solidFill>
              <w14:schemeClr w14:val="tx1"/>
            </w14:solidFill>
          </w14:textFill>
        </w:rPr>
      </w:pPr>
      <w:r>
        <w:rPr>
          <w:b/>
          <w:sz w:val="24"/>
          <w:szCs w:val="24"/>
        </w:rPr>
        <w:t xml:space="preserve">G.0.4  </w:t>
      </w:r>
      <w:r>
        <w:rPr>
          <w:sz w:val="24"/>
          <w:szCs w:val="24"/>
        </w:rPr>
        <w:t>钻透混凝土保护层和套筒壁形成检测通道时，</w:t>
      </w:r>
      <w:r>
        <w:rPr>
          <w:color w:val="000000" w:themeColor="text1"/>
          <w:sz w:val="24"/>
          <w:szCs w:val="24"/>
          <w14:textFill>
            <w14:solidFill>
              <w14:schemeClr w14:val="tx1"/>
            </w14:solidFill>
          </w14:textFill>
        </w:rPr>
        <w:t>应符合下列规定：</w:t>
      </w:r>
    </w:p>
    <w:p>
      <w:pPr>
        <w:adjustRightInd w:val="0"/>
        <w:snapToGrid w:val="0"/>
        <w:spacing w:line="360" w:lineRule="auto"/>
        <w:ind w:firstLine="481" w:firstLineChars="20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1  </w:t>
      </w:r>
      <w:r>
        <w:rPr>
          <w:color w:val="000000" w:themeColor="text1"/>
          <w:sz w:val="24"/>
          <w:szCs w:val="24"/>
          <w14:textFill>
            <w14:solidFill>
              <w14:schemeClr w14:val="tx1"/>
            </w14:solidFill>
          </w14:textFill>
        </w:rPr>
        <w:t>钻孔前应确定灌浆套筒的位置；</w:t>
      </w:r>
    </w:p>
    <w:p>
      <w:pPr>
        <w:adjustRightInd w:val="0"/>
        <w:snapToGrid w:val="0"/>
        <w:spacing w:line="360" w:lineRule="auto"/>
        <w:ind w:firstLine="481" w:firstLineChars="20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2  </w:t>
      </w:r>
      <w:r>
        <w:rPr>
          <w:color w:val="000000" w:themeColor="text1"/>
          <w:sz w:val="24"/>
          <w:szCs w:val="24"/>
          <w14:textFill>
            <w14:solidFill>
              <w14:schemeClr w14:val="tx1"/>
            </w14:solidFill>
          </w14:textFill>
        </w:rPr>
        <w:t>钻孔位置应根据委托检测目的和要求确定，且不应与套筒的灌浆孔和出浆孔在同一个横截面；</w:t>
      </w:r>
    </w:p>
    <w:p>
      <w:pPr>
        <w:adjustRightInd w:val="0"/>
        <w:snapToGrid w:val="0"/>
        <w:spacing w:line="360" w:lineRule="auto"/>
        <w:ind w:firstLine="481" w:firstLineChars="20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3</w:t>
      </w:r>
      <w:r>
        <w:rPr>
          <w:color w:val="000000" w:themeColor="text1"/>
          <w:sz w:val="24"/>
          <w:szCs w:val="24"/>
          <w14:textFill>
            <w14:solidFill>
              <w14:schemeClr w14:val="tx1"/>
            </w14:solidFill>
          </w14:textFill>
        </w:rPr>
        <w:t xml:space="preserve">  钻孔直径不宜大于8mm，内窥镜的镜头和导线直径不宜大于5mm；</w:t>
      </w:r>
    </w:p>
    <w:p>
      <w:pPr>
        <w:adjustRightInd w:val="0"/>
        <w:snapToGrid w:val="0"/>
        <w:spacing w:line="360" w:lineRule="auto"/>
        <w:ind w:firstLine="481" w:firstLineChars="20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4  </w:t>
      </w:r>
      <w:r>
        <w:rPr>
          <w:color w:val="000000" w:themeColor="text1"/>
          <w:sz w:val="24"/>
          <w:szCs w:val="24"/>
          <w14:textFill>
            <w14:solidFill>
              <w14:schemeClr w14:val="tx1"/>
            </w14:solidFill>
          </w14:textFill>
        </w:rPr>
        <w:t>同一个套筒上钻孔数量不应超过2个，在套筒同一横截面上钻孔数量不应超过1个。</w:t>
      </w:r>
    </w:p>
    <w:p>
      <w:pPr>
        <w:adjustRightInd w:val="0"/>
        <w:snapToGrid w:val="0"/>
        <w:spacing w:line="360" w:lineRule="auto"/>
        <w:rPr>
          <w:sz w:val="24"/>
          <w:szCs w:val="24"/>
        </w:rPr>
      </w:pPr>
      <w:r>
        <w:rPr>
          <w:b/>
          <w:sz w:val="24"/>
          <w:szCs w:val="24"/>
        </w:rPr>
        <w:t xml:space="preserve">G.0.5  </w:t>
      </w:r>
      <w:r>
        <w:rPr>
          <w:sz w:val="24"/>
          <w:szCs w:val="24"/>
        </w:rPr>
        <w:t>钻孔形成的</w:t>
      </w:r>
      <w:r>
        <w:rPr>
          <w:color w:val="000000" w:themeColor="text1"/>
          <w:sz w:val="24"/>
          <w:szCs w:val="24"/>
          <w14:textFill>
            <w14:solidFill>
              <w14:schemeClr w14:val="tx1"/>
            </w14:solidFill>
          </w14:textFill>
        </w:rPr>
        <w:t>检测通道应贯通至套筒内部，并</w:t>
      </w:r>
      <w:r>
        <w:rPr>
          <w:sz w:val="24"/>
          <w:szCs w:val="24"/>
        </w:rPr>
        <w:t>应符合下列规定：</w:t>
      </w:r>
    </w:p>
    <w:p>
      <w:pPr>
        <w:adjustRightInd w:val="0"/>
        <w:snapToGrid w:val="0"/>
        <w:spacing w:line="360" w:lineRule="auto"/>
        <w:ind w:firstLine="481" w:firstLineChars="200"/>
        <w:rPr>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1  </w:t>
      </w:r>
      <w:r>
        <w:rPr>
          <w:bCs/>
          <w:color w:val="000000" w:themeColor="text1"/>
          <w:sz w:val="24"/>
          <w:szCs w:val="24"/>
          <w14:textFill>
            <w14:solidFill>
              <w14:schemeClr w14:val="tx1"/>
            </w14:solidFill>
          </w14:textFill>
        </w:rPr>
        <w:t>采用钻孔内窥法检测灌浆饱满度，宜通过控制钻孔深度避免对钢筋造成损伤；</w:t>
      </w:r>
    </w:p>
    <w:p>
      <w:pPr>
        <w:adjustRightInd w:val="0"/>
        <w:snapToGrid w:val="0"/>
        <w:spacing w:line="360" w:lineRule="auto"/>
        <w:ind w:firstLine="481" w:firstLineChars="20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2  </w:t>
      </w:r>
      <w:r>
        <w:rPr>
          <w:bCs/>
          <w:color w:val="000000" w:themeColor="text1"/>
          <w:sz w:val="24"/>
          <w:szCs w:val="24"/>
          <w14:textFill>
            <w14:solidFill>
              <w14:schemeClr w14:val="tx1"/>
            </w14:solidFill>
          </w14:textFill>
        </w:rPr>
        <w:t>在钻孔过程中，应至少中断两次并进行清孔检查，当钻头触碰到套筒内的钢筋发出异响时，</w:t>
      </w:r>
      <w:r>
        <w:rPr>
          <w:color w:val="000000" w:themeColor="text1"/>
          <w:sz w:val="24"/>
          <w:szCs w:val="24"/>
          <w14:textFill>
            <w14:solidFill>
              <w14:schemeClr w14:val="tx1"/>
            </w14:solidFill>
          </w14:textFill>
        </w:rPr>
        <w:t>应立即停止钻孔，钢筋表面最大损伤深度不应大于1.0mm；</w:t>
      </w:r>
    </w:p>
    <w:p>
      <w:pPr>
        <w:adjustRightInd w:val="0"/>
        <w:snapToGrid w:val="0"/>
        <w:spacing w:line="360" w:lineRule="auto"/>
        <w:ind w:firstLine="481" w:firstLineChars="200"/>
        <w:rPr>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3</w:t>
      </w:r>
      <w:r>
        <w:rPr>
          <w:bCs/>
          <w:color w:val="000000" w:themeColor="text1"/>
          <w:sz w:val="24"/>
          <w:szCs w:val="24"/>
          <w14:textFill>
            <w14:solidFill>
              <w14:schemeClr w14:val="tx1"/>
            </w14:solidFill>
          </w14:textFill>
        </w:rPr>
        <w:t xml:space="preserve">  采用钻孔内窥法检测钢筋插入情况，当</w:t>
      </w:r>
      <w:r>
        <w:rPr>
          <w:color w:val="000000" w:themeColor="text1"/>
          <w:sz w:val="24"/>
          <w:szCs w:val="24"/>
          <w14:textFill>
            <w14:solidFill>
              <w14:schemeClr w14:val="tx1"/>
            </w14:solidFill>
          </w14:textFill>
        </w:rPr>
        <w:t>通过内窥镜可以观察到套筒内的钢筋或金属体，或者钻孔深度达到最大限值时，应立即停止钻孔</w:t>
      </w:r>
      <w:r>
        <w:rPr>
          <w:bCs/>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钻孔深度最大限值的确定应符合下列规定</w:t>
      </w:r>
      <w:r>
        <w:rPr>
          <w:bCs/>
          <w:color w:val="000000" w:themeColor="text1"/>
          <w:sz w:val="24"/>
          <w:szCs w:val="24"/>
          <w14:textFill>
            <w14:solidFill>
              <w14:schemeClr w14:val="tx1"/>
            </w14:solidFill>
          </w14:textFill>
        </w:rPr>
        <w:t>：</w:t>
      </w:r>
    </w:p>
    <w:p>
      <w:pPr>
        <w:adjustRightInd w:val="0"/>
        <w:snapToGrid w:val="0"/>
        <w:spacing w:line="360" w:lineRule="auto"/>
        <w:ind w:left="1111" w:leftChars="300" w:hanging="481" w:hangingChars="20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1）</w:t>
      </w:r>
      <w:r>
        <w:rPr>
          <w:color w:val="000000" w:themeColor="text1"/>
          <w:sz w:val="24"/>
          <w:szCs w:val="24"/>
          <w14:textFill>
            <w14:solidFill>
              <w14:schemeClr w14:val="tx1"/>
            </w14:solidFill>
          </w14:textFill>
        </w:rPr>
        <w:t xml:space="preserve"> 当钻孔方向与混凝土表面垂直时，钻孔深度最大限值应按下式计算确定：</w:t>
      </w:r>
    </w:p>
    <w:p>
      <w:pPr>
        <w:wordWrap w:val="0"/>
        <w:adjustRightInd w:val="0"/>
        <w:snapToGrid w:val="0"/>
        <w:spacing w:line="360" w:lineRule="auto"/>
        <w:ind w:firstLine="480" w:firstLineChars="200"/>
        <w:jc w:val="right"/>
        <w:rPr>
          <w:color w:val="000000" w:themeColor="text1"/>
          <w:sz w:val="24"/>
          <w:szCs w:val="24"/>
          <w14:textFill>
            <w14:solidFill>
              <w14:schemeClr w14:val="tx1"/>
            </w14:solidFill>
          </w14:textFill>
        </w:rPr>
      </w:pPr>
      <w:bookmarkStart w:id="153" w:name="_Hlk119937058"/>
      <m:oMath>
        <m:sSub>
          <m:sSubPr>
            <m:ctrlPr>
              <w:rPr>
                <w:rFonts w:ascii="Cambria Math" w:hAnsi="Cambria Math"/>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L</m:t>
            </m:r>
            <m:ctrlPr>
              <w:rPr>
                <w:rFonts w:ascii="Cambria Math" w:hAnsi="Cambria Math"/>
                <w:color w:val="000000" w:themeColor="text1"/>
                <w:sz w:val="24"/>
                <w:szCs w:val="24"/>
                <w14:textFill>
                  <w14:solidFill>
                    <w14:schemeClr w14:val="tx1"/>
                  </w14:solidFill>
                </w14:textFill>
              </w:rPr>
            </m:ctrlPr>
          </m:e>
          <m:sub>
            <m:r>
              <m:rPr>
                <m:sty m:val="p"/>
              </m:rPr>
              <w:rPr>
                <w:rFonts w:ascii="Cambria Math" w:hAnsi="Cambria Math"/>
                <w:color w:val="000000" w:themeColor="text1"/>
                <w:sz w:val="24"/>
                <w:szCs w:val="24"/>
                <w14:textFill>
                  <w14:solidFill>
                    <w14:schemeClr w14:val="tx1"/>
                  </w14:solidFill>
                </w14:textFill>
              </w:rPr>
              <m:t>max</m:t>
            </m:r>
            <m:ctrlPr>
              <w:rPr>
                <w:rFonts w:ascii="Cambria Math" w:hAnsi="Cambria Math"/>
                <w:color w:val="000000" w:themeColor="text1"/>
                <w:sz w:val="24"/>
                <w:szCs w:val="24"/>
                <w14:textFill>
                  <w14:solidFill>
                    <w14:schemeClr w14:val="tx1"/>
                  </w14:solidFill>
                </w14:textFill>
              </w:rPr>
            </m:ctrlPr>
          </m:sub>
        </m:sSub>
        <m:r>
          <m:rPr>
            <m:sty m:val="p"/>
          </m:rPr>
          <w:rPr>
            <w:rFonts w:ascii="Cambria Math" w:hAnsi="Cambria Math"/>
            <w:color w:val="000000" w:themeColor="text1"/>
            <w:sz w:val="24"/>
            <w:szCs w:val="24"/>
            <w14:textFill>
              <w14:solidFill>
                <w14:schemeClr w14:val="tx1"/>
              </w14:solidFill>
            </w14:textFill>
          </w:rPr>
          <m:t>=</m:t>
        </m:r>
        <m:r>
          <m:rPr/>
          <w:rPr>
            <w:rFonts w:ascii="Cambria Math" w:hAnsi="Cambria Math"/>
            <w:color w:val="000000" w:themeColor="text1"/>
            <w:sz w:val="24"/>
            <w:szCs w:val="24"/>
            <w14:textFill>
              <w14:solidFill>
                <w14:schemeClr w14:val="tx1"/>
              </w14:solidFill>
            </w14:textFill>
          </w:rPr>
          <m:t>c</m:t>
        </m:r>
        <m:r>
          <m:rPr>
            <m:sty m:val="p"/>
          </m:rPr>
          <w:rPr>
            <w:rFonts w:ascii="Cambria Math" w:hAnsi="Cambria Math"/>
            <w:color w:val="000000" w:themeColor="text1"/>
            <w:sz w:val="24"/>
            <w:szCs w:val="24"/>
            <w14:textFill>
              <w14:solidFill>
                <w14:schemeClr w14:val="tx1"/>
              </w14:solidFill>
            </w14:textFill>
          </w:rPr>
          <m:t>+</m:t>
        </m:r>
        <m:f>
          <m:fPr>
            <m:ctrlPr>
              <w:rPr>
                <w:rFonts w:ascii="Cambria Math" w:hAnsi="Cambria Math"/>
                <w:color w:val="000000" w:themeColor="text1"/>
                <w:sz w:val="24"/>
                <w:szCs w:val="24"/>
                <w14:textFill>
                  <w14:solidFill>
                    <w14:schemeClr w14:val="tx1"/>
                  </w14:solidFill>
                </w14:textFill>
              </w:rPr>
            </m:ctrlPr>
          </m:fPr>
          <m:num>
            <m:sSub>
              <m:sSubPr>
                <m:ctrlPr>
                  <w:rPr>
                    <w:rFonts w:ascii="Cambria Math" w:hAnsi="Cambria Math"/>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d</m:t>
                </m:r>
                <m:ctrlPr>
                  <w:rPr>
                    <w:rFonts w:ascii="Cambria Math" w:hAnsi="Cambria Math"/>
                    <w:color w:val="000000" w:themeColor="text1"/>
                    <w:sz w:val="24"/>
                    <w:szCs w:val="24"/>
                    <w14:textFill>
                      <w14:solidFill>
                        <w14:schemeClr w14:val="tx1"/>
                      </w14:solidFill>
                    </w14:textFill>
                  </w:rPr>
                </m:ctrlPr>
              </m:e>
              <m:sub>
                <m:r>
                  <m:rPr>
                    <m:sty m:val="p"/>
                  </m:rPr>
                  <w:rPr>
                    <w:rFonts w:ascii="Cambria Math" w:hAnsi="Cambria Math"/>
                    <w:color w:val="000000" w:themeColor="text1"/>
                    <w:sz w:val="24"/>
                    <w:szCs w:val="24"/>
                    <w14:textFill>
                      <w14:solidFill>
                        <w14:schemeClr w14:val="tx1"/>
                      </w14:solidFill>
                    </w14:textFill>
                  </w:rPr>
                  <m:t>1</m:t>
                </m:r>
                <m:ctrlPr>
                  <w:rPr>
                    <w:rFonts w:ascii="Cambria Math" w:hAnsi="Cambria Math"/>
                    <w:color w:val="000000" w:themeColor="text1"/>
                    <w:sz w:val="24"/>
                    <w:szCs w:val="24"/>
                    <w14:textFill>
                      <w14:solidFill>
                        <w14:schemeClr w14:val="tx1"/>
                      </w14:solidFill>
                    </w14:textFill>
                  </w:rPr>
                </m:ctrlPr>
              </m:sub>
            </m:sSub>
            <m:r>
              <m:rPr>
                <m:sty m:val="p"/>
              </m:rPr>
              <w:rPr>
                <w:rFonts w:ascii="Cambria Math" w:hAnsi="Cambria Math"/>
                <w:color w:val="000000" w:themeColor="text1"/>
                <w:sz w:val="24"/>
                <w:szCs w:val="24"/>
                <w14:textFill>
                  <w14:solidFill>
                    <w14:schemeClr w14:val="tx1"/>
                  </w14:solidFill>
                </w14:textFill>
              </w:rPr>
              <m:t>+</m:t>
            </m:r>
            <m:sSub>
              <m:sSubPr>
                <m:ctrlPr>
                  <w:rPr>
                    <w:rFonts w:ascii="Cambria Math" w:hAnsi="Cambria Math"/>
                    <w:color w:val="000000" w:themeColor="text1"/>
                    <w:sz w:val="24"/>
                    <w:szCs w:val="24"/>
                    <w14:textFill>
                      <w14:solidFill>
                        <w14:schemeClr w14:val="tx1"/>
                      </w14:solidFill>
                    </w14:textFill>
                  </w:rPr>
                </m:ctrlPr>
              </m:sSubPr>
              <m:e>
                <m:r>
                  <m:rPr/>
                  <w:rPr>
                    <w:rFonts w:ascii="Cambria Math" w:hAnsi="Cambria Math"/>
                    <w:color w:val="000000" w:themeColor="text1"/>
                    <w:sz w:val="24"/>
                    <w:szCs w:val="24"/>
                    <w14:textFill>
                      <w14:solidFill>
                        <w14:schemeClr w14:val="tx1"/>
                      </w14:solidFill>
                    </w14:textFill>
                  </w:rPr>
                  <m:t>d</m:t>
                </m:r>
                <m:ctrlPr>
                  <w:rPr>
                    <w:rFonts w:ascii="Cambria Math" w:hAnsi="Cambria Math"/>
                    <w:color w:val="000000" w:themeColor="text1"/>
                    <w:sz w:val="24"/>
                    <w:szCs w:val="24"/>
                    <w14:textFill>
                      <w14:solidFill>
                        <w14:schemeClr w14:val="tx1"/>
                      </w14:solidFill>
                    </w14:textFill>
                  </w:rPr>
                </m:ctrlPr>
              </m:e>
              <m:sub>
                <m:r>
                  <m:rPr>
                    <m:sty m:val="p"/>
                  </m:rPr>
                  <w:rPr>
                    <w:rFonts w:ascii="Cambria Math" w:hAnsi="Cambria Math"/>
                    <w:color w:val="000000" w:themeColor="text1"/>
                    <w:sz w:val="24"/>
                    <w:szCs w:val="24"/>
                    <w14:textFill>
                      <w14:solidFill>
                        <w14:schemeClr w14:val="tx1"/>
                      </w14:solidFill>
                    </w14:textFill>
                  </w:rPr>
                  <m:t>2</m:t>
                </m:r>
                <m:ctrlPr>
                  <w:rPr>
                    <w:rFonts w:ascii="Cambria Math" w:hAnsi="Cambria Math"/>
                    <w:color w:val="000000" w:themeColor="text1"/>
                    <w:sz w:val="24"/>
                    <w:szCs w:val="24"/>
                    <w14:textFill>
                      <w14:solidFill>
                        <w14:schemeClr w14:val="tx1"/>
                      </w14:solidFill>
                    </w14:textFill>
                  </w:rPr>
                </m:ctrlPr>
              </m:sub>
            </m:sSub>
            <m:ctrlPr>
              <w:rPr>
                <w:rFonts w:ascii="Cambria Math" w:hAnsi="Cambria Math"/>
                <w:color w:val="000000" w:themeColor="text1"/>
                <w:sz w:val="24"/>
                <w:szCs w:val="24"/>
                <w14:textFill>
                  <w14:solidFill>
                    <w14:schemeClr w14:val="tx1"/>
                  </w14:solidFill>
                </w14:textFill>
              </w:rPr>
            </m:ctrlPr>
          </m:num>
          <m:den>
            <m:r>
              <m:rPr>
                <m:sty m:val="p"/>
              </m:rPr>
              <w:rPr>
                <w:rFonts w:ascii="Cambria Math" w:hAnsi="Cambria Math"/>
                <w:color w:val="000000" w:themeColor="text1"/>
                <w:sz w:val="24"/>
                <w:szCs w:val="24"/>
                <w14:textFill>
                  <w14:solidFill>
                    <w14:schemeClr w14:val="tx1"/>
                  </w14:solidFill>
                </w14:textFill>
              </w:rPr>
              <m:t>2</m:t>
            </m:r>
            <m:ctrlPr>
              <w:rPr>
                <w:rFonts w:ascii="Cambria Math" w:hAnsi="Cambria Math"/>
                <w:color w:val="000000" w:themeColor="text1"/>
                <w:sz w:val="24"/>
                <w:szCs w:val="24"/>
                <w14:textFill>
                  <w14:solidFill>
                    <w14:schemeClr w14:val="tx1"/>
                  </w14:solidFill>
                </w14:textFill>
              </w:rPr>
            </m:ctrlPr>
          </m:den>
        </m:f>
        <m:r>
          <m:rPr>
            <m:sty m:val="p"/>
          </m:rPr>
          <w:rPr>
            <w:rFonts w:ascii="Cambria Math" w:hAnsi="Cambria Math"/>
            <w:color w:val="000000" w:themeColor="text1"/>
            <w:sz w:val="24"/>
            <w:szCs w:val="24"/>
            <w14:textFill>
              <w14:solidFill>
                <w14:schemeClr w14:val="tx1"/>
              </w14:solidFill>
            </w14:textFill>
          </w:rPr>
          <m:t>−6</m:t>
        </m:r>
      </m:oMath>
      <w:r>
        <w:rPr>
          <w:color w:val="000000" w:themeColor="text1"/>
          <w:sz w:val="24"/>
          <w:szCs w:val="24"/>
          <w14:textFill>
            <w14:solidFill>
              <w14:schemeClr w14:val="tx1"/>
            </w14:solidFill>
          </w14:textFill>
        </w:rPr>
        <w:t xml:space="preserve">                  </w:t>
      </w:r>
      <w:r>
        <w:rPr>
          <w:color w:val="000000" w:themeColor="text1"/>
          <w:kern w:val="0"/>
          <w:sz w:val="24"/>
          <w:szCs w:val="24"/>
          <w14:textFill>
            <w14:solidFill>
              <w14:schemeClr w14:val="tx1"/>
            </w14:solidFill>
          </w14:textFill>
        </w:rPr>
        <w:t>（</w:t>
      </w:r>
      <w:r>
        <w:rPr>
          <w:bCs/>
          <w:color w:val="000000" w:themeColor="text1"/>
          <w:kern w:val="0"/>
          <w:sz w:val="24"/>
          <w:szCs w:val="24"/>
          <w:shd w:val="clear" w:color="auto" w:fill="FFFFFF"/>
          <w14:textFill>
            <w14:solidFill>
              <w14:schemeClr w14:val="tx1"/>
            </w14:solidFill>
          </w14:textFill>
        </w:rPr>
        <w:t>G.0.5</w:t>
      </w:r>
      <w:r>
        <w:rPr>
          <w:color w:val="000000" w:themeColor="text1"/>
          <w:kern w:val="0"/>
          <w:sz w:val="24"/>
          <w:szCs w:val="24"/>
          <w14:textFill>
            <w14:solidFill>
              <w14:schemeClr w14:val="tx1"/>
            </w14:solidFill>
          </w14:textFill>
        </w:rPr>
        <w:t>）</w:t>
      </w:r>
    </w:p>
    <w:p>
      <w:pPr>
        <w:pStyle w:val="72"/>
        <w:spacing w:line="360" w:lineRule="auto"/>
        <w:ind w:firstLine="0" w:firstLineChars="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式中：</w:t>
      </w:r>
      <w:r>
        <w:rPr>
          <w:color w:val="000000" w:themeColor="text1"/>
          <w:position w:val="-12"/>
          <w:sz w:val="24"/>
          <w:szCs w:val="24"/>
          <w14:textFill>
            <w14:solidFill>
              <w14:schemeClr w14:val="tx1"/>
            </w14:solidFill>
          </w14:textFill>
        </w:rPr>
        <w:object>
          <v:shape id="_x0000_i1155" o:spt="75" type="#_x0000_t75" style="height:17.3pt;width:19.6pt;" o:ole="t" filled="f" o:preferrelative="t" stroked="f" coordsize="21600,21600">
            <v:path/>
            <v:fill on="f" focussize="0,0"/>
            <v:stroke on="f" joinstyle="miter"/>
            <v:imagedata r:id="rId251" o:title=""/>
            <o:lock v:ext="edit" aspectratio="t"/>
            <w10:wrap type="none"/>
            <w10:anchorlock/>
          </v:shape>
          <o:OLEObject Type="Embed" ProgID="Equation.DSMT4" ShapeID="_x0000_i1155" DrawAspect="Content" ObjectID="_1468075855" r:id="rId250">
            <o:LockedField>false</o:LockedField>
          </o:OLEObject>
        </w:object>
      </w:r>
      <w:r>
        <w:rPr>
          <w:color w:val="000000" w:themeColor="text1"/>
          <w:sz w:val="24"/>
          <w:szCs w:val="24"/>
          <w14:textFill>
            <w14:solidFill>
              <w14:schemeClr w14:val="tx1"/>
            </w14:solidFill>
          </w14:textFill>
        </w:rPr>
        <w:t>——钻孔深度最大限值，应精确至1mm；</w:t>
      </w:r>
    </w:p>
    <w:p>
      <w:pPr>
        <w:pStyle w:val="72"/>
        <w:spacing w:line="360" w:lineRule="auto"/>
        <w:ind w:firstLine="780" w:firstLineChars="325"/>
        <w:rPr>
          <w:color w:val="000000" w:themeColor="text1"/>
          <w:sz w:val="24"/>
          <w:szCs w:val="24"/>
          <w14:textFill>
            <w14:solidFill>
              <w14:schemeClr w14:val="tx1"/>
            </w14:solidFill>
          </w14:textFill>
        </w:rPr>
      </w:pPr>
      <w:r>
        <w:rPr>
          <w:color w:val="000000" w:themeColor="text1"/>
          <w:position w:val="-6"/>
          <w:sz w:val="24"/>
          <w:szCs w:val="24"/>
          <w14:textFill>
            <w14:solidFill>
              <w14:schemeClr w14:val="tx1"/>
            </w14:solidFill>
          </w14:textFill>
        </w:rPr>
        <w:object>
          <v:shape id="_x0000_i1156" o:spt="75" type="#_x0000_t75" style="height:11.5pt;width:11.5pt;" o:ole="t" filled="f" o:preferrelative="t" stroked="f" coordsize="21600,21600">
            <v:path/>
            <v:fill on="f" focussize="0,0"/>
            <v:stroke on="f" joinstyle="miter"/>
            <v:imagedata r:id="rId253" o:title=""/>
            <o:lock v:ext="edit" aspectratio="t"/>
            <w10:wrap type="none"/>
            <w10:anchorlock/>
          </v:shape>
          <o:OLEObject Type="Embed" ProgID="Equation.DSMT4" ShapeID="_x0000_i1156" DrawAspect="Content" ObjectID="_1468075856" r:id="rId252">
            <o:LockedField>false</o:LockedField>
          </o:OLEObject>
        </w:object>
      </w:r>
      <w:r>
        <w:rPr>
          <w:color w:val="000000" w:themeColor="text1"/>
          <w:sz w:val="24"/>
          <w:szCs w:val="24"/>
          <w14:textFill>
            <w14:solidFill>
              <w14:schemeClr w14:val="tx1"/>
            </w14:solidFill>
          </w14:textFill>
        </w:rPr>
        <w:t>——套筒部位混凝土保护层厚度实测值，应精确至1mm；</w:t>
      </w:r>
    </w:p>
    <w:p>
      <w:pPr>
        <w:pStyle w:val="72"/>
        <w:spacing w:line="360" w:lineRule="auto"/>
        <w:ind w:firstLine="780" w:firstLineChars="325"/>
        <w:rPr>
          <w:color w:val="000000" w:themeColor="text1"/>
          <w:sz w:val="24"/>
          <w:szCs w:val="24"/>
          <w14:textFill>
            <w14:solidFill>
              <w14:schemeClr w14:val="tx1"/>
            </w14:solidFill>
          </w14:textFill>
        </w:rPr>
      </w:pPr>
      <w:r>
        <w:rPr>
          <w:color w:val="000000" w:themeColor="text1"/>
          <w:position w:val="-12"/>
          <w:sz w:val="24"/>
          <w:szCs w:val="24"/>
          <w14:textFill>
            <w14:solidFill>
              <w14:schemeClr w14:val="tx1"/>
            </w14:solidFill>
          </w14:textFill>
        </w:rPr>
        <w:object>
          <v:shape id="_x0000_i1157" o:spt="75" type="#_x0000_t75" style="height:17.3pt;width:13.25pt;" o:ole="t" filled="f" o:preferrelative="t" stroked="f" coordsize="21600,21600">
            <v:path/>
            <v:fill on="f" focussize="0,0"/>
            <v:stroke on="f" joinstyle="miter"/>
            <v:imagedata r:id="rId255" o:title=""/>
            <o:lock v:ext="edit" aspectratio="t"/>
            <w10:wrap type="none"/>
            <w10:anchorlock/>
          </v:shape>
          <o:OLEObject Type="Embed" ProgID="Equation.DSMT4" ShapeID="_x0000_i1157" DrawAspect="Content" ObjectID="_1468075857" r:id="rId254">
            <o:LockedField>false</o:LockedField>
          </o:OLEObject>
        </w:object>
      </w:r>
      <w:r>
        <w:rPr>
          <w:color w:val="000000" w:themeColor="text1"/>
          <w:sz w:val="24"/>
          <w:szCs w:val="24"/>
          <w14:textFill>
            <w14:solidFill>
              <w14:schemeClr w14:val="tx1"/>
            </w14:solidFill>
          </w14:textFill>
        </w:rPr>
        <w:t>、</w:t>
      </w:r>
      <w:r>
        <w:rPr>
          <w:color w:val="000000" w:themeColor="text1"/>
          <w:position w:val="-12"/>
          <w:sz w:val="24"/>
          <w:szCs w:val="24"/>
          <w14:textFill>
            <w14:solidFill>
              <w14:schemeClr w14:val="tx1"/>
            </w14:solidFill>
          </w14:textFill>
        </w:rPr>
        <w:object>
          <v:shape id="_x0000_i1158" o:spt="75" type="#_x0000_t75" style="height:17.3pt;width:15pt;" o:ole="t" filled="f" o:preferrelative="t" stroked="f" coordsize="21600,21600">
            <v:path/>
            <v:fill on="f" focussize="0,0"/>
            <v:stroke on="f" joinstyle="miter"/>
            <v:imagedata r:id="rId257" o:title=""/>
            <o:lock v:ext="edit" aspectratio="t"/>
            <w10:wrap type="none"/>
            <w10:anchorlock/>
          </v:shape>
          <o:OLEObject Type="Embed" ProgID="Equation.DSMT4" ShapeID="_x0000_i1158" DrawAspect="Content" ObjectID="_1468075858" r:id="rId256">
            <o:LockedField>false</o:LockedField>
          </o:OLEObject>
        </w:object>
      </w:r>
      <w:r>
        <w:rPr>
          <w:color w:val="000000" w:themeColor="text1"/>
          <w:sz w:val="24"/>
          <w:szCs w:val="24"/>
          <w14:textFill>
            <w14:solidFill>
              <w14:schemeClr w14:val="tx1"/>
            </w14:solidFill>
          </w14:textFill>
        </w:rPr>
        <w:t>——灌浆套筒外径、最小内径，应精确至0.1mm。</w:t>
      </w:r>
    </w:p>
    <w:bookmarkEnd w:id="153"/>
    <w:p>
      <w:pPr>
        <w:adjustRightInd w:val="0"/>
        <w:snapToGrid w:val="0"/>
        <w:spacing w:line="360" w:lineRule="auto"/>
        <w:ind w:left="1111" w:leftChars="300" w:hanging="481" w:hangingChars="20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 xml:space="preserve"> 当钻孔方向与混凝土表面不垂直时，钻孔深度最大限值应根据几何角度对公式（G.0.5）进行换算。</w:t>
      </w:r>
    </w:p>
    <w:p>
      <w:pPr>
        <w:adjustRightInd w:val="0"/>
        <w:snapToGrid w:val="0"/>
        <w:spacing w:line="360" w:lineRule="auto"/>
        <w:ind w:firstLine="481" w:firstLineChars="200"/>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4  </w:t>
      </w:r>
      <w:r>
        <w:rPr>
          <w:color w:val="000000" w:themeColor="text1"/>
          <w:sz w:val="24"/>
          <w:szCs w:val="24"/>
          <w14:textFill>
            <w14:solidFill>
              <w14:schemeClr w14:val="tx1"/>
            </w14:solidFill>
          </w14:textFill>
        </w:rPr>
        <w:t>在钻孔深度达到最大限值的情况下，若未见套筒内的钢筋或金属体，宜采用更大直径的钻头对套筒内部浆料进行扩孔；</w:t>
      </w:r>
    </w:p>
    <w:p>
      <w:pPr>
        <w:adjustRightInd w:val="0"/>
        <w:snapToGrid w:val="0"/>
        <w:spacing w:line="360" w:lineRule="auto"/>
        <w:ind w:firstLine="481" w:firstLineChars="200"/>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5  </w:t>
      </w:r>
      <w:r>
        <w:rPr>
          <w:color w:val="000000" w:themeColor="text1"/>
          <w:sz w:val="24"/>
          <w:szCs w:val="24"/>
          <w14:textFill>
            <w14:solidFill>
              <w14:schemeClr w14:val="tx1"/>
            </w14:solidFill>
          </w14:textFill>
        </w:rPr>
        <w:t>钻孔完成后，应采用毛刷、气吹等工具对孔道进行清理，确保检测通道畅通。</w:t>
      </w:r>
    </w:p>
    <w:p>
      <w:pPr>
        <w:adjustRightInd w:val="0"/>
        <w:snapToGrid w:val="0"/>
        <w:spacing w:line="360" w:lineRule="auto"/>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G.0.6  </w:t>
      </w:r>
      <w:r>
        <w:rPr>
          <w:color w:val="000000" w:themeColor="text1"/>
          <w:sz w:val="24"/>
          <w:szCs w:val="24"/>
          <w14:textFill>
            <w14:solidFill>
              <w14:schemeClr w14:val="tx1"/>
            </w14:solidFill>
          </w14:textFill>
        </w:rPr>
        <w:t>灌浆饱满度的检测应符合下列规定：</w:t>
      </w:r>
    </w:p>
    <w:p>
      <w:pPr>
        <w:adjustRightInd w:val="0"/>
        <w:snapToGrid w:val="0"/>
        <w:spacing w:line="360" w:lineRule="auto"/>
        <w:ind w:firstLine="481" w:firstLineChars="20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1  </w:t>
      </w:r>
      <w:r>
        <w:rPr>
          <w:color w:val="000000" w:themeColor="text1"/>
          <w:sz w:val="24"/>
          <w:szCs w:val="24"/>
          <w14:textFill>
            <w14:solidFill>
              <w14:schemeClr w14:val="tx1"/>
            </w14:solidFill>
          </w14:textFill>
        </w:rPr>
        <w:t>沿检测通道伸入内窥镜头，观察内部饱满情况，若灌浆不饱满，应测量不饱满的缺陷长度，并应精确至0.1mm；</w:t>
      </w:r>
    </w:p>
    <w:p>
      <w:pPr>
        <w:pStyle w:val="72"/>
        <w:spacing w:line="360" w:lineRule="auto"/>
        <w:ind w:firstLine="482"/>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2  </w:t>
      </w:r>
      <w:r>
        <w:rPr>
          <w:color w:val="000000" w:themeColor="text1"/>
          <w:sz w:val="24"/>
          <w:szCs w:val="24"/>
          <w14:textFill>
            <w14:solidFill>
              <w14:schemeClr w14:val="tx1"/>
            </w14:solidFill>
          </w14:textFill>
        </w:rPr>
        <w:t>当灌浆料顶部界面不低于套筒出浆孔时，应判定为灌浆饱满；</w:t>
      </w:r>
    </w:p>
    <w:p>
      <w:pPr>
        <w:adjustRightInd w:val="0"/>
        <w:snapToGrid w:val="0"/>
        <w:spacing w:line="360" w:lineRule="auto"/>
        <w:ind w:firstLine="481" w:firstLineChars="200"/>
        <w:rPr>
          <w:color w:val="FF0000"/>
          <w:sz w:val="24"/>
          <w:szCs w:val="24"/>
        </w:rPr>
      </w:pPr>
      <w:r>
        <w:rPr>
          <w:b/>
          <w:bCs/>
          <w:color w:val="000000" w:themeColor="text1"/>
          <w:sz w:val="24"/>
          <w:szCs w:val="24"/>
          <w14:textFill>
            <w14:solidFill>
              <w14:schemeClr w14:val="tx1"/>
            </w14:solidFill>
          </w14:textFill>
        </w:rPr>
        <w:t xml:space="preserve">3  </w:t>
      </w:r>
      <w:r>
        <w:rPr>
          <w:color w:val="000000" w:themeColor="text1"/>
          <w:sz w:val="24"/>
          <w:szCs w:val="24"/>
          <w14:textFill>
            <w14:solidFill>
              <w14:schemeClr w14:val="tx1"/>
            </w14:solidFill>
          </w14:textFill>
        </w:rPr>
        <w:t>当灌浆料顶部界面低于套筒出浆孔时，应判定为灌浆不饱满，并应给出灌浆不饱满的缺陷长度（</w:t>
      </w:r>
      <w:r>
        <w:rPr>
          <w:sz w:val="24"/>
          <w:szCs w:val="24"/>
        </w:rPr>
        <w:t>图G.0.6</w:t>
      </w:r>
      <w:r>
        <w:rPr>
          <w:color w:val="000000" w:themeColor="text1"/>
          <w:sz w:val="24"/>
          <w:szCs w:val="24"/>
          <w14:textFill>
            <w14:solidFill>
              <w14:schemeClr w14:val="tx1"/>
            </w14:solidFill>
          </w14:textFill>
        </w:rPr>
        <w:t>）。</w:t>
      </w:r>
    </w:p>
    <w:p>
      <w:pPr>
        <w:pStyle w:val="72"/>
        <w:spacing w:line="360" w:lineRule="auto"/>
        <w:ind w:firstLine="0" w:firstLineChars="0"/>
        <w:jc w:val="center"/>
        <w:rPr>
          <w:color w:val="FF0000"/>
          <w:sz w:val="24"/>
          <w:szCs w:val="24"/>
        </w:rPr>
      </w:pPr>
      <w:r>
        <w:rPr>
          <w:color w:val="FF0000"/>
          <w:sz w:val="24"/>
          <w:szCs w:val="24"/>
        </w:rPr>
        <w:drawing>
          <wp:inline distT="0" distB="0" distL="0" distR="0">
            <wp:extent cx="2743200" cy="2897505"/>
            <wp:effectExtent l="0" t="0" r="0" b="0"/>
            <wp:docPr id="85" name="图片 85" descr="C:\Users\l\AppData\Local\Temp\WeChat Files\37a21f44e27da6a5edf218e22160179.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5" name="图片 85" descr="C:\Users\l\AppData\Local\Temp\WeChat Files\37a21f44e27da6a5edf218e22160179.jpg"/>
                    <pic:cNvPicPr>
                      <a:picLocks noChangeAspect="true" noChangeArrowheads="true"/>
                    </pic:cNvPicPr>
                  </pic:nvPicPr>
                  <pic:blipFill>
                    <a:blip r:embed="rId258" cstate="print"/>
                    <a:srcRect/>
                    <a:stretch>
                      <a:fillRect/>
                    </a:stretch>
                  </pic:blipFill>
                  <pic:spPr>
                    <a:xfrm>
                      <a:off x="0" y="0"/>
                      <a:ext cx="2749256" cy="2904469"/>
                    </a:xfrm>
                    <a:prstGeom prst="rect">
                      <a:avLst/>
                    </a:prstGeom>
                    <a:noFill/>
                    <a:ln w="9525">
                      <a:noFill/>
                      <a:miter lim="800000"/>
                      <a:headEnd/>
                      <a:tailEnd/>
                    </a:ln>
                  </pic:spPr>
                </pic:pic>
              </a:graphicData>
            </a:graphic>
          </wp:inline>
        </w:drawing>
      </w:r>
    </w:p>
    <w:p>
      <w:pPr>
        <w:pStyle w:val="72"/>
        <w:spacing w:line="360" w:lineRule="auto"/>
        <w:ind w:firstLine="480"/>
        <w:jc w:val="center"/>
        <w:rPr>
          <w:color w:val="FF0000"/>
          <w:sz w:val="24"/>
          <w:szCs w:val="24"/>
        </w:rPr>
      </w:pPr>
    </w:p>
    <w:p>
      <w:pPr>
        <w:pStyle w:val="72"/>
        <w:spacing w:line="360" w:lineRule="auto"/>
        <w:ind w:firstLine="0" w:firstLineChars="0"/>
        <w:jc w:val="center"/>
        <w:rPr>
          <w:szCs w:val="24"/>
        </w:rPr>
      </w:pPr>
      <w:r>
        <w:rPr>
          <w:szCs w:val="24"/>
        </w:rPr>
        <w:t>1—预制构件；2—灌浆套筒；3—检测通道下沿；</w:t>
      </w:r>
    </w:p>
    <w:p>
      <w:pPr>
        <w:pStyle w:val="72"/>
        <w:spacing w:line="360" w:lineRule="auto"/>
        <w:ind w:firstLine="0" w:firstLineChars="0"/>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4—内窥镜；5—测量镜头；L—灌浆料顶部界面距套筒出浆孔高度</w:t>
      </w:r>
    </w:p>
    <w:p>
      <w:pPr>
        <w:pStyle w:val="72"/>
        <w:spacing w:line="360" w:lineRule="auto"/>
        <w:ind w:firstLine="0" w:firstLineChars="0"/>
        <w:jc w:val="center"/>
        <w:rPr>
          <w:b/>
          <w:szCs w:val="21"/>
        </w:rPr>
      </w:pPr>
      <w:r>
        <w:rPr>
          <w:b/>
          <w:szCs w:val="21"/>
        </w:rPr>
        <w:t>图G.0.6  内窥法检测套筒灌浆饱满度示意图</w:t>
      </w:r>
    </w:p>
    <w:p>
      <w:pPr>
        <w:adjustRightInd w:val="0"/>
        <w:snapToGrid w:val="0"/>
        <w:spacing w:line="360" w:lineRule="auto"/>
        <w:rPr>
          <w:bCs/>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G.0.7  </w:t>
      </w:r>
      <w:r>
        <w:rPr>
          <w:color w:val="000000" w:themeColor="text1"/>
          <w:sz w:val="24"/>
          <w:szCs w:val="24"/>
          <w14:textFill>
            <w14:solidFill>
              <w14:schemeClr w14:val="tx1"/>
            </w14:solidFill>
          </w14:textFill>
        </w:rPr>
        <w:t>半灌浆套筒钢筋插入情况的检测</w:t>
      </w:r>
      <w:r>
        <w:rPr>
          <w:bCs/>
          <w:color w:val="000000" w:themeColor="text1"/>
          <w:sz w:val="24"/>
          <w:szCs w:val="24"/>
          <w14:textFill>
            <w14:solidFill>
              <w14:schemeClr w14:val="tx1"/>
            </w14:solidFill>
          </w14:textFill>
        </w:rPr>
        <w:t>应符合下列规定：</w:t>
      </w:r>
    </w:p>
    <w:p>
      <w:pPr>
        <w:adjustRightInd w:val="0"/>
        <w:snapToGrid w:val="0"/>
        <w:spacing w:line="360" w:lineRule="auto"/>
        <w:ind w:firstLine="481" w:firstLineChars="200"/>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1  </w:t>
      </w:r>
      <w:r>
        <w:rPr>
          <w:color w:val="000000" w:themeColor="text1"/>
          <w:sz w:val="24"/>
          <w:szCs w:val="24"/>
          <w14:textFill>
            <w14:solidFill>
              <w14:schemeClr w14:val="tx1"/>
            </w14:solidFill>
          </w14:textFill>
        </w:rPr>
        <w:t>应先沿出浆孔道进行钻孔检测，若出浆孔道处判定为套筒内未见钢筋，则应再沿灌浆孔道进行钻孔检测；</w:t>
      </w:r>
    </w:p>
    <w:p>
      <w:pPr>
        <w:adjustRightInd w:val="0"/>
        <w:snapToGrid w:val="0"/>
        <w:spacing w:line="360" w:lineRule="auto"/>
        <w:ind w:firstLine="481" w:firstLineChars="200"/>
        <w:rPr>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2</w:t>
      </w:r>
      <w:r>
        <w:rPr>
          <w:bCs/>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沿检测通道伸入内窥镜头，</w:t>
      </w:r>
      <w:r>
        <w:rPr>
          <w:bCs/>
          <w:color w:val="000000" w:themeColor="text1"/>
          <w:sz w:val="24"/>
          <w:szCs w:val="24"/>
          <w14:textFill>
            <w14:solidFill>
              <w14:schemeClr w14:val="tx1"/>
            </w14:solidFill>
          </w14:textFill>
        </w:rPr>
        <w:t>当可以直接观察到套筒内的钢筋时，应</w:t>
      </w:r>
      <w:r>
        <w:rPr>
          <w:color w:val="000000" w:themeColor="text1"/>
          <w:sz w:val="24"/>
          <w:szCs w:val="24"/>
          <w14:textFill>
            <w14:solidFill>
              <w14:schemeClr w14:val="tx1"/>
            </w14:solidFill>
          </w14:textFill>
        </w:rPr>
        <w:t>判定为套筒内可见钢筋</w:t>
      </w:r>
      <w:r>
        <w:rPr>
          <w:bCs/>
          <w:color w:val="000000" w:themeColor="text1"/>
          <w:sz w:val="24"/>
          <w:szCs w:val="24"/>
          <w14:textFill>
            <w14:solidFill>
              <w14:schemeClr w14:val="tx1"/>
            </w14:solidFill>
          </w14:textFill>
        </w:rPr>
        <w:t>；</w:t>
      </w:r>
    </w:p>
    <w:p>
      <w:pPr>
        <w:adjustRightInd w:val="0"/>
        <w:snapToGrid w:val="0"/>
        <w:spacing w:line="360" w:lineRule="auto"/>
        <w:ind w:firstLine="481" w:firstLineChars="200"/>
        <w:rPr>
          <w:sz w:val="24"/>
          <w:szCs w:val="24"/>
        </w:rPr>
      </w:pPr>
      <w:r>
        <w:rPr>
          <w:b/>
          <w:bCs/>
          <w:color w:val="000000" w:themeColor="text1"/>
          <w:sz w:val="24"/>
          <w:szCs w:val="24"/>
          <w14:textFill>
            <w14:solidFill>
              <w14:schemeClr w14:val="tx1"/>
            </w14:solidFill>
          </w14:textFill>
        </w:rPr>
        <w:t xml:space="preserve">3  </w:t>
      </w:r>
      <w:r>
        <w:rPr>
          <w:sz w:val="24"/>
          <w:szCs w:val="24"/>
        </w:rPr>
        <w:t>当通过内窥镜无法判断套筒内所见金属体是否为钢筋时，应通过测量钻孔深度确定所见金属体距混凝土表面的垂直距离，再应按下列要求进行判定：</w:t>
      </w:r>
    </w:p>
    <w:p>
      <w:pPr>
        <w:adjustRightInd w:val="0"/>
        <w:snapToGrid w:val="0"/>
        <w:spacing w:line="360" w:lineRule="auto"/>
        <w:ind w:left="1111" w:leftChars="300" w:hanging="481" w:hangingChars="200"/>
        <w:rPr>
          <w:sz w:val="24"/>
          <w:szCs w:val="24"/>
        </w:rPr>
      </w:pPr>
      <w:r>
        <w:rPr>
          <w:b/>
          <w:sz w:val="24"/>
          <w:szCs w:val="24"/>
        </w:rPr>
        <w:t>1</w:t>
      </w:r>
      <w:r>
        <w:rPr>
          <w:sz w:val="24"/>
          <w:szCs w:val="24"/>
        </w:rPr>
        <w:t>） 若根据套筒内所见金属体距混凝土表面的垂直距离判断套筒内所见金属体不是套筒内壁，则</w:t>
      </w:r>
      <w:r>
        <w:rPr>
          <w:bCs/>
          <w:color w:val="000000" w:themeColor="text1"/>
          <w:sz w:val="24"/>
          <w:szCs w:val="24"/>
          <w14:textFill>
            <w14:solidFill>
              <w14:schemeClr w14:val="tx1"/>
            </w14:solidFill>
          </w14:textFill>
        </w:rPr>
        <w:t>可</w:t>
      </w:r>
      <w:r>
        <w:rPr>
          <w:sz w:val="24"/>
          <w:szCs w:val="24"/>
        </w:rPr>
        <w:t>判定为套筒内有钢筋；</w:t>
      </w:r>
    </w:p>
    <w:p>
      <w:pPr>
        <w:adjustRightInd w:val="0"/>
        <w:snapToGrid w:val="0"/>
        <w:spacing w:line="360" w:lineRule="auto"/>
        <w:ind w:left="1111" w:leftChars="300" w:hanging="481" w:hangingChars="200"/>
        <w:rPr>
          <w:sz w:val="24"/>
          <w:szCs w:val="24"/>
        </w:rPr>
      </w:pPr>
      <w:r>
        <w:rPr>
          <w:b/>
          <w:sz w:val="24"/>
          <w:szCs w:val="24"/>
        </w:rPr>
        <w:t>2</w:t>
      </w:r>
      <w:r>
        <w:rPr>
          <w:sz w:val="24"/>
          <w:szCs w:val="24"/>
        </w:rPr>
        <w:t>） 若根据套筒内所见金属体距混凝土表面的垂直距离判断套筒内所见金属体是套筒内壁，则</w:t>
      </w:r>
      <w:r>
        <w:rPr>
          <w:bCs/>
          <w:color w:val="000000" w:themeColor="text1"/>
          <w:sz w:val="24"/>
          <w:szCs w:val="24"/>
          <w14:textFill>
            <w14:solidFill>
              <w14:schemeClr w14:val="tx1"/>
            </w14:solidFill>
          </w14:textFill>
        </w:rPr>
        <w:t>应</w:t>
      </w:r>
      <w:r>
        <w:rPr>
          <w:sz w:val="24"/>
          <w:szCs w:val="24"/>
        </w:rPr>
        <w:t>判定为套筒内未见钢筋；</w:t>
      </w:r>
    </w:p>
    <w:p>
      <w:pPr>
        <w:adjustRightInd w:val="0"/>
        <w:snapToGrid w:val="0"/>
        <w:spacing w:line="360" w:lineRule="auto"/>
        <w:ind w:left="1111" w:leftChars="300" w:hanging="481" w:hangingChars="200"/>
        <w:rPr>
          <w:sz w:val="24"/>
          <w:szCs w:val="24"/>
        </w:rPr>
      </w:pPr>
      <w:r>
        <w:rPr>
          <w:b/>
          <w:sz w:val="24"/>
          <w:szCs w:val="24"/>
        </w:rPr>
        <w:t>3</w:t>
      </w:r>
      <w:r>
        <w:rPr>
          <w:sz w:val="24"/>
          <w:szCs w:val="24"/>
        </w:rPr>
        <w:t>） 若根据测量钻孔深度不能判断套筒内所见金属体是否为套筒内壁时，应采用X射线成像法或其它方法进行检测。</w:t>
      </w:r>
    </w:p>
    <w:p>
      <w:pPr>
        <w:adjustRightInd w:val="0"/>
        <w:snapToGrid w:val="0"/>
        <w:spacing w:line="360" w:lineRule="auto"/>
        <w:ind w:firstLine="481" w:firstLineChars="200"/>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4  </w:t>
      </w:r>
      <w:r>
        <w:rPr>
          <w:bCs/>
          <w:color w:val="000000" w:themeColor="text1"/>
          <w:sz w:val="24"/>
          <w:szCs w:val="24"/>
          <w14:textFill>
            <w14:solidFill>
              <w14:schemeClr w14:val="tx1"/>
            </w14:solidFill>
          </w14:textFill>
        </w:rPr>
        <w:t>当</w:t>
      </w:r>
      <w:r>
        <w:rPr>
          <w:color w:val="000000" w:themeColor="text1"/>
          <w:sz w:val="24"/>
          <w:szCs w:val="24"/>
          <w14:textFill>
            <w14:solidFill>
              <w14:schemeClr w14:val="tx1"/>
            </w14:solidFill>
          </w14:textFill>
        </w:rPr>
        <w:t>通过内窥镜</w:t>
      </w:r>
      <w:r>
        <w:rPr>
          <w:bCs/>
          <w:color w:val="000000" w:themeColor="text1"/>
          <w:sz w:val="24"/>
          <w:szCs w:val="24"/>
          <w14:textFill>
            <w14:solidFill>
              <w14:schemeClr w14:val="tx1"/>
            </w14:solidFill>
          </w14:textFill>
        </w:rPr>
        <w:t>未</w:t>
      </w:r>
      <w:r>
        <w:rPr>
          <w:color w:val="000000" w:themeColor="text1"/>
          <w:sz w:val="24"/>
          <w:szCs w:val="24"/>
          <w14:textFill>
            <w14:solidFill>
              <w14:schemeClr w14:val="tx1"/>
            </w14:solidFill>
          </w14:textFill>
        </w:rPr>
        <w:t>观察到套筒内有钢筋或金属体时，</w:t>
      </w:r>
      <w:r>
        <w:rPr>
          <w:bCs/>
          <w:color w:val="000000" w:themeColor="text1"/>
          <w:sz w:val="24"/>
          <w:szCs w:val="24"/>
          <w14:textFill>
            <w14:solidFill>
              <w14:schemeClr w14:val="tx1"/>
            </w14:solidFill>
          </w14:textFill>
        </w:rPr>
        <w:t>应</w:t>
      </w:r>
      <w:r>
        <w:rPr>
          <w:color w:val="000000" w:themeColor="text1"/>
          <w:sz w:val="24"/>
          <w:szCs w:val="24"/>
          <w14:textFill>
            <w14:solidFill>
              <w14:schemeClr w14:val="tx1"/>
            </w14:solidFill>
          </w14:textFill>
        </w:rPr>
        <w:t>判定为套筒内未见钢筋；</w:t>
      </w:r>
    </w:p>
    <w:p>
      <w:pPr>
        <w:adjustRightInd w:val="0"/>
        <w:snapToGrid w:val="0"/>
        <w:spacing w:line="360" w:lineRule="auto"/>
        <w:ind w:firstLine="481" w:firstLineChars="200"/>
        <w:rPr>
          <w:sz w:val="24"/>
          <w:szCs w:val="24"/>
        </w:rPr>
      </w:pPr>
      <w:r>
        <w:rPr>
          <w:b/>
          <w:sz w:val="24"/>
          <w:szCs w:val="24"/>
        </w:rPr>
        <w:t xml:space="preserve">5  </w:t>
      </w:r>
      <w:r>
        <w:rPr>
          <w:sz w:val="24"/>
          <w:szCs w:val="24"/>
        </w:rPr>
        <w:t>当对检测结果有异议时，可采用X射线成像法或其它方法进行验证。</w:t>
      </w:r>
    </w:p>
    <w:p>
      <w:pPr>
        <w:adjustRightInd w:val="0"/>
        <w:snapToGrid w:val="0"/>
        <w:spacing w:line="360" w:lineRule="auto"/>
        <w:rPr>
          <w:bCs/>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G.0.8  </w:t>
      </w:r>
      <w:r>
        <w:rPr>
          <w:color w:val="000000" w:themeColor="text1"/>
          <w:sz w:val="24"/>
          <w:szCs w:val="24"/>
          <w14:textFill>
            <w14:solidFill>
              <w14:schemeClr w14:val="tx1"/>
            </w14:solidFill>
          </w14:textFill>
        </w:rPr>
        <w:t>全灌浆套筒的装配端钢筋插入情况的检测</w:t>
      </w:r>
      <w:r>
        <w:rPr>
          <w:bCs/>
          <w:color w:val="000000" w:themeColor="text1"/>
          <w:sz w:val="24"/>
          <w:szCs w:val="24"/>
          <w14:textFill>
            <w14:solidFill>
              <w14:schemeClr w14:val="tx1"/>
            </w14:solidFill>
          </w14:textFill>
        </w:rPr>
        <w:t>应符合下列规定：</w:t>
      </w:r>
    </w:p>
    <w:p>
      <w:pPr>
        <w:adjustRightInd w:val="0"/>
        <w:snapToGrid w:val="0"/>
        <w:spacing w:line="360" w:lineRule="auto"/>
        <w:ind w:firstLine="481" w:firstLineChars="200"/>
        <w:rPr>
          <w:sz w:val="24"/>
          <w:szCs w:val="24"/>
        </w:rPr>
      </w:pPr>
      <w:r>
        <w:rPr>
          <w:b/>
          <w:sz w:val="24"/>
          <w:szCs w:val="24"/>
        </w:rPr>
        <w:t xml:space="preserve">1  </w:t>
      </w:r>
      <w:r>
        <w:rPr>
          <w:color w:val="000000" w:themeColor="text1"/>
          <w:sz w:val="24"/>
          <w:szCs w:val="24"/>
          <w14:textFill>
            <w14:solidFill>
              <w14:schemeClr w14:val="tx1"/>
            </w14:solidFill>
          </w14:textFill>
        </w:rPr>
        <w:t>应</w:t>
      </w:r>
      <w:r>
        <w:rPr>
          <w:sz w:val="24"/>
          <w:szCs w:val="24"/>
        </w:rPr>
        <w:t>先沿</w:t>
      </w:r>
      <w:r>
        <w:rPr>
          <w:color w:val="000000" w:themeColor="text1"/>
          <w:sz w:val="24"/>
          <w:szCs w:val="24"/>
          <w14:textFill>
            <w14:solidFill>
              <w14:schemeClr w14:val="tx1"/>
            </w14:solidFill>
          </w14:textFill>
        </w:rPr>
        <w:t>灌浆孔道进行</w:t>
      </w:r>
      <w:r>
        <w:rPr>
          <w:sz w:val="24"/>
          <w:szCs w:val="24"/>
        </w:rPr>
        <w:t>钻孔检测，若</w:t>
      </w:r>
      <w:r>
        <w:rPr>
          <w:color w:val="000000" w:themeColor="text1"/>
          <w:sz w:val="24"/>
          <w:szCs w:val="24"/>
          <w14:textFill>
            <w14:solidFill>
              <w14:schemeClr w14:val="tx1"/>
            </w14:solidFill>
          </w14:textFill>
        </w:rPr>
        <w:t>灌浆孔道处可见钢筋或</w:t>
      </w:r>
      <w:r>
        <w:rPr>
          <w:sz w:val="24"/>
          <w:szCs w:val="24"/>
        </w:rPr>
        <w:t>判定为套筒内有钢筋，则可考虑是否钻透混凝土保护层和套筒壁进行检测；</w:t>
      </w:r>
    </w:p>
    <w:p>
      <w:pPr>
        <w:adjustRightInd w:val="0"/>
        <w:snapToGrid w:val="0"/>
        <w:spacing w:line="360" w:lineRule="auto"/>
        <w:ind w:firstLine="481" w:firstLineChars="200"/>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2  </w:t>
      </w:r>
      <w:r>
        <w:rPr>
          <w:color w:val="000000" w:themeColor="text1"/>
          <w:sz w:val="24"/>
          <w:szCs w:val="24"/>
          <w14:textFill>
            <w14:solidFill>
              <w14:schemeClr w14:val="tx1"/>
            </w14:solidFill>
          </w14:textFill>
        </w:rPr>
        <w:t>检测判定应按本标准第G.0.7条第2～5款的有关规定执行。</w:t>
      </w:r>
    </w:p>
    <w:p>
      <w:pPr>
        <w:adjustRightInd w:val="0"/>
        <w:snapToGrid w:val="0"/>
        <w:spacing w:line="360" w:lineRule="auto"/>
        <w:rPr>
          <w:color w:val="000000" w:themeColor="text1"/>
          <w:sz w:val="24"/>
          <w:szCs w:val="24"/>
          <w14:textFill>
            <w14:solidFill>
              <w14:schemeClr w14:val="tx1"/>
            </w14:solidFill>
          </w14:textFill>
        </w:rPr>
      </w:pPr>
      <w:r>
        <w:rPr>
          <w:b/>
          <w:sz w:val="24"/>
          <w:szCs w:val="24"/>
        </w:rPr>
        <w:t xml:space="preserve">G.0.9  </w:t>
      </w:r>
      <w:r>
        <w:rPr>
          <w:sz w:val="24"/>
          <w:szCs w:val="24"/>
        </w:rPr>
        <w:t>采用钻孔内窥法检测</w:t>
      </w:r>
      <w:r>
        <w:rPr>
          <w:color w:val="000000" w:themeColor="text1"/>
          <w:sz w:val="24"/>
          <w:szCs w:val="24"/>
          <w14:textFill>
            <w14:solidFill>
              <w14:schemeClr w14:val="tx1"/>
            </w14:solidFill>
          </w14:textFill>
        </w:rPr>
        <w:t>钢筋插入情况时，可只给出钻孔部位是否有钢筋的结论，不宜对装配端钢筋插入长度的符合性进行判定。</w:t>
      </w:r>
    </w:p>
    <w:p>
      <w:pPr>
        <w:pStyle w:val="72"/>
        <w:spacing w:line="360" w:lineRule="auto"/>
        <w:ind w:firstLine="0" w:firstLineChars="0"/>
        <w:rPr>
          <w:color w:val="000000" w:themeColor="text1"/>
          <w:sz w:val="24"/>
          <w:szCs w:val="24"/>
          <w14:textFill>
            <w14:solidFill>
              <w14:schemeClr w14:val="tx1"/>
            </w14:solidFill>
          </w14:textFill>
        </w:rPr>
      </w:pPr>
      <w:r>
        <w:rPr>
          <w:b/>
          <w:sz w:val="24"/>
          <w:szCs w:val="24"/>
        </w:rPr>
        <w:t xml:space="preserve">G.0.10  </w:t>
      </w:r>
      <w:r>
        <w:rPr>
          <w:color w:val="000000" w:themeColor="text1"/>
          <w:sz w:val="24"/>
          <w:szCs w:val="24"/>
          <w14:textFill>
            <w14:solidFill>
              <w14:schemeClr w14:val="tx1"/>
            </w14:solidFill>
          </w14:textFill>
        </w:rPr>
        <w:t>检测工作完成后，应对钻孔部位的出浆孔道、灌浆孔道或混凝土保护层进行封闭修复处理。</w:t>
      </w:r>
    </w:p>
    <w:p>
      <w:pPr>
        <w:adjustRightInd w:val="0"/>
        <w:snapToGrid w:val="0"/>
        <w:spacing w:line="360" w:lineRule="auto"/>
        <w:rPr>
          <w:sz w:val="24"/>
          <w:szCs w:val="24"/>
        </w:rPr>
      </w:pPr>
    </w:p>
    <w:p>
      <w:pPr>
        <w:widowControl/>
        <w:jc w:val="left"/>
        <w:rPr>
          <w:sz w:val="24"/>
          <w:szCs w:val="24"/>
        </w:rPr>
      </w:pPr>
      <w:r>
        <w:rPr>
          <w:sz w:val="24"/>
          <w:szCs w:val="24"/>
        </w:rPr>
        <w:br w:type="page"/>
      </w:r>
    </w:p>
    <w:p>
      <w:pPr>
        <w:keepNext/>
        <w:keepLines/>
        <w:spacing w:before="240" w:beforeLines="100" w:after="120" w:afterLines="50" w:line="400" w:lineRule="exact"/>
        <w:jc w:val="center"/>
        <w:outlineLvl w:val="0"/>
        <w:rPr>
          <w:b/>
          <w:kern w:val="44"/>
          <w:sz w:val="28"/>
          <w:szCs w:val="28"/>
        </w:rPr>
      </w:pPr>
      <w:bookmarkStart w:id="154" w:name="_Toc120020305"/>
      <w:r>
        <w:rPr>
          <w:b/>
          <w:kern w:val="44"/>
          <w:sz w:val="28"/>
          <w:szCs w:val="28"/>
        </w:rPr>
        <w:t>附录H  X射线成像法</w:t>
      </w:r>
      <w:bookmarkEnd w:id="154"/>
    </w:p>
    <w:p>
      <w:pPr>
        <w:spacing w:line="360" w:lineRule="auto"/>
        <w:rPr>
          <w:sz w:val="24"/>
          <w:szCs w:val="24"/>
        </w:rPr>
      </w:pPr>
      <w:r>
        <w:rPr>
          <w:b/>
          <w:sz w:val="24"/>
          <w:szCs w:val="24"/>
        </w:rPr>
        <w:t xml:space="preserve">H.0.1  </w:t>
      </w:r>
      <w:r>
        <w:rPr>
          <w:sz w:val="24"/>
          <w:szCs w:val="24"/>
        </w:rPr>
        <w:t>本附录适用于钢筋套筒灌浆连接的灌浆饱满度和钢筋插入长度的</w:t>
      </w:r>
      <w:r>
        <w:rPr>
          <w:rFonts w:hint="eastAsia"/>
          <w:sz w:val="24"/>
          <w:szCs w:val="24"/>
        </w:rPr>
        <w:t>现场</w:t>
      </w:r>
      <w:r>
        <w:rPr>
          <w:sz w:val="24"/>
          <w:szCs w:val="24"/>
        </w:rPr>
        <w:t>检测。</w:t>
      </w:r>
    </w:p>
    <w:p>
      <w:pPr>
        <w:spacing w:line="360" w:lineRule="auto"/>
        <w:rPr>
          <w:sz w:val="24"/>
          <w:szCs w:val="24"/>
        </w:rPr>
      </w:pPr>
      <w:r>
        <w:rPr>
          <w:b/>
          <w:sz w:val="24"/>
          <w:szCs w:val="24"/>
        </w:rPr>
        <w:t xml:space="preserve">H.0.2  </w:t>
      </w:r>
      <w:r>
        <w:rPr>
          <w:rFonts w:eastAsiaTheme="minorEastAsia"/>
          <w:sz w:val="24"/>
          <w:szCs w:val="24"/>
        </w:rPr>
        <w:t>现场检测应采取辐射防护措施，除应符合现行国家标准《电离辐射防护与辐射源安全基本标准》GB 18871的有关规定外，尚应符合下列要求：</w:t>
      </w:r>
    </w:p>
    <w:p>
      <w:pPr>
        <w:pStyle w:val="72"/>
        <w:spacing w:line="360" w:lineRule="auto"/>
        <w:ind w:firstLine="480" w:firstLineChars="0"/>
        <w:rPr>
          <w:sz w:val="24"/>
          <w:szCs w:val="24"/>
        </w:rPr>
      </w:pPr>
      <w:r>
        <w:rPr>
          <w:b/>
          <w:sz w:val="24"/>
          <w:szCs w:val="24"/>
        </w:rPr>
        <w:t xml:space="preserve">1  </w:t>
      </w:r>
      <w:r>
        <w:rPr>
          <w:sz w:val="24"/>
          <w:szCs w:val="24"/>
        </w:rPr>
        <w:t>对从事X射线操作的人员应进行现场安全和辐射防护培训；</w:t>
      </w:r>
    </w:p>
    <w:p>
      <w:pPr>
        <w:pStyle w:val="72"/>
        <w:spacing w:line="360" w:lineRule="auto"/>
        <w:ind w:firstLine="480" w:firstLineChars="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2 </w:t>
      </w:r>
      <w:r>
        <w:rPr>
          <w:color w:val="000000" w:themeColor="text1"/>
          <w:sz w:val="24"/>
          <w:szCs w:val="24"/>
          <w14:textFill>
            <w14:solidFill>
              <w14:schemeClr w14:val="tx1"/>
            </w14:solidFill>
          </w14:textFill>
        </w:rPr>
        <w:t xml:space="preserve"> 现场检测人员应配备辐射剂量计，现场人员均应处于辐射安全区域</w:t>
      </w:r>
      <w:r>
        <w:rPr>
          <w:rFonts w:hint="eastAsia"/>
          <w:color w:val="000000" w:themeColor="text1"/>
          <w:sz w:val="24"/>
          <w:szCs w:val="24"/>
          <w14:textFill>
            <w14:solidFill>
              <w14:schemeClr w14:val="tx1"/>
            </w14:solidFill>
          </w14:textFill>
        </w:rPr>
        <w:t>；</w:t>
      </w:r>
    </w:p>
    <w:p>
      <w:pPr>
        <w:pStyle w:val="72"/>
        <w:spacing w:line="360" w:lineRule="auto"/>
        <w:ind w:firstLine="480" w:firstLineChars="0"/>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3</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应制定工作方案，包括探伤工况、时间、地点、控制区范围、检测方案、防护措施等内容，并应明确现场人员的职责和分工。</w:t>
      </w:r>
    </w:p>
    <w:p>
      <w:pPr>
        <w:spacing w:line="360" w:lineRule="auto"/>
        <w:rPr>
          <w:sz w:val="24"/>
          <w:szCs w:val="24"/>
        </w:rPr>
      </w:pPr>
      <w:r>
        <w:rPr>
          <w:b/>
          <w:sz w:val="24"/>
          <w:szCs w:val="24"/>
        </w:rPr>
        <w:t xml:space="preserve">H.0.3  </w:t>
      </w:r>
      <w:r>
        <w:rPr>
          <w:sz w:val="24"/>
          <w:szCs w:val="24"/>
        </w:rPr>
        <w:t>X射线成像法的检测系统应符合下列要求：</w:t>
      </w:r>
    </w:p>
    <w:p>
      <w:pPr>
        <w:pStyle w:val="72"/>
        <w:spacing w:line="360" w:lineRule="auto"/>
        <w:ind w:firstLine="482"/>
        <w:rPr>
          <w:sz w:val="24"/>
          <w:szCs w:val="24"/>
        </w:rPr>
      </w:pPr>
      <w:r>
        <w:rPr>
          <w:b/>
          <w:sz w:val="24"/>
          <w:szCs w:val="24"/>
        </w:rPr>
        <w:t xml:space="preserve">1  </w:t>
      </w:r>
      <w:bookmarkStart w:id="155" w:name="_Hlk84326020"/>
      <w:r>
        <w:rPr>
          <w:sz w:val="24"/>
          <w:szCs w:val="24"/>
        </w:rPr>
        <w:t>便携式X</w:t>
      </w:r>
      <w:bookmarkEnd w:id="155"/>
      <w:r>
        <w:rPr>
          <w:sz w:val="24"/>
          <w:szCs w:val="24"/>
        </w:rPr>
        <w:t>射线机的最大管电压不宜低于300kV；</w:t>
      </w:r>
    </w:p>
    <w:p>
      <w:pPr>
        <w:pStyle w:val="72"/>
        <w:spacing w:line="360" w:lineRule="auto"/>
        <w:ind w:firstLine="482"/>
        <w:rPr>
          <w:sz w:val="24"/>
          <w:szCs w:val="24"/>
        </w:rPr>
      </w:pPr>
      <w:r>
        <w:rPr>
          <w:b/>
          <w:sz w:val="24"/>
          <w:szCs w:val="24"/>
        </w:rPr>
        <w:t xml:space="preserve">2  </w:t>
      </w:r>
      <w:r>
        <w:rPr>
          <w:bCs/>
          <w:sz w:val="24"/>
          <w:szCs w:val="24"/>
        </w:rPr>
        <w:t>当无远程启动装置时，中央</w:t>
      </w:r>
      <w:r>
        <w:rPr>
          <w:sz w:val="24"/>
          <w:szCs w:val="24"/>
        </w:rPr>
        <w:t>控制器可设置的最长延迟开启时间不应低于180s；</w:t>
      </w:r>
    </w:p>
    <w:p>
      <w:pPr>
        <w:pStyle w:val="72"/>
        <w:spacing w:line="360" w:lineRule="auto"/>
        <w:ind w:firstLine="482"/>
        <w:rPr>
          <w:b/>
          <w:bCs/>
          <w:sz w:val="24"/>
          <w:szCs w:val="24"/>
        </w:rPr>
      </w:pPr>
      <w:r>
        <w:rPr>
          <w:b/>
          <w:bCs/>
          <w:sz w:val="24"/>
          <w:szCs w:val="24"/>
        </w:rPr>
        <w:t xml:space="preserve">3  </w:t>
      </w:r>
      <w:r>
        <w:rPr>
          <w:bCs/>
          <w:sz w:val="24"/>
          <w:szCs w:val="24"/>
        </w:rPr>
        <w:t>宜采用</w:t>
      </w:r>
      <w:bookmarkStart w:id="156" w:name="_Hlk84326194"/>
      <w:r>
        <w:rPr>
          <w:bCs/>
          <w:sz w:val="24"/>
          <w:szCs w:val="24"/>
        </w:rPr>
        <w:t>数字成像系统</w:t>
      </w:r>
      <w:bookmarkEnd w:id="156"/>
      <w:r>
        <w:rPr>
          <w:bCs/>
          <w:sz w:val="24"/>
          <w:szCs w:val="24"/>
        </w:rPr>
        <w:t>，并应符合现行国家标准《无损检测 X射线数字成像检测 导则》GB/T 35389、《无损检测 X射线数字成像检测 检测方法》GB/T 35388和《无损检测 X射线数字成像检测 系统特性》GB/T 35394的有关规定；</w:t>
      </w:r>
    </w:p>
    <w:p>
      <w:pPr>
        <w:pStyle w:val="72"/>
        <w:spacing w:line="360" w:lineRule="auto"/>
        <w:ind w:firstLine="482"/>
        <w:rPr>
          <w:sz w:val="24"/>
          <w:szCs w:val="24"/>
        </w:rPr>
      </w:pPr>
      <w:r>
        <w:rPr>
          <w:b/>
          <w:sz w:val="24"/>
          <w:szCs w:val="24"/>
        </w:rPr>
        <w:t>4</w:t>
      </w:r>
      <w:r>
        <w:rPr>
          <w:sz w:val="24"/>
          <w:szCs w:val="24"/>
        </w:rPr>
        <w:t xml:space="preserve">  当采用胶片成像时，曝光后胶片上检测部位本体的黑度值应在</w:t>
      </w:r>
      <w:r>
        <w:rPr>
          <w:color w:val="000000" w:themeColor="text1"/>
          <w:sz w:val="24"/>
          <w:szCs w:val="24"/>
          <w14:textFill>
            <w14:solidFill>
              <w14:schemeClr w14:val="tx1"/>
            </w14:solidFill>
          </w14:textFill>
        </w:rPr>
        <w:t>2.0~3.0</w:t>
      </w:r>
      <w:r>
        <w:rPr>
          <w:sz w:val="24"/>
          <w:szCs w:val="24"/>
        </w:rPr>
        <w:t>之间。</w:t>
      </w:r>
    </w:p>
    <w:p>
      <w:pPr>
        <w:spacing w:line="360" w:lineRule="auto"/>
        <w:rPr>
          <w:sz w:val="24"/>
          <w:szCs w:val="24"/>
        </w:rPr>
      </w:pPr>
      <w:r>
        <w:rPr>
          <w:b/>
          <w:sz w:val="24"/>
          <w:szCs w:val="24"/>
        </w:rPr>
        <w:t xml:space="preserve">H.0.4  </w:t>
      </w:r>
      <w:r>
        <w:rPr>
          <w:sz w:val="24"/>
          <w:szCs w:val="24"/>
        </w:rPr>
        <w:t>检测前的准备工作应符合下列规定：</w:t>
      </w:r>
    </w:p>
    <w:p>
      <w:pPr>
        <w:pStyle w:val="72"/>
        <w:spacing w:line="360" w:lineRule="auto"/>
        <w:ind w:firstLine="482"/>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1  </w:t>
      </w:r>
      <w:r>
        <w:rPr>
          <w:color w:val="000000" w:themeColor="text1"/>
          <w:sz w:val="24"/>
          <w:szCs w:val="24"/>
          <w14:textFill>
            <w14:solidFill>
              <w14:schemeClr w14:val="tx1"/>
            </w14:solidFill>
          </w14:textFill>
        </w:rPr>
        <w:t>当检测灌浆饱满度时，</w:t>
      </w:r>
      <w:r>
        <w:rPr>
          <w:bCs/>
          <w:color w:val="000000" w:themeColor="text1"/>
          <w:sz w:val="24"/>
          <w:szCs w:val="24"/>
          <w14:textFill>
            <w14:solidFill>
              <w14:schemeClr w14:val="tx1"/>
            </w14:solidFill>
          </w14:textFill>
        </w:rPr>
        <w:t>灌浆料龄期不宜低于7d；</w:t>
      </w:r>
    </w:p>
    <w:p>
      <w:pPr>
        <w:pStyle w:val="72"/>
        <w:spacing w:line="360" w:lineRule="auto"/>
        <w:ind w:firstLine="482"/>
        <w:rPr>
          <w:sz w:val="24"/>
          <w:szCs w:val="24"/>
        </w:rPr>
      </w:pPr>
      <w:r>
        <w:rPr>
          <w:b/>
          <w:bCs/>
          <w:sz w:val="24"/>
          <w:szCs w:val="24"/>
        </w:rPr>
        <w:t>2</w:t>
      </w:r>
      <w:r>
        <w:rPr>
          <w:sz w:val="24"/>
          <w:szCs w:val="24"/>
        </w:rPr>
        <w:t xml:space="preserve">  对检测设备及辐射报警装置应进行检查，确保所有设备运转正常；</w:t>
      </w:r>
    </w:p>
    <w:p>
      <w:pPr>
        <w:pStyle w:val="72"/>
        <w:spacing w:line="360" w:lineRule="auto"/>
        <w:ind w:firstLine="482"/>
        <w:rPr>
          <w:sz w:val="24"/>
          <w:szCs w:val="24"/>
        </w:rPr>
      </w:pPr>
      <w:r>
        <w:rPr>
          <w:b/>
          <w:sz w:val="24"/>
          <w:szCs w:val="24"/>
        </w:rPr>
        <w:t xml:space="preserve">3  </w:t>
      </w:r>
      <w:r>
        <w:rPr>
          <w:sz w:val="24"/>
          <w:szCs w:val="24"/>
        </w:rPr>
        <w:t>对相关信息应进行记录，宜包括工程名称、构件位置、套筒位置、检测人员等</w:t>
      </w:r>
      <w:r>
        <w:rPr>
          <w:rFonts w:hint="eastAsia"/>
          <w:sz w:val="24"/>
          <w:szCs w:val="24"/>
        </w:rPr>
        <w:t>信息</w:t>
      </w:r>
      <w:r>
        <w:rPr>
          <w:sz w:val="24"/>
          <w:szCs w:val="24"/>
        </w:rPr>
        <w:t>。</w:t>
      </w:r>
    </w:p>
    <w:p>
      <w:pPr>
        <w:spacing w:line="360" w:lineRule="auto"/>
        <w:rPr>
          <w:sz w:val="24"/>
          <w:szCs w:val="24"/>
        </w:rPr>
      </w:pPr>
      <w:r>
        <w:rPr>
          <w:b/>
          <w:sz w:val="24"/>
          <w:szCs w:val="24"/>
        </w:rPr>
        <w:t xml:space="preserve">H.0.5  </w:t>
      </w:r>
      <w:r>
        <w:rPr>
          <w:sz w:val="24"/>
          <w:szCs w:val="24"/>
        </w:rPr>
        <w:t>现场检测应符合下列规定：</w:t>
      </w:r>
    </w:p>
    <w:p>
      <w:pPr>
        <w:pStyle w:val="72"/>
        <w:spacing w:line="360" w:lineRule="auto"/>
        <w:ind w:firstLine="482"/>
        <w:rPr>
          <w:sz w:val="24"/>
          <w:szCs w:val="24"/>
        </w:rPr>
      </w:pPr>
      <w:r>
        <w:rPr>
          <w:b/>
          <w:sz w:val="24"/>
          <w:szCs w:val="24"/>
        </w:rPr>
        <w:t xml:space="preserve">1  </w:t>
      </w:r>
      <w:r>
        <w:rPr>
          <w:sz w:val="24"/>
          <w:szCs w:val="24"/>
        </w:rPr>
        <w:t>选择合适的透照工艺，必要时可通过试验确定各项参数；</w:t>
      </w:r>
    </w:p>
    <w:p>
      <w:pPr>
        <w:pStyle w:val="72"/>
        <w:spacing w:line="360" w:lineRule="auto"/>
        <w:ind w:firstLine="482"/>
        <w:rPr>
          <w:sz w:val="24"/>
          <w:szCs w:val="24"/>
        </w:rPr>
      </w:pPr>
      <w:r>
        <w:rPr>
          <w:b/>
          <w:sz w:val="24"/>
          <w:szCs w:val="24"/>
        </w:rPr>
        <w:t xml:space="preserve">2  </w:t>
      </w:r>
      <w:r>
        <w:rPr>
          <w:sz w:val="24"/>
          <w:szCs w:val="24"/>
        </w:rPr>
        <w:t>成像装置宜贴紧构件表面，且有效成像区域应覆盖待检测的部位；</w:t>
      </w:r>
    </w:p>
    <w:p>
      <w:pPr>
        <w:pStyle w:val="72"/>
        <w:spacing w:line="360" w:lineRule="auto"/>
        <w:ind w:firstLine="482"/>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3  </w:t>
      </w:r>
      <w:r>
        <w:rPr>
          <w:color w:val="000000" w:themeColor="text1"/>
          <w:sz w:val="24"/>
          <w:szCs w:val="24"/>
          <w14:textFill>
            <w14:solidFill>
              <w14:schemeClr w14:val="tx1"/>
            </w14:solidFill>
          </w14:textFill>
        </w:rPr>
        <w:t>透照时X射线束应指向透照区中心，并宜选择有利于发现缺陷的方向透照；</w:t>
      </w:r>
    </w:p>
    <w:p>
      <w:pPr>
        <w:pStyle w:val="72"/>
        <w:spacing w:line="360" w:lineRule="auto"/>
        <w:ind w:firstLine="482"/>
        <w:rPr>
          <w:color w:val="000000" w:themeColor="text1"/>
          <w:sz w:val="24"/>
          <w:szCs w:val="24"/>
          <w14:textFill>
            <w14:solidFill>
              <w14:schemeClr w14:val="tx1"/>
            </w14:solidFill>
          </w14:textFill>
        </w:rPr>
      </w:pPr>
      <w:r>
        <w:rPr>
          <w:b/>
          <w:sz w:val="24"/>
          <w:szCs w:val="24"/>
        </w:rPr>
        <w:t>4</w:t>
      </w:r>
      <w:r>
        <w:rPr>
          <w:color w:val="000000" w:themeColor="text1"/>
          <w:sz w:val="24"/>
          <w:szCs w:val="24"/>
          <w14:textFill>
            <w14:solidFill>
              <w14:schemeClr w14:val="tx1"/>
            </w14:solidFill>
          </w14:textFill>
        </w:rPr>
        <w:t xml:space="preserve">  应调节X射线机的焦距并设置管电压、管电流、曝光时间和延迟开启时间；</w:t>
      </w:r>
    </w:p>
    <w:p>
      <w:pPr>
        <w:pStyle w:val="72"/>
        <w:spacing w:line="360" w:lineRule="auto"/>
        <w:ind w:firstLine="482"/>
        <w:rPr>
          <w:sz w:val="24"/>
          <w:szCs w:val="24"/>
        </w:rPr>
      </w:pPr>
      <w:r>
        <w:rPr>
          <w:b/>
          <w:sz w:val="24"/>
          <w:szCs w:val="24"/>
        </w:rPr>
        <w:t xml:space="preserve">5  </w:t>
      </w:r>
      <w:r>
        <w:rPr>
          <w:sz w:val="24"/>
          <w:szCs w:val="24"/>
        </w:rPr>
        <w:t>应确保现场人员均处于安全区域后开启透照曝光，曝光完成后，应关闭射线机高压并确认检测区域处于安全状态后取下成像装置；</w:t>
      </w:r>
    </w:p>
    <w:p>
      <w:pPr>
        <w:pStyle w:val="72"/>
        <w:spacing w:line="360" w:lineRule="auto"/>
        <w:ind w:firstLine="482"/>
        <w:rPr>
          <w:sz w:val="24"/>
          <w:szCs w:val="24"/>
        </w:rPr>
      </w:pPr>
      <w:r>
        <w:rPr>
          <w:b/>
          <w:bCs/>
          <w:sz w:val="24"/>
          <w:szCs w:val="24"/>
        </w:rPr>
        <w:t xml:space="preserve">6  </w:t>
      </w:r>
      <w:r>
        <w:rPr>
          <w:sz w:val="24"/>
          <w:szCs w:val="24"/>
        </w:rPr>
        <w:t>应记录管电压、管电流、焦距等检测信息和数据，并应存储检测结果图像</w:t>
      </w:r>
      <w:r>
        <w:rPr>
          <w:rFonts w:hint="eastAsia"/>
          <w:sz w:val="24"/>
          <w:szCs w:val="24"/>
        </w:rPr>
        <w:t>；</w:t>
      </w:r>
    </w:p>
    <w:p>
      <w:pPr>
        <w:pStyle w:val="72"/>
        <w:spacing w:line="360" w:lineRule="auto"/>
        <w:ind w:firstLine="482"/>
        <w:rPr>
          <w:color w:val="000000" w:themeColor="text1"/>
          <w:sz w:val="24"/>
          <w:szCs w:val="24"/>
          <w14:textFill>
            <w14:solidFill>
              <w14:schemeClr w14:val="tx1"/>
            </w14:solidFill>
          </w14:textFill>
        </w:rPr>
      </w:pPr>
      <w:r>
        <w:rPr>
          <w:rFonts w:hint="eastAsia"/>
          <w:b/>
          <w:bCs/>
          <w:sz w:val="24"/>
          <w:szCs w:val="24"/>
        </w:rPr>
        <w:t>7</w:t>
      </w:r>
      <w:r>
        <w:rPr>
          <w:rFonts w:hint="eastAsia"/>
          <w:color w:val="FF0000"/>
          <w:sz w:val="24"/>
          <w:szCs w:val="24"/>
        </w:rPr>
        <w:t xml:space="preserve">  </w:t>
      </w:r>
      <w:r>
        <w:rPr>
          <w:rFonts w:hint="eastAsia"/>
          <w:color w:val="000000" w:themeColor="text1"/>
          <w:sz w:val="24"/>
          <w:szCs w:val="24"/>
          <w14:textFill>
            <w14:solidFill>
              <w14:schemeClr w14:val="tx1"/>
            </w14:solidFill>
          </w14:textFill>
        </w:rPr>
        <w:t>应根据所用射线强度计算电离辐射安全距离，应确保非</w:t>
      </w:r>
      <w:r>
        <w:rPr>
          <w:color w:val="000000" w:themeColor="text1"/>
          <w:sz w:val="24"/>
          <w:szCs w:val="24"/>
          <w14:textFill>
            <w14:solidFill>
              <w14:schemeClr w14:val="tx1"/>
            </w14:solidFill>
          </w14:textFill>
        </w:rPr>
        <w:t>检测</w:t>
      </w:r>
      <w:r>
        <w:rPr>
          <w:rFonts w:hint="eastAsia"/>
          <w:color w:val="000000" w:themeColor="text1"/>
          <w:sz w:val="24"/>
          <w:szCs w:val="24"/>
          <w14:textFill>
            <w14:solidFill>
              <w14:schemeClr w14:val="tx1"/>
            </w14:solidFill>
          </w14:textFill>
        </w:rPr>
        <w:t>工作人员及时撤离电离辐射区，并应在安全距离2米以外拉警戒绳、挂警戒灯，行人路口应设置警示牌，并应派人驻守。</w:t>
      </w:r>
    </w:p>
    <w:p>
      <w:pPr>
        <w:spacing w:line="360" w:lineRule="auto"/>
        <w:rPr>
          <w:sz w:val="24"/>
          <w:szCs w:val="24"/>
        </w:rPr>
      </w:pPr>
      <w:r>
        <w:rPr>
          <w:b/>
          <w:sz w:val="24"/>
          <w:szCs w:val="24"/>
        </w:rPr>
        <w:t xml:space="preserve">H.0.6  </w:t>
      </w:r>
      <w:r>
        <w:rPr>
          <w:sz w:val="24"/>
          <w:szCs w:val="24"/>
        </w:rPr>
        <w:t>当结构实体不满足无损检测的条件时，可采用剔除混凝土保护层的局部破损方法进行</w:t>
      </w:r>
      <w:r>
        <w:rPr>
          <w:color w:val="000000" w:themeColor="text1"/>
          <w:sz w:val="24"/>
          <w:szCs w:val="24"/>
          <w14:textFill>
            <w14:solidFill>
              <w14:schemeClr w14:val="tx1"/>
            </w14:solidFill>
          </w14:textFill>
        </w:rPr>
        <w:t>检测（图H.0.6），检</w:t>
      </w:r>
      <w:r>
        <w:rPr>
          <w:sz w:val="24"/>
          <w:szCs w:val="24"/>
        </w:rPr>
        <w:t>测完成后，应对破损区域进行修复处理。</w:t>
      </w:r>
    </w:p>
    <w:p>
      <w:pPr>
        <w:spacing w:before="120" w:line="480" w:lineRule="auto"/>
        <w:jc w:val="center"/>
        <w:rPr>
          <w:b/>
          <w:color w:val="000000"/>
          <w:sz w:val="24"/>
          <w:szCs w:val="24"/>
        </w:rPr>
      </w:pPr>
      <w:r>
        <w:rPr>
          <w:b/>
          <w:color w:val="000000"/>
          <w:sz w:val="24"/>
          <w:szCs w:val="24"/>
        </w:rPr>
        <w:drawing>
          <wp:inline distT="0" distB="0" distL="0" distR="0">
            <wp:extent cx="2266950" cy="1898650"/>
            <wp:effectExtent l="0" t="0" r="0" b="0"/>
            <wp:docPr id="1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true" noChangeArrowheads="true"/>
                    </pic:cNvPicPr>
                  </pic:nvPicPr>
                  <pic:blipFill>
                    <a:blip r:embed="rId259" cstate="print"/>
                    <a:srcRect/>
                    <a:stretch>
                      <a:fillRect/>
                    </a:stretch>
                  </pic:blipFill>
                  <pic:spPr>
                    <a:xfrm>
                      <a:off x="0" y="0"/>
                      <a:ext cx="2266950" cy="1898650"/>
                    </a:xfrm>
                    <a:prstGeom prst="rect">
                      <a:avLst/>
                    </a:prstGeom>
                    <a:noFill/>
                    <a:ln w="9525">
                      <a:noFill/>
                      <a:miter lim="800000"/>
                      <a:headEnd/>
                      <a:tailEnd/>
                    </a:ln>
                  </pic:spPr>
                </pic:pic>
              </a:graphicData>
            </a:graphic>
          </wp:inline>
        </w:drawing>
      </w:r>
    </w:p>
    <w:p>
      <w:pPr>
        <w:jc w:val="center"/>
        <w:rPr>
          <w:rFonts w:eastAsiaTheme="minorEastAsia"/>
          <w:szCs w:val="21"/>
        </w:rPr>
      </w:pPr>
      <w:r>
        <w:rPr>
          <w:rFonts w:eastAsiaTheme="minorEastAsia"/>
          <w:szCs w:val="21"/>
        </w:rPr>
        <w:t>1—灌浆套筒；2—成像装置；3—射线机；4—射线机窗口；5—剔凿区域；</w:t>
      </w:r>
    </w:p>
    <w:p>
      <w:pPr>
        <w:jc w:val="center"/>
        <w:rPr>
          <w:rFonts w:eastAsiaTheme="minorEastAsia"/>
          <w:sz w:val="24"/>
          <w:szCs w:val="24"/>
        </w:rPr>
      </w:pPr>
      <w:r>
        <w:rPr>
          <w:rFonts w:eastAsiaTheme="minorEastAsia"/>
          <w:szCs w:val="21"/>
        </w:rPr>
        <w:t>6—钢筋；7—预制构件</w:t>
      </w:r>
    </w:p>
    <w:p>
      <w:pPr>
        <w:pStyle w:val="78"/>
        <w:spacing w:after="120"/>
        <w:rPr>
          <w:rFonts w:ascii="Times New Roman" w:hAnsi="Times New Roman" w:cs="Times New Roman" w:eastAsiaTheme="minorEastAsia"/>
          <w:b/>
        </w:rPr>
      </w:pPr>
      <w:r>
        <w:rPr>
          <w:rFonts w:ascii="Times New Roman" w:hAnsi="Times New Roman" w:cs="Times New Roman" w:eastAsiaTheme="minorEastAsia"/>
          <w:b/>
        </w:rPr>
        <w:t>图H.0.6 局部破损检测示意图</w:t>
      </w:r>
    </w:p>
    <w:p>
      <w:pPr>
        <w:spacing w:line="360" w:lineRule="auto"/>
        <w:rPr>
          <w:sz w:val="24"/>
          <w:szCs w:val="24"/>
        </w:rPr>
      </w:pPr>
      <w:r>
        <w:rPr>
          <w:b/>
          <w:sz w:val="24"/>
          <w:szCs w:val="24"/>
        </w:rPr>
        <w:t xml:space="preserve">H.0.7  </w:t>
      </w:r>
      <w:r>
        <w:rPr>
          <w:sz w:val="24"/>
          <w:szCs w:val="24"/>
        </w:rPr>
        <w:t>当需要对检测结果进行尺寸测量时，应考虑透射照相的投影关系，并应通过已知尺寸对测量数值进行修正。</w:t>
      </w:r>
    </w:p>
    <w:p>
      <w:pPr>
        <w:adjustRightInd w:val="0"/>
        <w:snapToGrid w:val="0"/>
        <w:spacing w:line="360" w:lineRule="auto"/>
        <w:rPr>
          <w:sz w:val="24"/>
          <w:szCs w:val="24"/>
        </w:rPr>
      </w:pPr>
      <w:r>
        <w:rPr>
          <w:b/>
          <w:bCs/>
          <w:sz w:val="24"/>
          <w:szCs w:val="24"/>
        </w:rPr>
        <w:t>H.0.8</w:t>
      </w:r>
      <w:r>
        <w:rPr>
          <w:sz w:val="24"/>
          <w:szCs w:val="24"/>
        </w:rPr>
        <w:t xml:space="preserve">  套筒灌浆饱满度的检测应符合下列规定：</w:t>
      </w:r>
    </w:p>
    <w:p>
      <w:pPr>
        <w:pStyle w:val="72"/>
        <w:spacing w:line="360" w:lineRule="auto"/>
        <w:ind w:firstLine="482"/>
        <w:rPr>
          <w:sz w:val="24"/>
          <w:szCs w:val="24"/>
        </w:rPr>
      </w:pPr>
      <w:r>
        <w:rPr>
          <w:b/>
          <w:sz w:val="24"/>
          <w:szCs w:val="24"/>
        </w:rPr>
        <w:t xml:space="preserve">1  </w:t>
      </w:r>
      <w:r>
        <w:rPr>
          <w:sz w:val="24"/>
          <w:szCs w:val="24"/>
        </w:rPr>
        <w:t>宜结合黑度值或灰度值识别灌浆料顶部界面及连接钢筋的轮廓；</w:t>
      </w:r>
    </w:p>
    <w:p>
      <w:pPr>
        <w:pStyle w:val="72"/>
        <w:spacing w:line="360" w:lineRule="auto"/>
        <w:ind w:firstLine="482"/>
        <w:rPr>
          <w:sz w:val="24"/>
          <w:szCs w:val="24"/>
        </w:rPr>
      </w:pPr>
      <w:r>
        <w:rPr>
          <w:b/>
          <w:sz w:val="24"/>
          <w:szCs w:val="24"/>
        </w:rPr>
        <w:t xml:space="preserve">2  </w:t>
      </w:r>
      <w:r>
        <w:rPr>
          <w:sz w:val="24"/>
          <w:szCs w:val="24"/>
        </w:rPr>
        <w:t>当套筒内部出现除钢筋轮廓以外的灰度差或黑度差时，若灰度差或黑度差分界线不低于套筒出浆孔，则可判定灌浆饱满；若灰度差或黑度差分界线低于套筒出浆孔，则应判定灌浆不饱满；</w:t>
      </w:r>
    </w:p>
    <w:p>
      <w:pPr>
        <w:pStyle w:val="72"/>
        <w:spacing w:line="360" w:lineRule="auto"/>
        <w:ind w:firstLine="482"/>
        <w:rPr>
          <w:sz w:val="24"/>
          <w:szCs w:val="24"/>
        </w:rPr>
      </w:pPr>
      <w:r>
        <w:rPr>
          <w:b/>
          <w:sz w:val="24"/>
          <w:szCs w:val="24"/>
        </w:rPr>
        <w:t xml:space="preserve">3  </w:t>
      </w:r>
      <w:r>
        <w:rPr>
          <w:sz w:val="24"/>
          <w:szCs w:val="24"/>
        </w:rPr>
        <w:t>当套筒内未识别出灌浆料顶部界面时，应采取钻孔内窥法等其他手段进行检测；</w:t>
      </w:r>
    </w:p>
    <w:p>
      <w:pPr>
        <w:pStyle w:val="72"/>
        <w:spacing w:line="360" w:lineRule="auto"/>
        <w:ind w:firstLine="482"/>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4  </w:t>
      </w:r>
      <w:r>
        <w:rPr>
          <w:color w:val="000000" w:themeColor="text1"/>
          <w:sz w:val="24"/>
          <w:szCs w:val="24"/>
          <w14:textFill>
            <w14:solidFill>
              <w14:schemeClr w14:val="tx1"/>
            </w14:solidFill>
          </w14:textFill>
        </w:rPr>
        <w:t>当判断为灌浆不饱满时，应给出灌浆不饱满的缺陷长度。</w:t>
      </w:r>
    </w:p>
    <w:p>
      <w:pPr>
        <w:pStyle w:val="72"/>
        <w:spacing w:line="360" w:lineRule="auto"/>
        <w:ind w:firstLine="0" w:firstLineChars="0"/>
        <w:rPr>
          <w:sz w:val="24"/>
          <w:szCs w:val="24"/>
        </w:rPr>
      </w:pPr>
      <w:r>
        <w:rPr>
          <w:b/>
          <w:bCs/>
          <w:sz w:val="24"/>
          <w:szCs w:val="24"/>
        </w:rPr>
        <w:t>H.0.9</w:t>
      </w:r>
      <w:r>
        <w:rPr>
          <w:sz w:val="24"/>
          <w:szCs w:val="24"/>
        </w:rPr>
        <w:t xml:space="preserve">  钢筋插入长度的检测应符合下列规定：</w:t>
      </w:r>
    </w:p>
    <w:p>
      <w:pPr>
        <w:pStyle w:val="72"/>
        <w:spacing w:line="360" w:lineRule="auto"/>
        <w:ind w:firstLine="482"/>
        <w:rPr>
          <w:sz w:val="24"/>
          <w:szCs w:val="24"/>
        </w:rPr>
      </w:pPr>
      <w:r>
        <w:rPr>
          <w:b/>
          <w:bCs/>
          <w:sz w:val="24"/>
          <w:szCs w:val="24"/>
        </w:rPr>
        <w:t>1</w:t>
      </w:r>
      <w:r>
        <w:rPr>
          <w:sz w:val="24"/>
          <w:szCs w:val="24"/>
        </w:rPr>
        <w:t xml:space="preserve">  当图像中完整呈现插入钢筋的轮廓时，应测量钢筋插入长度，当检测结果不小于设计要求时，应判定钢筋插入长度符合设计要求；</w:t>
      </w:r>
    </w:p>
    <w:p>
      <w:pPr>
        <w:pStyle w:val="72"/>
        <w:spacing w:line="360" w:lineRule="auto"/>
        <w:ind w:firstLine="482"/>
        <w:rPr>
          <w:sz w:val="24"/>
          <w:szCs w:val="24"/>
        </w:rPr>
      </w:pPr>
      <w:r>
        <w:rPr>
          <w:b/>
          <w:bCs/>
          <w:sz w:val="24"/>
          <w:szCs w:val="24"/>
        </w:rPr>
        <w:t>2</w:t>
      </w:r>
      <w:r>
        <w:rPr>
          <w:sz w:val="24"/>
          <w:szCs w:val="24"/>
        </w:rPr>
        <w:t xml:space="preserve">  当图像中未完整呈现插入钢筋的轮廓时，应给出所检部位是否有钢筋的结论，并应给出钢筋端部与套筒关键特征点的距离，不宜对钢筋插入长度的符合性进行判定；</w:t>
      </w:r>
    </w:p>
    <w:p>
      <w:pPr>
        <w:pStyle w:val="72"/>
        <w:spacing w:line="360" w:lineRule="auto"/>
        <w:ind w:firstLine="482"/>
        <w:rPr>
          <w:sz w:val="24"/>
          <w:szCs w:val="24"/>
        </w:rPr>
      </w:pPr>
      <w:r>
        <w:rPr>
          <w:b/>
          <w:bCs/>
          <w:sz w:val="24"/>
          <w:szCs w:val="24"/>
        </w:rPr>
        <w:t>3</w:t>
      </w:r>
      <w:r>
        <w:rPr>
          <w:sz w:val="24"/>
          <w:szCs w:val="24"/>
        </w:rPr>
        <w:t xml:space="preserve">  当发现插入钢筋未与下部生根构件锚固时，应判定钢筋插入长度不符合设计要求。</w:t>
      </w:r>
      <w:r>
        <w:rPr>
          <w:bCs/>
          <w:sz w:val="24"/>
          <w:szCs w:val="24"/>
        </w:rPr>
        <w:br w:type="page"/>
      </w:r>
    </w:p>
    <w:bookmarkEnd w:id="119"/>
    <w:p>
      <w:pPr>
        <w:pStyle w:val="72"/>
        <w:keepNext w:val="0"/>
        <w:keepLines w:val="0"/>
        <w:pageBreakBefore w:val="0"/>
        <w:widowControl w:val="0"/>
        <w:kinsoku/>
        <w:wordWrap/>
        <w:overflowPunct/>
        <w:topLinePunct w:val="0"/>
        <w:autoSpaceDE/>
        <w:autoSpaceDN/>
        <w:bidi w:val="0"/>
        <w:adjustRightInd w:val="0"/>
        <w:snapToGrid w:val="0"/>
        <w:spacing w:after="0" w:afterLines="100" w:line="360" w:lineRule="auto"/>
        <w:ind w:left="0" w:leftChars="0" w:firstLine="0" w:firstLineChars="0"/>
        <w:jc w:val="center"/>
        <w:textAlignment w:val="auto"/>
        <w:rPr>
          <w:b/>
          <w:sz w:val="28"/>
          <w:szCs w:val="28"/>
        </w:rPr>
      </w:pPr>
      <w:bookmarkStart w:id="157" w:name="_Toc120020306"/>
      <w:r>
        <w:rPr>
          <w:b/>
          <w:sz w:val="28"/>
          <w:szCs w:val="28"/>
        </w:rPr>
        <w:t>本标准用词说明</w:t>
      </w:r>
      <w:bookmarkEnd w:id="120"/>
      <w:bookmarkEnd w:id="121"/>
      <w:bookmarkEnd w:id="157"/>
      <w:r>
        <w:rPr>
          <w:b/>
          <w:kern w:val="44"/>
          <w:sz w:val="32"/>
          <w:szCs w:val="32"/>
        </w:rPr>
        <w:fldChar w:fldCharType="begin"/>
      </w:r>
      <w:r>
        <w:rPr>
          <w:b/>
          <w:kern w:val="44"/>
          <w:sz w:val="32"/>
          <w:szCs w:val="32"/>
        </w:rPr>
        <w:instrText xml:space="preserve"> TC  "</w:instrText>
      </w:r>
      <w:bookmarkStart w:id="158" w:name="_Toc108470256"/>
      <w:bookmarkStart w:id="159" w:name="_Toc135038286"/>
      <w:r>
        <w:rPr>
          <w:b/>
          <w:kern w:val="44"/>
          <w:sz w:val="32"/>
          <w:szCs w:val="32"/>
        </w:rPr>
        <w:instrText xml:space="preserve">Explanation of wording</w:instrText>
      </w:r>
      <w:bookmarkEnd w:id="158"/>
      <w:bookmarkEnd w:id="159"/>
      <w:r>
        <w:rPr>
          <w:b/>
          <w:kern w:val="44"/>
          <w:sz w:val="32"/>
          <w:szCs w:val="32"/>
        </w:rPr>
        <w:instrText xml:space="preserve">" \l 1 </w:instrText>
      </w:r>
      <w:r>
        <w:rPr>
          <w:b/>
          <w:kern w:val="44"/>
          <w:sz w:val="32"/>
          <w:szCs w:val="32"/>
        </w:rPr>
        <w:fldChar w:fldCharType="end"/>
      </w:r>
    </w:p>
    <w:p>
      <w:pPr>
        <w:spacing w:line="360" w:lineRule="auto"/>
        <w:ind w:firstLine="481" w:firstLineChars="200"/>
        <w:rPr>
          <w:sz w:val="24"/>
          <w:szCs w:val="24"/>
        </w:rPr>
      </w:pPr>
      <w:r>
        <w:rPr>
          <w:b/>
          <w:sz w:val="24"/>
          <w:szCs w:val="24"/>
        </w:rPr>
        <w:t>1</w:t>
      </w:r>
      <w:r>
        <w:rPr>
          <w:sz w:val="24"/>
          <w:szCs w:val="24"/>
        </w:rPr>
        <w:t xml:space="preserve">  为了便于在执行本标准条文时区别对待，对要求严格程度不同的用词说明如下：</w:t>
      </w:r>
    </w:p>
    <w:p>
      <w:pPr>
        <w:spacing w:line="360" w:lineRule="auto"/>
        <w:ind w:firstLine="481" w:firstLineChars="200"/>
        <w:rPr>
          <w:sz w:val="24"/>
          <w:szCs w:val="24"/>
        </w:rPr>
      </w:pPr>
      <w:r>
        <w:rPr>
          <w:b/>
          <w:sz w:val="24"/>
          <w:szCs w:val="24"/>
        </w:rPr>
        <w:t>1）</w:t>
      </w:r>
      <w:r>
        <w:rPr>
          <w:sz w:val="24"/>
          <w:szCs w:val="24"/>
        </w:rPr>
        <w:t xml:space="preserve">  表示很严格，非这样做不可的</w:t>
      </w:r>
      <w:r>
        <w:rPr>
          <w:rFonts w:hint="eastAsia"/>
          <w:sz w:val="24"/>
          <w:szCs w:val="24"/>
        </w:rPr>
        <w:t>用词</w:t>
      </w:r>
      <w:r>
        <w:rPr>
          <w:sz w:val="24"/>
          <w:szCs w:val="24"/>
        </w:rPr>
        <w:t>：</w:t>
      </w:r>
    </w:p>
    <w:p>
      <w:pPr>
        <w:spacing w:line="360" w:lineRule="auto"/>
        <w:ind w:firstLine="1080" w:firstLineChars="450"/>
        <w:rPr>
          <w:sz w:val="24"/>
          <w:szCs w:val="24"/>
        </w:rPr>
      </w:pPr>
      <w:r>
        <w:rPr>
          <w:sz w:val="24"/>
          <w:szCs w:val="24"/>
        </w:rPr>
        <w:t>正面词采用“必须”；反面词采用“严禁”。</w:t>
      </w:r>
    </w:p>
    <w:p>
      <w:pPr>
        <w:spacing w:line="360" w:lineRule="auto"/>
        <w:ind w:firstLine="481" w:firstLineChars="200"/>
        <w:rPr>
          <w:sz w:val="24"/>
          <w:szCs w:val="24"/>
        </w:rPr>
      </w:pPr>
      <w:r>
        <w:rPr>
          <w:b/>
          <w:sz w:val="24"/>
          <w:szCs w:val="24"/>
        </w:rPr>
        <w:t>2）</w:t>
      </w:r>
      <w:r>
        <w:rPr>
          <w:sz w:val="24"/>
          <w:szCs w:val="24"/>
        </w:rPr>
        <w:t xml:space="preserve">  表示严格，在正常情况下均应这样做的</w:t>
      </w:r>
      <w:r>
        <w:rPr>
          <w:rFonts w:hint="eastAsia"/>
          <w:sz w:val="24"/>
          <w:szCs w:val="24"/>
        </w:rPr>
        <w:t>用词</w:t>
      </w:r>
      <w:r>
        <w:rPr>
          <w:sz w:val="24"/>
          <w:szCs w:val="24"/>
        </w:rPr>
        <w:t>：</w:t>
      </w:r>
    </w:p>
    <w:p>
      <w:pPr>
        <w:spacing w:line="360" w:lineRule="auto"/>
        <w:ind w:firstLine="1080" w:firstLineChars="450"/>
        <w:rPr>
          <w:sz w:val="24"/>
          <w:szCs w:val="24"/>
        </w:rPr>
      </w:pPr>
      <w:r>
        <w:rPr>
          <w:sz w:val="24"/>
          <w:szCs w:val="24"/>
        </w:rPr>
        <w:t>正面词采用“应”；反面词采用“不应”或“不得”。</w:t>
      </w:r>
    </w:p>
    <w:p>
      <w:pPr>
        <w:spacing w:line="360" w:lineRule="auto"/>
        <w:ind w:firstLine="481" w:firstLineChars="200"/>
        <w:rPr>
          <w:sz w:val="24"/>
          <w:szCs w:val="24"/>
        </w:rPr>
      </w:pPr>
      <w:r>
        <w:rPr>
          <w:b/>
          <w:sz w:val="24"/>
          <w:szCs w:val="24"/>
        </w:rPr>
        <w:t>3）</w:t>
      </w:r>
      <w:r>
        <w:rPr>
          <w:sz w:val="24"/>
          <w:szCs w:val="24"/>
        </w:rPr>
        <w:t xml:space="preserve">  表示允许稍有选择，在条件许可时首先应这样做的</w:t>
      </w:r>
      <w:r>
        <w:rPr>
          <w:rFonts w:hint="eastAsia"/>
          <w:sz w:val="24"/>
          <w:szCs w:val="24"/>
        </w:rPr>
        <w:t>用词</w:t>
      </w:r>
      <w:r>
        <w:rPr>
          <w:sz w:val="24"/>
          <w:szCs w:val="24"/>
        </w:rPr>
        <w:t>：</w:t>
      </w:r>
    </w:p>
    <w:p>
      <w:pPr>
        <w:spacing w:line="360" w:lineRule="auto"/>
        <w:ind w:firstLine="1080" w:firstLineChars="450"/>
        <w:rPr>
          <w:sz w:val="24"/>
          <w:szCs w:val="24"/>
        </w:rPr>
      </w:pPr>
      <w:r>
        <w:rPr>
          <w:sz w:val="24"/>
          <w:szCs w:val="24"/>
        </w:rPr>
        <w:t>正面词采用“宜”；反面词采用“不宜”。</w:t>
      </w:r>
    </w:p>
    <w:p>
      <w:pPr>
        <w:spacing w:line="360" w:lineRule="auto"/>
        <w:ind w:firstLine="481" w:firstLineChars="200"/>
        <w:rPr>
          <w:sz w:val="24"/>
          <w:szCs w:val="24"/>
        </w:rPr>
      </w:pPr>
      <w:r>
        <w:rPr>
          <w:b/>
          <w:sz w:val="24"/>
          <w:szCs w:val="24"/>
        </w:rPr>
        <w:t>4）</w:t>
      </w:r>
      <w:r>
        <w:rPr>
          <w:sz w:val="24"/>
          <w:szCs w:val="24"/>
        </w:rPr>
        <w:t xml:space="preserve">  表示有选择，在一定条件下可以这样做的</w:t>
      </w:r>
      <w:r>
        <w:rPr>
          <w:rFonts w:hint="eastAsia"/>
          <w:sz w:val="24"/>
          <w:szCs w:val="24"/>
        </w:rPr>
        <w:t>用词</w:t>
      </w:r>
      <w:r>
        <w:rPr>
          <w:sz w:val="24"/>
          <w:szCs w:val="24"/>
        </w:rPr>
        <w:t>，采用“可”。</w:t>
      </w:r>
    </w:p>
    <w:p>
      <w:pPr>
        <w:spacing w:line="360" w:lineRule="auto"/>
        <w:ind w:firstLine="481" w:firstLineChars="200"/>
        <w:rPr>
          <w:b/>
          <w:sz w:val="24"/>
          <w:szCs w:val="24"/>
        </w:rPr>
      </w:pPr>
      <w:r>
        <w:rPr>
          <w:b/>
          <w:sz w:val="24"/>
          <w:szCs w:val="24"/>
        </w:rPr>
        <w:t xml:space="preserve">2  </w:t>
      </w:r>
      <w:r>
        <w:rPr>
          <w:rFonts w:hint="eastAsia"/>
          <w:sz w:val="24"/>
          <w:szCs w:val="24"/>
        </w:rPr>
        <w:t>本</w:t>
      </w:r>
      <w:r>
        <w:rPr>
          <w:sz w:val="24"/>
          <w:szCs w:val="24"/>
        </w:rPr>
        <w:t>标准中指</w:t>
      </w:r>
      <w:r>
        <w:rPr>
          <w:rFonts w:hint="eastAsia"/>
          <w:sz w:val="24"/>
          <w:szCs w:val="24"/>
        </w:rPr>
        <w:t>明</w:t>
      </w:r>
      <w:r>
        <w:rPr>
          <w:sz w:val="24"/>
          <w:szCs w:val="24"/>
        </w:rPr>
        <w:t>应按其它相关标准、规范执行时</w:t>
      </w:r>
      <w:r>
        <w:rPr>
          <w:rFonts w:hint="eastAsia"/>
          <w:sz w:val="24"/>
          <w:szCs w:val="24"/>
        </w:rPr>
        <w:t>的</w:t>
      </w:r>
      <w:r>
        <w:rPr>
          <w:sz w:val="24"/>
          <w:szCs w:val="24"/>
        </w:rPr>
        <w:t>写法为：“应符合 ……的规定”或“应按……执行”。</w:t>
      </w:r>
    </w:p>
    <w:p>
      <w:pPr>
        <w:keepNext/>
        <w:keepLines/>
        <w:spacing w:before="240" w:beforeLines="100" w:after="120" w:afterLines="50" w:line="400" w:lineRule="exact"/>
        <w:jc w:val="center"/>
        <w:outlineLvl w:val="0"/>
        <w:rPr>
          <w:b/>
          <w:sz w:val="28"/>
          <w:szCs w:val="28"/>
        </w:rPr>
      </w:pPr>
      <w:r>
        <w:rPr>
          <w:color w:val="000000"/>
        </w:rPr>
        <w:br w:type="column"/>
      </w:r>
      <w:bookmarkStart w:id="160" w:name="_Toc120020307"/>
      <w:bookmarkStart w:id="161" w:name="_Toc508117281"/>
      <w:bookmarkStart w:id="162" w:name="_Toc523731127"/>
      <w:r>
        <w:rPr>
          <w:b/>
          <w:sz w:val="28"/>
          <w:szCs w:val="28"/>
        </w:rPr>
        <w:t>引用标准名录</w:t>
      </w:r>
      <w:bookmarkEnd w:id="160"/>
      <w:bookmarkEnd w:id="161"/>
      <w:bookmarkEnd w:id="162"/>
      <w:r>
        <w:rPr>
          <w:b/>
          <w:kern w:val="44"/>
          <w:sz w:val="32"/>
          <w:szCs w:val="32"/>
        </w:rPr>
        <w:fldChar w:fldCharType="begin"/>
      </w:r>
      <w:r>
        <w:rPr>
          <w:b/>
          <w:kern w:val="44"/>
          <w:sz w:val="32"/>
          <w:szCs w:val="32"/>
        </w:rPr>
        <w:instrText xml:space="preserve"> TC  "</w:instrText>
      </w:r>
      <w:bookmarkStart w:id="163" w:name="_Toc135038287"/>
      <w:bookmarkStart w:id="164" w:name="_Toc108470257"/>
      <w:r>
        <w:rPr>
          <w:b/>
          <w:kern w:val="44"/>
          <w:sz w:val="32"/>
          <w:szCs w:val="32"/>
        </w:rPr>
        <w:instrText xml:space="preserve">List of quoted standards</w:instrText>
      </w:r>
      <w:bookmarkEnd w:id="163"/>
      <w:bookmarkEnd w:id="164"/>
      <w:r>
        <w:rPr>
          <w:b/>
          <w:kern w:val="44"/>
          <w:sz w:val="32"/>
          <w:szCs w:val="32"/>
        </w:rPr>
        <w:instrText xml:space="preserve">" \l 1 </w:instrText>
      </w:r>
      <w:r>
        <w:rPr>
          <w:b/>
          <w:kern w:val="44"/>
          <w:sz w:val="32"/>
          <w:szCs w:val="32"/>
        </w:rPr>
        <w:fldChar w:fldCharType="end"/>
      </w:r>
    </w:p>
    <w:p>
      <w:pPr>
        <w:spacing w:line="360" w:lineRule="auto"/>
        <w:ind w:firstLine="481" w:firstLineChars="200"/>
        <w:rPr>
          <w:rFonts w:eastAsiaTheme="minorEastAsia"/>
          <w:color w:val="000000" w:themeColor="text1"/>
          <w:sz w:val="24"/>
          <w14:textFill>
            <w14:solidFill>
              <w14:schemeClr w14:val="tx1"/>
            </w14:solidFill>
          </w14:textFill>
        </w:rPr>
      </w:pPr>
      <w:r>
        <w:rPr>
          <w:rFonts w:hint="eastAsia" w:eastAsiaTheme="minorEastAsia"/>
          <w:b/>
          <w:color w:val="000000" w:themeColor="text1"/>
          <w:sz w:val="24"/>
          <w14:textFill>
            <w14:solidFill>
              <w14:schemeClr w14:val="tx1"/>
            </w14:solidFill>
          </w14:textFill>
        </w:rPr>
        <w:t xml:space="preserve">1 </w:t>
      </w:r>
      <w:r>
        <w:rPr>
          <w:rFonts w:hint="eastAsia" w:eastAsiaTheme="minorEastAsia"/>
          <w:color w:val="000000" w:themeColor="text1"/>
          <w:sz w:val="24"/>
          <w14:textFill>
            <w14:solidFill>
              <w14:schemeClr w14:val="tx1"/>
            </w14:solidFill>
          </w14:textFill>
        </w:rPr>
        <w:t xml:space="preserve"> </w:t>
      </w:r>
      <w:r>
        <w:rPr>
          <w:rFonts w:eastAsiaTheme="minorEastAsia"/>
          <w:color w:val="000000" w:themeColor="text1"/>
          <w:sz w:val="24"/>
          <w14:textFill>
            <w14:solidFill>
              <w14:schemeClr w14:val="tx1"/>
            </w14:solidFill>
          </w14:textFill>
        </w:rPr>
        <w:t>《建筑结构检测技术标准》GB/T 50344</w:t>
      </w:r>
    </w:p>
    <w:p>
      <w:pPr>
        <w:spacing w:line="360" w:lineRule="auto"/>
        <w:ind w:firstLine="481" w:firstLineChars="200"/>
        <w:rPr>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《混凝土结构现场检测技术标准》GB/T 50784</w:t>
      </w:r>
    </w:p>
    <w:p>
      <w:pPr>
        <w:spacing w:line="360" w:lineRule="auto"/>
        <w:ind w:firstLine="481" w:firstLineChars="200"/>
        <w:rPr>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《数据的统计处理和解释 正态样本离群值的判断和处理》GB/T 4883</w:t>
      </w:r>
    </w:p>
    <w:p>
      <w:pPr>
        <w:spacing w:line="360" w:lineRule="auto"/>
        <w:ind w:firstLine="481" w:firstLineChars="200"/>
        <w:rPr>
          <w:color w:val="000000" w:themeColor="text1"/>
          <w14:textFill>
            <w14:solidFill>
              <w14:schemeClr w14:val="tx1"/>
            </w14:solidFill>
          </w14:textFill>
        </w:rPr>
      </w:pPr>
      <w:r>
        <w:rPr>
          <w:rFonts w:hint="eastAsia"/>
          <w:b/>
          <w:color w:val="000000" w:themeColor="text1"/>
          <w:sz w:val="24"/>
          <w14:textFill>
            <w14:solidFill>
              <w14:schemeClr w14:val="tx1"/>
            </w14:solidFill>
          </w14:textFill>
        </w:rPr>
        <w:t xml:space="preserve">4 </w:t>
      </w: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《水泥胶砂强度检验方法（ISO法）》GB/T 17671</w:t>
      </w:r>
    </w:p>
    <w:p>
      <w:pPr>
        <w:spacing w:line="360" w:lineRule="auto"/>
        <w:ind w:firstLine="481" w:firstLineChars="200"/>
        <w:rPr>
          <w:rFonts w:eastAsiaTheme="minorEastAsia"/>
          <w:color w:val="000000" w:themeColor="text1"/>
          <w:sz w:val="24"/>
          <w:szCs w:val="24"/>
          <w14:textFill>
            <w14:solidFill>
              <w14:schemeClr w14:val="tx1"/>
            </w14:solidFill>
          </w14:textFill>
        </w:rPr>
      </w:pPr>
      <w:r>
        <w:rPr>
          <w:rFonts w:hint="eastAsia" w:eastAsiaTheme="minorEastAsia"/>
          <w:b/>
          <w:color w:val="000000" w:themeColor="text1"/>
          <w:sz w:val="24"/>
          <w:szCs w:val="24"/>
          <w14:textFill>
            <w14:solidFill>
              <w14:schemeClr w14:val="tx1"/>
            </w14:solidFill>
          </w14:textFill>
        </w:rPr>
        <w:t>5</w:t>
      </w:r>
      <w:r>
        <w:rPr>
          <w:rFonts w:hint="eastAsia" w:eastAsiaTheme="minorEastAsia"/>
          <w:color w:val="000000" w:themeColor="text1"/>
          <w:sz w:val="24"/>
          <w:szCs w:val="24"/>
          <w14:textFill>
            <w14:solidFill>
              <w14:schemeClr w14:val="tx1"/>
            </w14:solidFill>
          </w14:textFill>
        </w:rPr>
        <w:t xml:space="preserve">  </w:t>
      </w:r>
      <w:r>
        <w:rPr>
          <w:rFonts w:eastAsiaTheme="minorEastAsia"/>
          <w:color w:val="000000" w:themeColor="text1"/>
          <w:sz w:val="24"/>
          <w:szCs w:val="24"/>
          <w14:textFill>
            <w14:solidFill>
              <w14:schemeClr w14:val="tx1"/>
            </w14:solidFill>
          </w14:textFill>
        </w:rPr>
        <w:t>《电离辐射防护与辐射源安全基本标准》GB 18871</w:t>
      </w:r>
    </w:p>
    <w:p>
      <w:pPr>
        <w:spacing w:line="360" w:lineRule="auto"/>
        <w:ind w:firstLine="481" w:firstLineChars="200"/>
        <w:rPr>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6</w:t>
      </w:r>
      <w:r>
        <w:rPr>
          <w:rFonts w:hint="eastAsia"/>
          <w:bCs/>
          <w:color w:val="000000" w:themeColor="text1"/>
          <w:sz w:val="24"/>
          <w:szCs w:val="24"/>
          <w14:textFill>
            <w14:solidFill>
              <w14:schemeClr w14:val="tx1"/>
            </w14:solidFill>
          </w14:textFill>
        </w:rPr>
        <w:t xml:space="preserve">  </w:t>
      </w:r>
      <w:r>
        <w:rPr>
          <w:bCs/>
          <w:color w:val="000000" w:themeColor="text1"/>
          <w:sz w:val="24"/>
          <w:szCs w:val="24"/>
          <w14:textFill>
            <w14:solidFill>
              <w14:schemeClr w14:val="tx1"/>
            </w14:solidFill>
          </w14:textFill>
        </w:rPr>
        <w:t>《无损检测 X射线数字成像检测 检测方法》GB/T 35388</w:t>
      </w:r>
    </w:p>
    <w:p>
      <w:pPr>
        <w:spacing w:line="360" w:lineRule="auto"/>
        <w:ind w:firstLine="481" w:firstLineChars="200"/>
        <w:rPr>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7</w:t>
      </w:r>
      <w:r>
        <w:rPr>
          <w:rFonts w:hint="eastAsia"/>
          <w:bCs/>
          <w:color w:val="000000" w:themeColor="text1"/>
          <w:sz w:val="24"/>
          <w:szCs w:val="24"/>
          <w14:textFill>
            <w14:solidFill>
              <w14:schemeClr w14:val="tx1"/>
            </w14:solidFill>
          </w14:textFill>
        </w:rPr>
        <w:t xml:space="preserve">  </w:t>
      </w:r>
      <w:r>
        <w:rPr>
          <w:bCs/>
          <w:color w:val="000000" w:themeColor="text1"/>
          <w:sz w:val="24"/>
          <w:szCs w:val="24"/>
          <w14:textFill>
            <w14:solidFill>
              <w14:schemeClr w14:val="tx1"/>
            </w14:solidFill>
          </w14:textFill>
        </w:rPr>
        <w:t>《无损检测 X射线数字成像检测 导则》GB/T 35389</w:t>
      </w:r>
    </w:p>
    <w:p>
      <w:pPr>
        <w:spacing w:line="360" w:lineRule="auto"/>
        <w:ind w:firstLine="481" w:firstLineChars="200"/>
        <w:rPr>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8</w:t>
      </w:r>
      <w:r>
        <w:rPr>
          <w:rFonts w:hint="eastAsia"/>
          <w:bCs/>
          <w:color w:val="000000" w:themeColor="text1"/>
          <w:sz w:val="24"/>
          <w:szCs w:val="24"/>
          <w14:textFill>
            <w14:solidFill>
              <w14:schemeClr w14:val="tx1"/>
            </w14:solidFill>
          </w14:textFill>
        </w:rPr>
        <w:t xml:space="preserve">  </w:t>
      </w:r>
      <w:r>
        <w:rPr>
          <w:bCs/>
          <w:color w:val="000000" w:themeColor="text1"/>
          <w:sz w:val="24"/>
          <w:szCs w:val="24"/>
          <w14:textFill>
            <w14:solidFill>
              <w14:schemeClr w14:val="tx1"/>
            </w14:solidFill>
          </w14:textFill>
        </w:rPr>
        <w:t>《无损检测 X射线数字成像检测 系统特性》GB/T 35394</w:t>
      </w:r>
    </w:p>
    <w:p>
      <w:pPr>
        <w:spacing w:line="360" w:lineRule="auto"/>
        <w:ind w:firstLine="481" w:firstLineChars="200"/>
        <w:rPr>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9</w:t>
      </w:r>
      <w:r>
        <w:rPr>
          <w:rFonts w:hint="eastAsia"/>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《混凝土结构后锚固技术规程》JGJ 145</w:t>
      </w:r>
    </w:p>
    <w:p>
      <w:pPr>
        <w:spacing w:line="360" w:lineRule="auto"/>
        <w:ind w:firstLine="481" w:firstLineChars="200"/>
        <w:rPr>
          <w:color w:val="000000" w:themeColor="text1"/>
          <w14:textFill>
            <w14:solidFill>
              <w14:schemeClr w14:val="tx1"/>
            </w14:solidFill>
          </w14:textFill>
        </w:rPr>
      </w:pPr>
      <w:r>
        <w:rPr>
          <w:rFonts w:hint="eastAsia"/>
          <w:b/>
          <w:color w:val="000000" w:themeColor="text1"/>
          <w:sz w:val="24"/>
          <w:szCs w:val="24"/>
          <w14:textFill>
            <w14:solidFill>
              <w14:schemeClr w14:val="tx1"/>
            </w14:solidFill>
          </w14:textFill>
        </w:rPr>
        <w:t>10</w:t>
      </w:r>
      <w:r>
        <w:rPr>
          <w:rFonts w:hint="eastAsia"/>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《建筑防水工程现场检测技术规范》JGJ/T 299</w:t>
      </w:r>
    </w:p>
    <w:p>
      <w:pPr>
        <w:spacing w:line="360" w:lineRule="auto"/>
        <w:ind w:firstLine="481" w:firstLineChars="200"/>
        <w:rPr>
          <w:color w:val="000000" w:themeColor="text1"/>
          <w:sz w:val="24"/>
          <w:szCs w:val="24"/>
          <w14:textFill>
            <w14:solidFill>
              <w14:schemeClr w14:val="tx1"/>
            </w14:solidFill>
          </w14:textFill>
        </w:rPr>
      </w:pPr>
      <w:r>
        <w:rPr>
          <w:rFonts w:hint="eastAsia" w:eastAsiaTheme="minorEastAsia"/>
          <w:b/>
          <w:color w:val="000000" w:themeColor="text1"/>
          <w:sz w:val="24"/>
          <w:szCs w:val="24"/>
          <w14:textFill>
            <w14:solidFill>
              <w14:schemeClr w14:val="tx1"/>
            </w14:solidFill>
          </w14:textFill>
        </w:rPr>
        <w:t>11</w:t>
      </w:r>
      <w:r>
        <w:rPr>
          <w:rFonts w:hint="eastAsia" w:eastAsiaTheme="minorEastAsia"/>
          <w:color w:val="000000" w:themeColor="text1"/>
          <w:sz w:val="24"/>
          <w:szCs w:val="24"/>
          <w14:textFill>
            <w14:solidFill>
              <w14:schemeClr w14:val="tx1"/>
            </w14:solidFill>
          </w14:textFill>
        </w:rPr>
        <w:t xml:space="preserve">  </w:t>
      </w:r>
      <w:r>
        <w:rPr>
          <w:rFonts w:eastAsiaTheme="minorEastAsia"/>
          <w:color w:val="000000" w:themeColor="text1"/>
          <w:sz w:val="24"/>
          <w:szCs w:val="24"/>
          <w14:textFill>
            <w14:solidFill>
              <w14:schemeClr w14:val="tx1"/>
            </w14:solidFill>
          </w14:textFill>
        </w:rPr>
        <w:t>《钢筋套筒灌浆连接应用技术规程》JGJ 355</w:t>
      </w:r>
    </w:p>
    <w:p>
      <w:pPr>
        <w:spacing w:line="360" w:lineRule="auto"/>
        <w:ind w:firstLine="481" w:firstLineChars="200"/>
        <w:rPr>
          <w:rFonts w:eastAsiaTheme="minorEastAsia"/>
          <w:color w:val="000000" w:themeColor="text1"/>
          <w:sz w:val="24"/>
          <w:szCs w:val="24"/>
          <w14:textFill>
            <w14:solidFill>
              <w14:schemeClr w14:val="tx1"/>
            </w14:solidFill>
          </w14:textFill>
        </w:rPr>
      </w:pPr>
      <w:r>
        <w:rPr>
          <w:rFonts w:hint="eastAsia" w:eastAsiaTheme="minorEastAsia"/>
          <w:b/>
          <w:color w:val="000000" w:themeColor="text1"/>
          <w:sz w:val="24"/>
          <w:szCs w:val="24"/>
          <w14:textFill>
            <w14:solidFill>
              <w14:schemeClr w14:val="tx1"/>
            </w14:solidFill>
          </w14:textFill>
        </w:rPr>
        <w:t>12</w:t>
      </w:r>
      <w:r>
        <w:rPr>
          <w:rFonts w:hint="eastAsia" w:eastAsiaTheme="minorEastAsia"/>
          <w:color w:val="000000" w:themeColor="text1"/>
          <w:sz w:val="24"/>
          <w:szCs w:val="24"/>
          <w14:textFill>
            <w14:solidFill>
              <w14:schemeClr w14:val="tx1"/>
            </w14:solidFill>
          </w14:textFill>
        </w:rPr>
        <w:t xml:space="preserve">  </w:t>
      </w:r>
      <w:r>
        <w:rPr>
          <w:rFonts w:eastAsiaTheme="minorEastAsia"/>
          <w:color w:val="000000" w:themeColor="text1"/>
          <w:sz w:val="24"/>
          <w:szCs w:val="24"/>
          <w14:textFill>
            <w14:solidFill>
              <w14:schemeClr w14:val="tx1"/>
            </w14:solidFill>
          </w14:textFill>
        </w:rPr>
        <w:t>《钻芯法检测混凝土强度技术规程》JGJ/T 384</w:t>
      </w:r>
    </w:p>
    <w:p>
      <w:pPr>
        <w:spacing w:line="360" w:lineRule="auto"/>
        <w:ind w:firstLine="481" w:firstLineChars="200"/>
        <w:rPr>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13</w:t>
      </w:r>
      <w:r>
        <w:rPr>
          <w:rFonts w:hint="eastAsia"/>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《冲击回波法检测混凝土缺陷技术规程》JGJ/T 411</w:t>
      </w:r>
    </w:p>
    <w:p>
      <w:pPr>
        <w:spacing w:line="360" w:lineRule="auto"/>
        <w:ind w:firstLine="481" w:firstLineChars="200"/>
        <w:rPr>
          <w:color w:val="000000" w:themeColor="text1"/>
          <w14:textFill>
            <w14:solidFill>
              <w14:schemeClr w14:val="tx1"/>
            </w14:solidFill>
          </w14:textFill>
        </w:rPr>
      </w:pPr>
      <w:r>
        <w:rPr>
          <w:rFonts w:hint="eastAsia"/>
          <w:b/>
          <w:bCs/>
          <w:color w:val="000000" w:themeColor="text1"/>
          <w:sz w:val="24"/>
          <w14:textFill>
            <w14:solidFill>
              <w14:schemeClr w14:val="tx1"/>
            </w14:solidFill>
          </w14:textFill>
        </w:rPr>
        <w:t>14</w:t>
      </w:r>
      <w:r>
        <w:rPr>
          <w:rFonts w:hint="eastAsia"/>
          <w:bCs/>
          <w:color w:val="000000" w:themeColor="text1"/>
          <w:sz w:val="24"/>
          <w14:textFill>
            <w14:solidFill>
              <w14:schemeClr w14:val="tx1"/>
            </w14:solidFill>
          </w14:textFill>
        </w:rPr>
        <w:t xml:space="preserve">  </w:t>
      </w:r>
      <w:r>
        <w:rPr>
          <w:bCs/>
          <w:color w:val="000000" w:themeColor="text1"/>
          <w:sz w:val="24"/>
          <w14:textFill>
            <w14:solidFill>
              <w14:schemeClr w14:val="tx1"/>
            </w14:solidFill>
          </w14:textFill>
        </w:rPr>
        <w:t>《雷达法检测混凝土结构技术标准》JGJ/T 456</w:t>
      </w:r>
    </w:p>
    <w:p>
      <w:pPr>
        <w:spacing w:line="360" w:lineRule="auto"/>
        <w:ind w:firstLine="481" w:firstLineChars="200"/>
        <w:rPr>
          <w:rFonts w:eastAsia="楷体"/>
          <w:bCs/>
          <w:color w:val="000000" w:themeColor="text1"/>
          <w:sz w:val="24"/>
          <w:szCs w:val="24"/>
          <w14:textFill>
            <w14:solidFill>
              <w14:schemeClr w14:val="tx1"/>
            </w14:solidFill>
          </w14:textFill>
        </w:rPr>
      </w:pPr>
      <w:r>
        <w:rPr>
          <w:rFonts w:hint="eastAsia"/>
          <w:b/>
          <w:color w:val="000000" w:themeColor="text1"/>
          <w:sz w:val="24"/>
          <w14:textFill>
            <w14:solidFill>
              <w14:schemeClr w14:val="tx1"/>
            </w14:solidFill>
          </w14:textFill>
        </w:rPr>
        <w:t>15</w:t>
      </w: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《装配式住宅建筑检测技术标准》JGJ/T 485</w:t>
      </w:r>
    </w:p>
    <w:p>
      <w:pPr>
        <w:spacing w:line="360" w:lineRule="auto"/>
        <w:ind w:firstLine="481" w:firstLineChars="200"/>
        <w:rPr>
          <w:b/>
          <w:bCs/>
          <w:color w:val="FF0000"/>
          <w:sz w:val="24"/>
          <w:szCs w:val="24"/>
        </w:rPr>
      </w:pPr>
    </w:p>
    <w:p>
      <w:pPr>
        <w:spacing w:line="360" w:lineRule="auto"/>
        <w:rPr>
          <w:sz w:val="24"/>
          <w:szCs w:val="24"/>
        </w:rPr>
      </w:pPr>
      <w:r>
        <w:rPr>
          <w:sz w:val="24"/>
          <w:szCs w:val="24"/>
        </w:rPr>
        <w:br w:type="page"/>
      </w:r>
    </w:p>
    <w:p>
      <w:pPr>
        <w:jc w:val="center"/>
        <w:rPr>
          <w:b/>
          <w:sz w:val="44"/>
          <w:szCs w:val="44"/>
        </w:rPr>
      </w:pPr>
    </w:p>
    <w:p>
      <w:pPr>
        <w:jc w:val="center"/>
        <w:rPr>
          <w:b/>
          <w:sz w:val="44"/>
          <w:szCs w:val="44"/>
        </w:rPr>
      </w:pPr>
    </w:p>
    <w:p>
      <w:pPr>
        <w:jc w:val="center"/>
        <w:rPr>
          <w:b/>
          <w:sz w:val="36"/>
          <w:szCs w:val="36"/>
        </w:rPr>
      </w:pPr>
      <w:r>
        <w:rPr>
          <w:b/>
          <w:sz w:val="36"/>
          <w:szCs w:val="36"/>
        </w:rPr>
        <w:t>北京市地方标准</w:t>
      </w:r>
    </w:p>
    <w:p>
      <w:pPr>
        <w:jc w:val="center"/>
        <w:rPr>
          <w:b/>
          <w:sz w:val="44"/>
          <w:szCs w:val="44"/>
        </w:rPr>
      </w:pPr>
    </w:p>
    <w:p>
      <w:pPr>
        <w:jc w:val="center"/>
        <w:rPr>
          <w:b/>
          <w:sz w:val="44"/>
          <w:szCs w:val="44"/>
        </w:rPr>
      </w:pPr>
    </w:p>
    <w:p>
      <w:pPr>
        <w:jc w:val="center"/>
        <w:rPr>
          <w:b/>
          <w:sz w:val="44"/>
          <w:szCs w:val="44"/>
        </w:rPr>
      </w:pPr>
    </w:p>
    <w:p>
      <w:pPr>
        <w:jc w:val="center"/>
        <w:rPr>
          <w:b/>
          <w:sz w:val="44"/>
          <w:szCs w:val="44"/>
        </w:rPr>
      </w:pPr>
      <w:r>
        <w:rPr>
          <w:b/>
          <w:sz w:val="44"/>
          <w:szCs w:val="44"/>
        </w:rPr>
        <w:t>装配式混凝土结构检测技术标准</w:t>
      </w:r>
    </w:p>
    <w:p>
      <w:pPr>
        <w:jc w:val="center"/>
        <w:rPr>
          <w:spacing w:val="-4"/>
          <w:sz w:val="30"/>
          <w:szCs w:val="30"/>
        </w:rPr>
      </w:pPr>
      <w:r>
        <w:rPr>
          <w:b/>
          <w:sz w:val="32"/>
          <w:szCs w:val="32"/>
        </w:rPr>
        <w:t>Technical standard for inspection of precast concrete structures</w:t>
      </w:r>
    </w:p>
    <w:p/>
    <w:p>
      <w:pPr>
        <w:jc w:val="center"/>
        <w:rPr>
          <w:b/>
          <w:sz w:val="36"/>
          <w:szCs w:val="36"/>
        </w:rPr>
      </w:pPr>
    </w:p>
    <w:p>
      <w:pPr>
        <w:jc w:val="center"/>
        <w:rPr>
          <w:rFonts w:eastAsia="黑体"/>
          <w:b/>
          <w:sz w:val="32"/>
          <w:szCs w:val="32"/>
        </w:rPr>
      </w:pPr>
      <w:r>
        <w:rPr>
          <w:rFonts w:eastAsia="黑体"/>
          <w:b/>
          <w:sz w:val="32"/>
          <w:szCs w:val="32"/>
        </w:rPr>
        <w:t>DB11/T XXXX -202X</w:t>
      </w:r>
    </w:p>
    <w:p>
      <w:pPr>
        <w:jc w:val="center"/>
        <w:rPr>
          <w:b/>
          <w:sz w:val="36"/>
          <w:szCs w:val="36"/>
        </w:rPr>
      </w:pPr>
    </w:p>
    <w:p>
      <w:pPr>
        <w:jc w:val="center"/>
        <w:rPr>
          <w:b/>
          <w:sz w:val="36"/>
          <w:szCs w:val="36"/>
        </w:rPr>
      </w:pPr>
    </w:p>
    <w:p>
      <w:pPr>
        <w:jc w:val="center"/>
        <w:outlineLvl w:val="0"/>
        <w:rPr>
          <w:b/>
          <w:sz w:val="36"/>
          <w:szCs w:val="36"/>
        </w:rPr>
      </w:pPr>
      <w:bookmarkStart w:id="165" w:name="_Toc120020308"/>
      <w:r>
        <w:rPr>
          <w:b/>
          <w:sz w:val="36"/>
          <w:szCs w:val="36"/>
        </w:rPr>
        <w:t>条文说明</w:t>
      </w:r>
      <w:bookmarkEnd w:id="165"/>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rPr>
          <w:b/>
          <w:sz w:val="36"/>
          <w:szCs w:val="36"/>
        </w:rPr>
      </w:pPr>
      <w:r>
        <w:rPr>
          <w:b/>
        </w:rPr>
        <w:t>202</w:t>
      </w:r>
      <w:r>
        <w:rPr>
          <w:rFonts w:hint="eastAsia"/>
          <w:b/>
        </w:rPr>
        <w:t>X</w:t>
      </w:r>
      <w:r>
        <w:rPr>
          <w:b/>
        </w:rPr>
        <w:t xml:space="preserve">  北京</w:t>
      </w:r>
      <w:r>
        <w:rPr>
          <w:b/>
        </w:rPr>
        <w:fldChar w:fldCharType="begin"/>
      </w:r>
      <w:r>
        <w:rPr>
          <w:b/>
        </w:rPr>
        <w:instrText xml:space="preserve"> TC  "</w:instrText>
      </w:r>
      <w:bookmarkStart w:id="166" w:name="_Toc108470258"/>
      <w:r>
        <w:rPr>
          <w:b/>
        </w:rPr>
        <w:instrText xml:space="preserve"> </w:instrText>
      </w:r>
      <w:bookmarkStart w:id="167" w:name="_Toc135038288"/>
      <w:r>
        <w:rPr>
          <w:b/>
        </w:rPr>
        <w:instrText xml:space="preserve">Explanation of provisions</w:instrText>
      </w:r>
      <w:bookmarkEnd w:id="166"/>
      <w:bookmarkEnd w:id="167"/>
      <w:r>
        <w:rPr>
          <w:b/>
        </w:rPr>
        <w:instrText xml:space="preserve">" \l 1 </w:instrText>
      </w:r>
      <w:r>
        <w:rPr>
          <w:b/>
        </w:rPr>
        <w:fldChar w:fldCharType="end"/>
      </w:r>
    </w:p>
    <w:p>
      <w:pPr>
        <w:widowControl/>
        <w:jc w:val="left"/>
        <w:rPr>
          <w:b/>
          <w:sz w:val="36"/>
          <w:szCs w:val="36"/>
        </w:rPr>
      </w:pPr>
      <w:r>
        <w:rPr>
          <w:b/>
          <w:sz w:val="36"/>
          <w:szCs w:val="36"/>
        </w:rPr>
        <w:br w:type="page"/>
      </w:r>
    </w:p>
    <w:p>
      <w:pPr>
        <w:pStyle w:val="64"/>
        <w:ind w:left="0"/>
        <w:jc w:val="center"/>
        <w:rPr>
          <w:rFonts w:ascii="Times New Roman" w:hAnsi="Times New Roman"/>
          <w:b/>
          <w:color w:val="000000" w:themeColor="text1"/>
          <w:sz w:val="32"/>
          <w:szCs w:val="32"/>
          <w14:textFill>
            <w14:solidFill>
              <w14:schemeClr w14:val="tx1"/>
            </w14:solidFill>
          </w14:textFill>
        </w:rPr>
      </w:pPr>
      <w:r>
        <w:rPr>
          <w:rFonts w:ascii="Times New Roman" w:hAnsi="Times New Roman"/>
          <w:b/>
          <w:color w:val="000000" w:themeColor="text1"/>
          <w:sz w:val="32"/>
          <w:szCs w:val="32"/>
          <w14:textFill>
            <w14:solidFill>
              <w14:schemeClr w14:val="tx1"/>
            </w14:solidFill>
          </w14:textFill>
        </w:rPr>
        <w:t>目  次</w:t>
      </w:r>
    </w:p>
    <w:p>
      <w:pPr>
        <w:pStyle w:val="17"/>
        <w:tabs>
          <w:tab w:val="right" w:leader="dot" w:pos="8303"/>
        </w:tabs>
        <w:spacing w:before="0" w:after="0" w:line="300" w:lineRule="auto"/>
        <w:rPr>
          <w:rFonts w:ascii="Times New Roman" w:hAnsi="Times New Roman" w:cs="Times New Roman"/>
          <w:b w:val="0"/>
          <w:bCs w:val="0"/>
          <w:caps w:val="0"/>
          <w:sz w:val="24"/>
          <w:szCs w:val="24"/>
        </w:rPr>
      </w:pPr>
      <w:r>
        <w:rPr>
          <w:rFonts w:ascii="Times New Roman" w:hAnsi="Times New Roman" w:cs="Times New Roman"/>
          <w:b w:val="0"/>
          <w:caps w:val="0"/>
          <w:sz w:val="24"/>
          <w:szCs w:val="24"/>
        </w:rPr>
        <w:fldChar w:fldCharType="begin"/>
      </w:r>
      <w:r>
        <w:rPr>
          <w:rFonts w:ascii="Times New Roman" w:hAnsi="Times New Roman" w:cs="Times New Roman"/>
          <w:b w:val="0"/>
          <w:caps w:val="0"/>
          <w:sz w:val="24"/>
          <w:szCs w:val="24"/>
        </w:rPr>
        <w:instrText xml:space="preserve"> TOC \h \z \t "条文说明1,1,条文说明2,2" </w:instrText>
      </w:r>
      <w:r>
        <w:rPr>
          <w:rFonts w:ascii="Times New Roman" w:hAnsi="Times New Roman" w:cs="Times New Roman"/>
          <w:b w:val="0"/>
          <w:caps w:val="0"/>
          <w:sz w:val="24"/>
          <w:szCs w:val="24"/>
        </w:rPr>
        <w:fldChar w:fldCharType="separate"/>
      </w:r>
      <w:r>
        <w:fldChar w:fldCharType="begin"/>
      </w:r>
      <w:r>
        <w:instrText xml:space="preserve"> HYPERLINK \l "_Toc120020379" </w:instrText>
      </w:r>
      <w:r>
        <w:fldChar w:fldCharType="separate"/>
      </w:r>
      <w:r>
        <w:rPr>
          <w:rStyle w:val="29"/>
          <w:rFonts w:ascii="Times New Roman" w:hAnsi="Times New Roman" w:cs="Times New Roman"/>
          <w:b w:val="0"/>
          <w:caps w:val="0"/>
          <w:sz w:val="24"/>
          <w:szCs w:val="24"/>
        </w:rPr>
        <w:t>1  总    则</w:t>
      </w:r>
      <w:r>
        <w:rPr>
          <w:rFonts w:ascii="Times New Roman" w:hAnsi="Times New Roman" w:cs="Times New Roman"/>
          <w:b w:val="0"/>
          <w:caps w:val="0"/>
          <w:sz w:val="24"/>
          <w:szCs w:val="24"/>
        </w:rPr>
        <w:tab/>
      </w:r>
      <w:r>
        <w:rPr>
          <w:rFonts w:ascii="Times New Roman" w:hAnsi="Times New Roman" w:cs="Times New Roman"/>
          <w:b w:val="0"/>
          <w:caps w:val="0"/>
          <w:sz w:val="24"/>
          <w:szCs w:val="24"/>
        </w:rPr>
        <w:fldChar w:fldCharType="begin"/>
      </w:r>
      <w:r>
        <w:rPr>
          <w:rFonts w:ascii="Times New Roman" w:hAnsi="Times New Roman" w:cs="Times New Roman"/>
          <w:b w:val="0"/>
          <w:caps w:val="0"/>
          <w:sz w:val="24"/>
          <w:szCs w:val="24"/>
        </w:rPr>
        <w:instrText xml:space="preserve"> PAGEREF _Toc120020379 \h </w:instrText>
      </w:r>
      <w:r>
        <w:rPr>
          <w:rFonts w:ascii="Times New Roman" w:hAnsi="Times New Roman" w:cs="Times New Roman"/>
          <w:b w:val="0"/>
          <w:caps w:val="0"/>
          <w:sz w:val="24"/>
          <w:szCs w:val="24"/>
        </w:rPr>
        <w:fldChar w:fldCharType="separate"/>
      </w:r>
      <w:r>
        <w:rPr>
          <w:rFonts w:ascii="Times New Roman" w:hAnsi="Times New Roman" w:cs="Times New Roman"/>
          <w:b w:val="0"/>
          <w:caps w:val="0"/>
          <w:sz w:val="24"/>
          <w:szCs w:val="24"/>
        </w:rPr>
        <w:t>59</w:t>
      </w:r>
      <w:r>
        <w:rPr>
          <w:rFonts w:ascii="Times New Roman" w:hAnsi="Times New Roman" w:cs="Times New Roman"/>
          <w:b w:val="0"/>
          <w:caps w:val="0"/>
          <w:sz w:val="24"/>
          <w:szCs w:val="24"/>
        </w:rPr>
        <w:fldChar w:fldCharType="end"/>
      </w:r>
      <w:r>
        <w:rPr>
          <w:rFonts w:ascii="Times New Roman" w:hAnsi="Times New Roman" w:cs="Times New Roman"/>
          <w:b w:val="0"/>
          <w:caps w:val="0"/>
          <w:sz w:val="24"/>
          <w:szCs w:val="24"/>
        </w:rPr>
        <w:fldChar w:fldCharType="end"/>
      </w:r>
    </w:p>
    <w:p>
      <w:pPr>
        <w:pStyle w:val="17"/>
        <w:tabs>
          <w:tab w:val="right" w:leader="dot" w:pos="8303"/>
        </w:tabs>
        <w:spacing w:before="0" w:after="0" w:line="300" w:lineRule="auto"/>
        <w:rPr>
          <w:rFonts w:ascii="Times New Roman" w:hAnsi="Times New Roman" w:cs="Times New Roman"/>
          <w:b w:val="0"/>
          <w:bCs w:val="0"/>
          <w:caps w:val="0"/>
          <w:sz w:val="24"/>
          <w:szCs w:val="24"/>
        </w:rPr>
      </w:pPr>
      <w:r>
        <w:fldChar w:fldCharType="begin"/>
      </w:r>
      <w:r>
        <w:instrText xml:space="preserve"> HYPERLINK \l "_Toc120020380" </w:instrText>
      </w:r>
      <w:r>
        <w:fldChar w:fldCharType="separate"/>
      </w:r>
      <w:r>
        <w:rPr>
          <w:rStyle w:val="29"/>
          <w:rFonts w:ascii="Times New Roman" w:hAnsi="Times New Roman" w:cs="Times New Roman"/>
          <w:b w:val="0"/>
          <w:caps w:val="0"/>
          <w:sz w:val="24"/>
          <w:szCs w:val="24"/>
        </w:rPr>
        <w:t>3  基本规定</w:t>
      </w:r>
      <w:r>
        <w:rPr>
          <w:rFonts w:ascii="Times New Roman" w:hAnsi="Times New Roman" w:cs="Times New Roman"/>
          <w:b w:val="0"/>
          <w:caps w:val="0"/>
          <w:sz w:val="24"/>
          <w:szCs w:val="24"/>
        </w:rPr>
        <w:tab/>
      </w:r>
      <w:r>
        <w:rPr>
          <w:rFonts w:ascii="Times New Roman" w:hAnsi="Times New Roman" w:cs="Times New Roman"/>
          <w:b w:val="0"/>
          <w:caps w:val="0"/>
          <w:sz w:val="24"/>
          <w:szCs w:val="24"/>
        </w:rPr>
        <w:fldChar w:fldCharType="begin"/>
      </w:r>
      <w:r>
        <w:rPr>
          <w:rFonts w:ascii="Times New Roman" w:hAnsi="Times New Roman" w:cs="Times New Roman"/>
          <w:b w:val="0"/>
          <w:caps w:val="0"/>
          <w:sz w:val="24"/>
          <w:szCs w:val="24"/>
        </w:rPr>
        <w:instrText xml:space="preserve"> PAGEREF _Toc120020380 \h </w:instrText>
      </w:r>
      <w:r>
        <w:rPr>
          <w:rFonts w:ascii="Times New Roman" w:hAnsi="Times New Roman" w:cs="Times New Roman"/>
          <w:b w:val="0"/>
          <w:caps w:val="0"/>
          <w:sz w:val="24"/>
          <w:szCs w:val="24"/>
        </w:rPr>
        <w:fldChar w:fldCharType="separate"/>
      </w:r>
      <w:r>
        <w:rPr>
          <w:rFonts w:ascii="Times New Roman" w:hAnsi="Times New Roman" w:cs="Times New Roman"/>
          <w:b w:val="0"/>
          <w:caps w:val="0"/>
          <w:sz w:val="24"/>
          <w:szCs w:val="24"/>
        </w:rPr>
        <w:t>60</w:t>
      </w:r>
      <w:r>
        <w:rPr>
          <w:rFonts w:ascii="Times New Roman" w:hAnsi="Times New Roman" w:cs="Times New Roman"/>
          <w:b w:val="0"/>
          <w:caps w:val="0"/>
          <w:sz w:val="24"/>
          <w:szCs w:val="24"/>
        </w:rPr>
        <w:fldChar w:fldCharType="end"/>
      </w:r>
      <w:r>
        <w:rPr>
          <w:rFonts w:ascii="Times New Roman" w:hAnsi="Times New Roman" w:cs="Times New Roman"/>
          <w:b w:val="0"/>
          <w:caps w:val="0"/>
          <w:sz w:val="24"/>
          <w:szCs w:val="24"/>
        </w:rPr>
        <w:fldChar w:fldCharType="end"/>
      </w:r>
    </w:p>
    <w:p>
      <w:pPr>
        <w:pStyle w:val="20"/>
        <w:tabs>
          <w:tab w:val="right" w:leader="dot" w:pos="8303"/>
        </w:tabs>
        <w:spacing w:line="300" w:lineRule="auto"/>
        <w:rPr>
          <w:rFonts w:ascii="Times New Roman" w:hAnsi="Times New Roman" w:cs="Times New Roman"/>
          <w:smallCaps w:val="0"/>
          <w:sz w:val="24"/>
          <w:szCs w:val="24"/>
        </w:rPr>
      </w:pPr>
      <w:r>
        <w:fldChar w:fldCharType="begin"/>
      </w:r>
      <w:r>
        <w:instrText xml:space="preserve"> HYPERLINK \l "_Toc120020381" </w:instrText>
      </w:r>
      <w:r>
        <w:fldChar w:fldCharType="separate"/>
      </w:r>
      <w:r>
        <w:rPr>
          <w:rStyle w:val="29"/>
          <w:rFonts w:ascii="Times New Roman" w:hAnsi="Times New Roman" w:cs="Times New Roman"/>
          <w:smallCaps w:val="0"/>
          <w:sz w:val="24"/>
          <w:szCs w:val="24"/>
        </w:rPr>
        <w:t>3.1  检测分类</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_Toc120020381 \h </w:instrText>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60</w:t>
      </w:r>
      <w:r>
        <w:rPr>
          <w:rFonts w:ascii="Times New Roman" w:hAnsi="Times New Roman" w:cs="Times New Roman"/>
          <w:smallCaps w:val="0"/>
          <w:sz w:val="24"/>
          <w:szCs w:val="24"/>
        </w:rPr>
        <w:fldChar w:fldCharType="end"/>
      </w:r>
      <w:r>
        <w:rPr>
          <w:rFonts w:ascii="Times New Roman" w:hAnsi="Times New Roman" w:cs="Times New Roman"/>
          <w:smallCaps w:val="0"/>
          <w:sz w:val="24"/>
          <w:szCs w:val="24"/>
        </w:rPr>
        <w:fldChar w:fldCharType="end"/>
      </w:r>
    </w:p>
    <w:p>
      <w:pPr>
        <w:pStyle w:val="20"/>
        <w:tabs>
          <w:tab w:val="right" w:leader="dot" w:pos="8303"/>
        </w:tabs>
        <w:spacing w:line="300" w:lineRule="auto"/>
        <w:rPr>
          <w:rFonts w:ascii="Times New Roman" w:hAnsi="Times New Roman" w:cs="Times New Roman"/>
          <w:smallCaps w:val="0"/>
          <w:sz w:val="24"/>
          <w:szCs w:val="24"/>
        </w:rPr>
      </w:pPr>
      <w:r>
        <w:fldChar w:fldCharType="begin"/>
      </w:r>
      <w:r>
        <w:instrText xml:space="preserve"> HYPERLINK \l "_Toc120020382" </w:instrText>
      </w:r>
      <w:r>
        <w:fldChar w:fldCharType="separate"/>
      </w:r>
      <w:r>
        <w:rPr>
          <w:rStyle w:val="29"/>
          <w:rFonts w:ascii="Times New Roman" w:hAnsi="Times New Roman" w:cs="Times New Roman"/>
          <w:smallCaps w:val="0"/>
          <w:sz w:val="24"/>
          <w:szCs w:val="24"/>
        </w:rPr>
        <w:t>3.2  检测程序</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_Toc120020382 \h </w:instrText>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60</w:t>
      </w:r>
      <w:r>
        <w:rPr>
          <w:rFonts w:ascii="Times New Roman" w:hAnsi="Times New Roman" w:cs="Times New Roman"/>
          <w:smallCaps w:val="0"/>
          <w:sz w:val="24"/>
          <w:szCs w:val="24"/>
        </w:rPr>
        <w:fldChar w:fldCharType="end"/>
      </w:r>
      <w:r>
        <w:rPr>
          <w:rFonts w:ascii="Times New Roman" w:hAnsi="Times New Roman" w:cs="Times New Roman"/>
          <w:smallCaps w:val="0"/>
          <w:sz w:val="24"/>
          <w:szCs w:val="24"/>
        </w:rPr>
        <w:fldChar w:fldCharType="end"/>
      </w:r>
    </w:p>
    <w:p>
      <w:pPr>
        <w:pStyle w:val="20"/>
        <w:tabs>
          <w:tab w:val="right" w:leader="dot" w:pos="8303"/>
        </w:tabs>
        <w:spacing w:line="300" w:lineRule="auto"/>
        <w:rPr>
          <w:rFonts w:ascii="Times New Roman" w:hAnsi="Times New Roman" w:cs="Times New Roman"/>
          <w:smallCaps w:val="0"/>
          <w:sz w:val="24"/>
          <w:szCs w:val="24"/>
        </w:rPr>
      </w:pPr>
      <w:r>
        <w:fldChar w:fldCharType="begin"/>
      </w:r>
      <w:r>
        <w:instrText xml:space="preserve"> HYPERLINK \l "_Toc120020383" </w:instrText>
      </w:r>
      <w:r>
        <w:fldChar w:fldCharType="separate"/>
      </w:r>
      <w:r>
        <w:rPr>
          <w:rStyle w:val="29"/>
          <w:rFonts w:ascii="Times New Roman" w:hAnsi="Times New Roman" w:cs="Times New Roman"/>
          <w:smallCaps w:val="0"/>
          <w:sz w:val="24"/>
          <w:szCs w:val="24"/>
        </w:rPr>
        <w:t>3.3  抽样方法与判定规则</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_Toc120020383 \h </w:instrText>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61</w:t>
      </w:r>
      <w:r>
        <w:rPr>
          <w:rFonts w:ascii="Times New Roman" w:hAnsi="Times New Roman" w:cs="Times New Roman"/>
          <w:smallCaps w:val="0"/>
          <w:sz w:val="24"/>
          <w:szCs w:val="24"/>
        </w:rPr>
        <w:fldChar w:fldCharType="end"/>
      </w:r>
      <w:r>
        <w:rPr>
          <w:rFonts w:ascii="Times New Roman" w:hAnsi="Times New Roman" w:cs="Times New Roman"/>
          <w:smallCaps w:val="0"/>
          <w:sz w:val="24"/>
          <w:szCs w:val="24"/>
        </w:rPr>
        <w:fldChar w:fldCharType="end"/>
      </w:r>
    </w:p>
    <w:p>
      <w:pPr>
        <w:pStyle w:val="17"/>
        <w:tabs>
          <w:tab w:val="right" w:leader="dot" w:pos="8303"/>
        </w:tabs>
        <w:spacing w:before="0" w:after="0" w:line="300" w:lineRule="auto"/>
        <w:rPr>
          <w:rFonts w:ascii="Times New Roman" w:hAnsi="Times New Roman" w:cs="Times New Roman"/>
          <w:b w:val="0"/>
          <w:bCs w:val="0"/>
          <w:caps w:val="0"/>
          <w:sz w:val="24"/>
          <w:szCs w:val="24"/>
        </w:rPr>
      </w:pPr>
      <w:r>
        <w:fldChar w:fldCharType="begin"/>
      </w:r>
      <w:r>
        <w:instrText xml:space="preserve"> HYPERLINK \l "_Toc120020384" </w:instrText>
      </w:r>
      <w:r>
        <w:fldChar w:fldCharType="separate"/>
      </w:r>
      <w:r>
        <w:rPr>
          <w:rStyle w:val="29"/>
          <w:rFonts w:ascii="Times New Roman" w:hAnsi="Times New Roman" w:cs="Times New Roman"/>
          <w:b w:val="0"/>
          <w:caps w:val="0"/>
          <w:sz w:val="24"/>
          <w:szCs w:val="24"/>
        </w:rPr>
        <w:t>4  预制构件</w:t>
      </w:r>
      <w:r>
        <w:rPr>
          <w:rFonts w:ascii="Times New Roman" w:hAnsi="Times New Roman" w:cs="Times New Roman"/>
          <w:b w:val="0"/>
          <w:caps w:val="0"/>
          <w:sz w:val="24"/>
          <w:szCs w:val="24"/>
        </w:rPr>
        <w:tab/>
      </w:r>
      <w:r>
        <w:rPr>
          <w:rFonts w:ascii="Times New Roman" w:hAnsi="Times New Roman" w:cs="Times New Roman"/>
          <w:b w:val="0"/>
          <w:caps w:val="0"/>
          <w:sz w:val="24"/>
          <w:szCs w:val="24"/>
        </w:rPr>
        <w:fldChar w:fldCharType="begin"/>
      </w:r>
      <w:r>
        <w:rPr>
          <w:rFonts w:ascii="Times New Roman" w:hAnsi="Times New Roman" w:cs="Times New Roman"/>
          <w:b w:val="0"/>
          <w:caps w:val="0"/>
          <w:sz w:val="24"/>
          <w:szCs w:val="24"/>
        </w:rPr>
        <w:instrText xml:space="preserve"> PAGEREF _Toc120020384 \h </w:instrText>
      </w:r>
      <w:r>
        <w:rPr>
          <w:rFonts w:ascii="Times New Roman" w:hAnsi="Times New Roman" w:cs="Times New Roman"/>
          <w:b w:val="0"/>
          <w:caps w:val="0"/>
          <w:sz w:val="24"/>
          <w:szCs w:val="24"/>
        </w:rPr>
        <w:fldChar w:fldCharType="separate"/>
      </w:r>
      <w:r>
        <w:rPr>
          <w:rFonts w:ascii="Times New Roman" w:hAnsi="Times New Roman" w:cs="Times New Roman"/>
          <w:b w:val="0"/>
          <w:caps w:val="0"/>
          <w:sz w:val="24"/>
          <w:szCs w:val="24"/>
        </w:rPr>
        <w:t>63</w:t>
      </w:r>
      <w:r>
        <w:rPr>
          <w:rFonts w:ascii="Times New Roman" w:hAnsi="Times New Roman" w:cs="Times New Roman"/>
          <w:b w:val="0"/>
          <w:caps w:val="0"/>
          <w:sz w:val="24"/>
          <w:szCs w:val="24"/>
        </w:rPr>
        <w:fldChar w:fldCharType="end"/>
      </w:r>
      <w:r>
        <w:rPr>
          <w:rFonts w:ascii="Times New Roman" w:hAnsi="Times New Roman" w:cs="Times New Roman"/>
          <w:b w:val="0"/>
          <w:caps w:val="0"/>
          <w:sz w:val="24"/>
          <w:szCs w:val="24"/>
        </w:rPr>
        <w:fldChar w:fldCharType="end"/>
      </w:r>
    </w:p>
    <w:p>
      <w:pPr>
        <w:pStyle w:val="20"/>
        <w:tabs>
          <w:tab w:val="right" w:leader="dot" w:pos="8303"/>
        </w:tabs>
        <w:spacing w:line="300" w:lineRule="auto"/>
        <w:rPr>
          <w:rFonts w:ascii="Times New Roman" w:hAnsi="Times New Roman" w:cs="Times New Roman"/>
          <w:smallCaps w:val="0"/>
          <w:sz w:val="24"/>
          <w:szCs w:val="24"/>
        </w:rPr>
      </w:pPr>
      <w:r>
        <w:fldChar w:fldCharType="begin"/>
      </w:r>
      <w:r>
        <w:instrText xml:space="preserve"> HYPERLINK \l "_Toc120020385" </w:instrText>
      </w:r>
      <w:r>
        <w:fldChar w:fldCharType="separate"/>
      </w:r>
      <w:r>
        <w:rPr>
          <w:rStyle w:val="29"/>
          <w:rFonts w:ascii="Times New Roman" w:hAnsi="Times New Roman" w:cs="Times New Roman"/>
          <w:smallCaps w:val="0"/>
          <w:sz w:val="24"/>
          <w:szCs w:val="24"/>
        </w:rPr>
        <w:t>4.1  一般规定</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_Toc120020385 \h </w:instrText>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63</w:t>
      </w:r>
      <w:r>
        <w:rPr>
          <w:rFonts w:ascii="Times New Roman" w:hAnsi="Times New Roman" w:cs="Times New Roman"/>
          <w:smallCaps w:val="0"/>
          <w:sz w:val="24"/>
          <w:szCs w:val="24"/>
        </w:rPr>
        <w:fldChar w:fldCharType="end"/>
      </w:r>
      <w:r>
        <w:rPr>
          <w:rFonts w:ascii="Times New Roman" w:hAnsi="Times New Roman" w:cs="Times New Roman"/>
          <w:smallCaps w:val="0"/>
          <w:sz w:val="24"/>
          <w:szCs w:val="24"/>
        </w:rPr>
        <w:fldChar w:fldCharType="end"/>
      </w:r>
    </w:p>
    <w:p>
      <w:pPr>
        <w:pStyle w:val="20"/>
        <w:tabs>
          <w:tab w:val="right" w:leader="dot" w:pos="8303"/>
        </w:tabs>
        <w:spacing w:line="300" w:lineRule="auto"/>
        <w:rPr>
          <w:rFonts w:ascii="Times New Roman" w:hAnsi="Times New Roman" w:cs="Times New Roman"/>
          <w:smallCaps w:val="0"/>
          <w:sz w:val="24"/>
          <w:szCs w:val="24"/>
        </w:rPr>
      </w:pPr>
      <w:r>
        <w:fldChar w:fldCharType="begin"/>
      </w:r>
      <w:r>
        <w:instrText xml:space="preserve"> HYPERLINK \l "_Toc120020386" </w:instrText>
      </w:r>
      <w:r>
        <w:fldChar w:fldCharType="separate"/>
      </w:r>
      <w:r>
        <w:rPr>
          <w:rStyle w:val="29"/>
          <w:rFonts w:ascii="Times New Roman" w:hAnsi="Times New Roman" w:cs="Times New Roman"/>
          <w:smallCaps w:val="0"/>
          <w:sz w:val="24"/>
          <w:szCs w:val="24"/>
        </w:rPr>
        <w:t>4.2  预制构件混凝土抗压强度</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_Toc120020386 \h </w:instrText>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63</w:t>
      </w:r>
      <w:r>
        <w:rPr>
          <w:rFonts w:ascii="Times New Roman" w:hAnsi="Times New Roman" w:cs="Times New Roman"/>
          <w:smallCaps w:val="0"/>
          <w:sz w:val="24"/>
          <w:szCs w:val="24"/>
        </w:rPr>
        <w:fldChar w:fldCharType="end"/>
      </w:r>
      <w:r>
        <w:rPr>
          <w:rFonts w:ascii="Times New Roman" w:hAnsi="Times New Roman" w:cs="Times New Roman"/>
          <w:smallCaps w:val="0"/>
          <w:sz w:val="24"/>
          <w:szCs w:val="24"/>
        </w:rPr>
        <w:fldChar w:fldCharType="end"/>
      </w:r>
    </w:p>
    <w:p>
      <w:pPr>
        <w:pStyle w:val="20"/>
        <w:tabs>
          <w:tab w:val="right" w:leader="dot" w:pos="8303"/>
        </w:tabs>
        <w:spacing w:line="300" w:lineRule="auto"/>
        <w:rPr>
          <w:rFonts w:ascii="Times New Roman" w:hAnsi="Times New Roman" w:cs="Times New Roman"/>
          <w:smallCaps w:val="0"/>
          <w:sz w:val="24"/>
          <w:szCs w:val="24"/>
        </w:rPr>
      </w:pPr>
      <w:r>
        <w:fldChar w:fldCharType="begin"/>
      </w:r>
      <w:r>
        <w:instrText xml:space="preserve"> HYPERLINK \l "_Toc120020387" </w:instrText>
      </w:r>
      <w:r>
        <w:fldChar w:fldCharType="separate"/>
      </w:r>
      <w:r>
        <w:rPr>
          <w:rStyle w:val="29"/>
          <w:rFonts w:ascii="Times New Roman" w:hAnsi="Times New Roman" w:cs="Times New Roman"/>
          <w:smallCaps w:val="0"/>
          <w:sz w:val="24"/>
          <w:szCs w:val="24"/>
        </w:rPr>
        <w:t>4.3  预制构件混凝土粗糙面</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_Toc120020387 \h </w:instrText>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64</w:t>
      </w:r>
      <w:r>
        <w:rPr>
          <w:rFonts w:ascii="Times New Roman" w:hAnsi="Times New Roman" w:cs="Times New Roman"/>
          <w:smallCaps w:val="0"/>
          <w:sz w:val="24"/>
          <w:szCs w:val="24"/>
        </w:rPr>
        <w:fldChar w:fldCharType="end"/>
      </w:r>
      <w:r>
        <w:rPr>
          <w:rFonts w:ascii="Times New Roman" w:hAnsi="Times New Roman" w:cs="Times New Roman"/>
          <w:smallCaps w:val="0"/>
          <w:sz w:val="24"/>
          <w:szCs w:val="24"/>
        </w:rPr>
        <w:fldChar w:fldCharType="end"/>
      </w:r>
    </w:p>
    <w:p>
      <w:pPr>
        <w:pStyle w:val="20"/>
        <w:tabs>
          <w:tab w:val="right" w:leader="dot" w:pos="8303"/>
        </w:tabs>
        <w:spacing w:line="300" w:lineRule="auto"/>
        <w:rPr>
          <w:rFonts w:ascii="Times New Roman" w:hAnsi="Times New Roman" w:cs="Times New Roman"/>
          <w:smallCaps w:val="0"/>
          <w:sz w:val="24"/>
          <w:szCs w:val="24"/>
        </w:rPr>
      </w:pPr>
      <w:r>
        <w:fldChar w:fldCharType="begin"/>
      </w:r>
      <w:r>
        <w:instrText xml:space="preserve"> HYPERLINK \l "_Toc120020388" </w:instrText>
      </w:r>
      <w:r>
        <w:fldChar w:fldCharType="separate"/>
      </w:r>
      <w:r>
        <w:rPr>
          <w:rStyle w:val="29"/>
          <w:rFonts w:ascii="Times New Roman" w:hAnsi="Times New Roman" w:cs="Times New Roman"/>
          <w:smallCaps w:val="0"/>
          <w:sz w:val="24"/>
          <w:szCs w:val="24"/>
        </w:rPr>
        <w:t>4.4  预埋保温拉结件锚固承载力</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_Toc120020388 \h </w:instrText>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66</w:t>
      </w:r>
      <w:r>
        <w:rPr>
          <w:rFonts w:ascii="Times New Roman" w:hAnsi="Times New Roman" w:cs="Times New Roman"/>
          <w:smallCaps w:val="0"/>
          <w:sz w:val="24"/>
          <w:szCs w:val="24"/>
        </w:rPr>
        <w:fldChar w:fldCharType="end"/>
      </w:r>
      <w:r>
        <w:rPr>
          <w:rFonts w:ascii="Times New Roman" w:hAnsi="Times New Roman" w:cs="Times New Roman"/>
          <w:smallCaps w:val="0"/>
          <w:sz w:val="24"/>
          <w:szCs w:val="24"/>
        </w:rPr>
        <w:fldChar w:fldCharType="end"/>
      </w:r>
    </w:p>
    <w:p>
      <w:pPr>
        <w:pStyle w:val="20"/>
        <w:tabs>
          <w:tab w:val="right" w:leader="dot" w:pos="8303"/>
        </w:tabs>
        <w:spacing w:line="300" w:lineRule="auto"/>
        <w:rPr>
          <w:rFonts w:ascii="Times New Roman" w:hAnsi="Times New Roman" w:cs="Times New Roman"/>
          <w:smallCaps w:val="0"/>
          <w:sz w:val="24"/>
          <w:szCs w:val="24"/>
        </w:rPr>
      </w:pPr>
      <w:r>
        <w:fldChar w:fldCharType="begin"/>
      </w:r>
      <w:r>
        <w:instrText xml:space="preserve"> HYPERLINK \l "_Toc120020389" </w:instrText>
      </w:r>
      <w:r>
        <w:fldChar w:fldCharType="separate"/>
      </w:r>
      <w:r>
        <w:rPr>
          <w:rStyle w:val="29"/>
          <w:rFonts w:ascii="Times New Roman" w:hAnsi="Times New Roman" w:cs="Times New Roman"/>
          <w:smallCaps w:val="0"/>
          <w:sz w:val="24"/>
          <w:szCs w:val="24"/>
        </w:rPr>
        <w:t>4.5  预埋吊件锚固承载力</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_Toc120020389 \h </w:instrText>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67</w:t>
      </w:r>
      <w:r>
        <w:rPr>
          <w:rFonts w:ascii="Times New Roman" w:hAnsi="Times New Roman" w:cs="Times New Roman"/>
          <w:smallCaps w:val="0"/>
          <w:sz w:val="24"/>
          <w:szCs w:val="24"/>
        </w:rPr>
        <w:fldChar w:fldCharType="end"/>
      </w:r>
      <w:r>
        <w:rPr>
          <w:rFonts w:ascii="Times New Roman" w:hAnsi="Times New Roman" w:cs="Times New Roman"/>
          <w:smallCaps w:val="0"/>
          <w:sz w:val="24"/>
          <w:szCs w:val="24"/>
        </w:rPr>
        <w:fldChar w:fldCharType="end"/>
      </w:r>
    </w:p>
    <w:p>
      <w:pPr>
        <w:pStyle w:val="17"/>
        <w:tabs>
          <w:tab w:val="right" w:leader="dot" w:pos="8303"/>
        </w:tabs>
        <w:spacing w:before="0" w:after="0" w:line="300" w:lineRule="auto"/>
        <w:rPr>
          <w:rFonts w:ascii="Times New Roman" w:hAnsi="Times New Roman" w:cs="Times New Roman"/>
          <w:b w:val="0"/>
          <w:bCs w:val="0"/>
          <w:caps w:val="0"/>
          <w:sz w:val="24"/>
          <w:szCs w:val="24"/>
        </w:rPr>
      </w:pPr>
      <w:r>
        <w:fldChar w:fldCharType="begin"/>
      </w:r>
      <w:r>
        <w:instrText xml:space="preserve"> HYPERLINK \l "_Toc120020390" </w:instrText>
      </w:r>
      <w:r>
        <w:fldChar w:fldCharType="separate"/>
      </w:r>
      <w:r>
        <w:rPr>
          <w:rStyle w:val="29"/>
          <w:rFonts w:ascii="Times New Roman" w:hAnsi="Times New Roman" w:cs="Times New Roman"/>
          <w:b w:val="0"/>
          <w:caps w:val="0"/>
          <w:sz w:val="24"/>
          <w:szCs w:val="24"/>
        </w:rPr>
        <w:t>5  混凝土结合面连接</w:t>
      </w:r>
      <w:r>
        <w:rPr>
          <w:rFonts w:ascii="Times New Roman" w:hAnsi="Times New Roman" w:cs="Times New Roman"/>
          <w:b w:val="0"/>
          <w:caps w:val="0"/>
          <w:sz w:val="24"/>
          <w:szCs w:val="24"/>
        </w:rPr>
        <w:tab/>
      </w:r>
      <w:r>
        <w:rPr>
          <w:rFonts w:ascii="Times New Roman" w:hAnsi="Times New Roman" w:cs="Times New Roman"/>
          <w:b w:val="0"/>
          <w:caps w:val="0"/>
          <w:sz w:val="24"/>
          <w:szCs w:val="24"/>
        </w:rPr>
        <w:fldChar w:fldCharType="begin"/>
      </w:r>
      <w:r>
        <w:rPr>
          <w:rFonts w:ascii="Times New Roman" w:hAnsi="Times New Roman" w:cs="Times New Roman"/>
          <w:b w:val="0"/>
          <w:caps w:val="0"/>
          <w:sz w:val="24"/>
          <w:szCs w:val="24"/>
        </w:rPr>
        <w:instrText xml:space="preserve"> PAGEREF _Toc120020390 \h </w:instrText>
      </w:r>
      <w:r>
        <w:rPr>
          <w:rFonts w:ascii="Times New Roman" w:hAnsi="Times New Roman" w:cs="Times New Roman"/>
          <w:b w:val="0"/>
          <w:caps w:val="0"/>
          <w:sz w:val="24"/>
          <w:szCs w:val="24"/>
        </w:rPr>
        <w:fldChar w:fldCharType="separate"/>
      </w:r>
      <w:r>
        <w:rPr>
          <w:rFonts w:ascii="Times New Roman" w:hAnsi="Times New Roman" w:cs="Times New Roman"/>
          <w:b w:val="0"/>
          <w:caps w:val="0"/>
          <w:sz w:val="24"/>
          <w:szCs w:val="24"/>
        </w:rPr>
        <w:t>68</w:t>
      </w:r>
      <w:r>
        <w:rPr>
          <w:rFonts w:ascii="Times New Roman" w:hAnsi="Times New Roman" w:cs="Times New Roman"/>
          <w:b w:val="0"/>
          <w:caps w:val="0"/>
          <w:sz w:val="24"/>
          <w:szCs w:val="24"/>
        </w:rPr>
        <w:fldChar w:fldCharType="end"/>
      </w:r>
      <w:r>
        <w:rPr>
          <w:rFonts w:ascii="Times New Roman" w:hAnsi="Times New Roman" w:cs="Times New Roman"/>
          <w:b w:val="0"/>
          <w:caps w:val="0"/>
          <w:sz w:val="24"/>
          <w:szCs w:val="24"/>
        </w:rPr>
        <w:fldChar w:fldCharType="end"/>
      </w:r>
    </w:p>
    <w:p>
      <w:pPr>
        <w:pStyle w:val="20"/>
        <w:tabs>
          <w:tab w:val="right" w:leader="dot" w:pos="8303"/>
        </w:tabs>
        <w:spacing w:line="300" w:lineRule="auto"/>
        <w:rPr>
          <w:rFonts w:ascii="Times New Roman" w:hAnsi="Times New Roman" w:cs="Times New Roman"/>
          <w:smallCaps w:val="0"/>
          <w:sz w:val="24"/>
          <w:szCs w:val="24"/>
        </w:rPr>
      </w:pPr>
      <w:r>
        <w:fldChar w:fldCharType="begin"/>
      </w:r>
      <w:r>
        <w:instrText xml:space="preserve"> HYPERLINK \l "_Toc120020391" </w:instrText>
      </w:r>
      <w:r>
        <w:fldChar w:fldCharType="separate"/>
      </w:r>
      <w:r>
        <w:rPr>
          <w:rStyle w:val="29"/>
          <w:rFonts w:ascii="Times New Roman" w:hAnsi="Times New Roman" w:cs="Times New Roman"/>
          <w:smallCaps w:val="0"/>
          <w:sz w:val="24"/>
          <w:szCs w:val="24"/>
        </w:rPr>
        <w:t>5.1  一般规定</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_Toc120020391 \h </w:instrText>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68</w:t>
      </w:r>
      <w:r>
        <w:rPr>
          <w:rFonts w:ascii="Times New Roman" w:hAnsi="Times New Roman" w:cs="Times New Roman"/>
          <w:smallCaps w:val="0"/>
          <w:sz w:val="24"/>
          <w:szCs w:val="24"/>
        </w:rPr>
        <w:fldChar w:fldCharType="end"/>
      </w:r>
      <w:r>
        <w:rPr>
          <w:rFonts w:ascii="Times New Roman" w:hAnsi="Times New Roman" w:cs="Times New Roman"/>
          <w:smallCaps w:val="0"/>
          <w:sz w:val="24"/>
          <w:szCs w:val="24"/>
        </w:rPr>
        <w:fldChar w:fldCharType="end"/>
      </w:r>
    </w:p>
    <w:p>
      <w:pPr>
        <w:pStyle w:val="20"/>
        <w:tabs>
          <w:tab w:val="right" w:leader="dot" w:pos="8303"/>
        </w:tabs>
        <w:spacing w:line="300" w:lineRule="auto"/>
        <w:rPr>
          <w:rFonts w:ascii="Times New Roman" w:hAnsi="Times New Roman" w:cs="Times New Roman"/>
          <w:smallCaps w:val="0"/>
          <w:sz w:val="24"/>
          <w:szCs w:val="24"/>
        </w:rPr>
      </w:pPr>
      <w:r>
        <w:fldChar w:fldCharType="begin"/>
      </w:r>
      <w:r>
        <w:instrText xml:space="preserve"> HYPERLINK \l "_Toc120020392" </w:instrText>
      </w:r>
      <w:r>
        <w:fldChar w:fldCharType="separate"/>
      </w:r>
      <w:r>
        <w:rPr>
          <w:rStyle w:val="29"/>
          <w:rFonts w:ascii="Times New Roman" w:hAnsi="Times New Roman" w:cs="Times New Roman"/>
          <w:smallCaps w:val="0"/>
          <w:sz w:val="24"/>
          <w:szCs w:val="24"/>
        </w:rPr>
        <w:t>5.2  结合面混凝土正拉粘结强度</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_Toc120020392 \h </w:instrText>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68</w:t>
      </w:r>
      <w:r>
        <w:rPr>
          <w:rFonts w:ascii="Times New Roman" w:hAnsi="Times New Roman" w:cs="Times New Roman"/>
          <w:smallCaps w:val="0"/>
          <w:sz w:val="24"/>
          <w:szCs w:val="24"/>
        </w:rPr>
        <w:fldChar w:fldCharType="end"/>
      </w:r>
      <w:r>
        <w:rPr>
          <w:rFonts w:ascii="Times New Roman" w:hAnsi="Times New Roman" w:cs="Times New Roman"/>
          <w:smallCaps w:val="0"/>
          <w:sz w:val="24"/>
          <w:szCs w:val="24"/>
        </w:rPr>
        <w:fldChar w:fldCharType="end"/>
      </w:r>
    </w:p>
    <w:p>
      <w:pPr>
        <w:pStyle w:val="20"/>
        <w:tabs>
          <w:tab w:val="right" w:leader="dot" w:pos="8303"/>
        </w:tabs>
        <w:spacing w:line="300" w:lineRule="auto"/>
        <w:rPr>
          <w:rFonts w:ascii="Times New Roman" w:hAnsi="Times New Roman" w:cs="Times New Roman"/>
          <w:smallCaps w:val="0"/>
          <w:sz w:val="24"/>
          <w:szCs w:val="24"/>
        </w:rPr>
      </w:pPr>
      <w:r>
        <w:fldChar w:fldCharType="begin"/>
      </w:r>
      <w:r>
        <w:instrText xml:space="preserve"> HYPERLINK \l "_Toc120020393" </w:instrText>
      </w:r>
      <w:r>
        <w:fldChar w:fldCharType="separate"/>
      </w:r>
      <w:r>
        <w:rPr>
          <w:rStyle w:val="29"/>
          <w:rFonts w:ascii="Times New Roman" w:hAnsi="Times New Roman" w:cs="Times New Roman"/>
          <w:smallCaps w:val="0"/>
          <w:sz w:val="24"/>
          <w:szCs w:val="24"/>
        </w:rPr>
        <w:t>5.3  混凝土内部结合面连接缺陷</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_Toc120020393 \h </w:instrText>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69</w:t>
      </w:r>
      <w:r>
        <w:rPr>
          <w:rFonts w:ascii="Times New Roman" w:hAnsi="Times New Roman" w:cs="Times New Roman"/>
          <w:smallCaps w:val="0"/>
          <w:sz w:val="24"/>
          <w:szCs w:val="24"/>
        </w:rPr>
        <w:fldChar w:fldCharType="end"/>
      </w:r>
      <w:r>
        <w:rPr>
          <w:rFonts w:ascii="Times New Roman" w:hAnsi="Times New Roman" w:cs="Times New Roman"/>
          <w:smallCaps w:val="0"/>
          <w:sz w:val="24"/>
          <w:szCs w:val="24"/>
        </w:rPr>
        <w:fldChar w:fldCharType="end"/>
      </w:r>
    </w:p>
    <w:p>
      <w:pPr>
        <w:pStyle w:val="20"/>
        <w:tabs>
          <w:tab w:val="right" w:leader="dot" w:pos="8303"/>
        </w:tabs>
        <w:spacing w:line="300" w:lineRule="auto"/>
        <w:rPr>
          <w:rFonts w:ascii="Times New Roman" w:hAnsi="Times New Roman" w:cs="Times New Roman"/>
          <w:smallCaps w:val="0"/>
          <w:sz w:val="24"/>
          <w:szCs w:val="24"/>
        </w:rPr>
      </w:pPr>
      <w:r>
        <w:fldChar w:fldCharType="begin"/>
      </w:r>
      <w:r>
        <w:instrText xml:space="preserve"> HYPERLINK \l "_Toc120020394" </w:instrText>
      </w:r>
      <w:r>
        <w:fldChar w:fldCharType="separate"/>
      </w:r>
      <w:r>
        <w:rPr>
          <w:rStyle w:val="29"/>
          <w:rFonts w:ascii="Times New Roman" w:hAnsi="Times New Roman" w:cs="Times New Roman"/>
          <w:smallCaps w:val="0"/>
          <w:sz w:val="24"/>
          <w:szCs w:val="24"/>
        </w:rPr>
        <w:t>5.4  竖向构件底部接缝内部缺陷</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_Toc120020394 \h </w:instrText>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69</w:t>
      </w:r>
      <w:r>
        <w:rPr>
          <w:rFonts w:ascii="Times New Roman" w:hAnsi="Times New Roman" w:cs="Times New Roman"/>
          <w:smallCaps w:val="0"/>
          <w:sz w:val="24"/>
          <w:szCs w:val="24"/>
        </w:rPr>
        <w:fldChar w:fldCharType="end"/>
      </w:r>
      <w:r>
        <w:rPr>
          <w:rFonts w:ascii="Times New Roman" w:hAnsi="Times New Roman" w:cs="Times New Roman"/>
          <w:smallCaps w:val="0"/>
          <w:sz w:val="24"/>
          <w:szCs w:val="24"/>
        </w:rPr>
        <w:fldChar w:fldCharType="end"/>
      </w:r>
    </w:p>
    <w:p>
      <w:pPr>
        <w:pStyle w:val="17"/>
        <w:tabs>
          <w:tab w:val="right" w:leader="dot" w:pos="8303"/>
        </w:tabs>
        <w:spacing w:before="0" w:after="0" w:line="300" w:lineRule="auto"/>
        <w:rPr>
          <w:rFonts w:ascii="Times New Roman" w:hAnsi="Times New Roman" w:cs="Times New Roman"/>
          <w:b w:val="0"/>
          <w:bCs w:val="0"/>
          <w:caps w:val="0"/>
          <w:sz w:val="24"/>
          <w:szCs w:val="24"/>
        </w:rPr>
      </w:pPr>
      <w:r>
        <w:fldChar w:fldCharType="begin"/>
      </w:r>
      <w:r>
        <w:instrText xml:space="preserve"> HYPERLINK \l "_Toc120020395" </w:instrText>
      </w:r>
      <w:r>
        <w:fldChar w:fldCharType="separate"/>
      </w:r>
      <w:r>
        <w:rPr>
          <w:rStyle w:val="29"/>
          <w:rFonts w:ascii="Times New Roman" w:hAnsi="Times New Roman" w:cs="Times New Roman"/>
          <w:b w:val="0"/>
          <w:caps w:val="0"/>
          <w:sz w:val="24"/>
          <w:szCs w:val="24"/>
        </w:rPr>
        <w:t>6  钢筋套筒灌浆连接</w:t>
      </w:r>
      <w:r>
        <w:rPr>
          <w:rFonts w:ascii="Times New Roman" w:hAnsi="Times New Roman" w:cs="Times New Roman"/>
          <w:b w:val="0"/>
          <w:caps w:val="0"/>
          <w:sz w:val="24"/>
          <w:szCs w:val="24"/>
        </w:rPr>
        <w:tab/>
      </w:r>
      <w:r>
        <w:rPr>
          <w:rFonts w:ascii="Times New Roman" w:hAnsi="Times New Roman" w:cs="Times New Roman"/>
          <w:b w:val="0"/>
          <w:caps w:val="0"/>
          <w:sz w:val="24"/>
          <w:szCs w:val="24"/>
        </w:rPr>
        <w:fldChar w:fldCharType="begin"/>
      </w:r>
      <w:r>
        <w:rPr>
          <w:rFonts w:ascii="Times New Roman" w:hAnsi="Times New Roman" w:cs="Times New Roman"/>
          <w:b w:val="0"/>
          <w:caps w:val="0"/>
          <w:sz w:val="24"/>
          <w:szCs w:val="24"/>
        </w:rPr>
        <w:instrText xml:space="preserve"> PAGEREF _Toc120020395 \h </w:instrText>
      </w:r>
      <w:r>
        <w:rPr>
          <w:rFonts w:ascii="Times New Roman" w:hAnsi="Times New Roman" w:cs="Times New Roman"/>
          <w:b w:val="0"/>
          <w:caps w:val="0"/>
          <w:sz w:val="24"/>
          <w:szCs w:val="24"/>
        </w:rPr>
        <w:fldChar w:fldCharType="separate"/>
      </w:r>
      <w:r>
        <w:rPr>
          <w:rFonts w:ascii="Times New Roman" w:hAnsi="Times New Roman" w:cs="Times New Roman"/>
          <w:b w:val="0"/>
          <w:caps w:val="0"/>
          <w:sz w:val="24"/>
          <w:szCs w:val="24"/>
        </w:rPr>
        <w:t>71</w:t>
      </w:r>
      <w:r>
        <w:rPr>
          <w:rFonts w:ascii="Times New Roman" w:hAnsi="Times New Roman" w:cs="Times New Roman"/>
          <w:b w:val="0"/>
          <w:caps w:val="0"/>
          <w:sz w:val="24"/>
          <w:szCs w:val="24"/>
        </w:rPr>
        <w:fldChar w:fldCharType="end"/>
      </w:r>
      <w:r>
        <w:rPr>
          <w:rFonts w:ascii="Times New Roman" w:hAnsi="Times New Roman" w:cs="Times New Roman"/>
          <w:b w:val="0"/>
          <w:caps w:val="0"/>
          <w:sz w:val="24"/>
          <w:szCs w:val="24"/>
        </w:rPr>
        <w:fldChar w:fldCharType="end"/>
      </w:r>
    </w:p>
    <w:p>
      <w:pPr>
        <w:pStyle w:val="20"/>
        <w:tabs>
          <w:tab w:val="right" w:leader="dot" w:pos="8303"/>
        </w:tabs>
        <w:spacing w:line="300" w:lineRule="auto"/>
        <w:rPr>
          <w:rFonts w:ascii="Times New Roman" w:hAnsi="Times New Roman" w:cs="Times New Roman"/>
          <w:smallCaps w:val="0"/>
          <w:sz w:val="24"/>
          <w:szCs w:val="24"/>
        </w:rPr>
      </w:pPr>
      <w:r>
        <w:fldChar w:fldCharType="begin"/>
      </w:r>
      <w:r>
        <w:instrText xml:space="preserve"> HYPERLINK \l "_Toc120020396" </w:instrText>
      </w:r>
      <w:r>
        <w:fldChar w:fldCharType="separate"/>
      </w:r>
      <w:r>
        <w:rPr>
          <w:rStyle w:val="29"/>
          <w:rFonts w:ascii="Times New Roman" w:hAnsi="Times New Roman" w:cs="Times New Roman"/>
          <w:smallCaps w:val="0"/>
          <w:sz w:val="24"/>
          <w:szCs w:val="24"/>
        </w:rPr>
        <w:t>6.1  一般规定</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_Toc120020396 \h </w:instrText>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71</w:t>
      </w:r>
      <w:r>
        <w:rPr>
          <w:rFonts w:ascii="Times New Roman" w:hAnsi="Times New Roman" w:cs="Times New Roman"/>
          <w:smallCaps w:val="0"/>
          <w:sz w:val="24"/>
          <w:szCs w:val="24"/>
        </w:rPr>
        <w:fldChar w:fldCharType="end"/>
      </w:r>
      <w:r>
        <w:rPr>
          <w:rFonts w:ascii="Times New Roman" w:hAnsi="Times New Roman" w:cs="Times New Roman"/>
          <w:smallCaps w:val="0"/>
          <w:sz w:val="24"/>
          <w:szCs w:val="24"/>
        </w:rPr>
        <w:fldChar w:fldCharType="end"/>
      </w:r>
    </w:p>
    <w:p>
      <w:pPr>
        <w:pStyle w:val="20"/>
        <w:tabs>
          <w:tab w:val="right" w:leader="dot" w:pos="8303"/>
        </w:tabs>
        <w:spacing w:line="300" w:lineRule="auto"/>
        <w:rPr>
          <w:rFonts w:ascii="Times New Roman" w:hAnsi="Times New Roman" w:cs="Times New Roman"/>
          <w:smallCaps w:val="0"/>
          <w:sz w:val="24"/>
          <w:szCs w:val="24"/>
        </w:rPr>
      </w:pPr>
      <w:r>
        <w:fldChar w:fldCharType="begin"/>
      </w:r>
      <w:r>
        <w:instrText xml:space="preserve"> HYPERLINK \l "_Toc120020397" </w:instrText>
      </w:r>
      <w:r>
        <w:fldChar w:fldCharType="separate"/>
      </w:r>
      <w:r>
        <w:rPr>
          <w:rStyle w:val="29"/>
          <w:rFonts w:ascii="Times New Roman" w:hAnsi="Times New Roman" w:cs="Times New Roman"/>
          <w:smallCaps w:val="0"/>
          <w:sz w:val="24"/>
          <w:szCs w:val="24"/>
        </w:rPr>
        <w:t>6.2  灌浆料实体强度</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_Toc120020397 \h </w:instrText>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71</w:t>
      </w:r>
      <w:r>
        <w:rPr>
          <w:rFonts w:ascii="Times New Roman" w:hAnsi="Times New Roman" w:cs="Times New Roman"/>
          <w:smallCaps w:val="0"/>
          <w:sz w:val="24"/>
          <w:szCs w:val="24"/>
        </w:rPr>
        <w:fldChar w:fldCharType="end"/>
      </w:r>
      <w:r>
        <w:rPr>
          <w:rFonts w:ascii="Times New Roman" w:hAnsi="Times New Roman" w:cs="Times New Roman"/>
          <w:smallCaps w:val="0"/>
          <w:sz w:val="24"/>
          <w:szCs w:val="24"/>
        </w:rPr>
        <w:fldChar w:fldCharType="end"/>
      </w:r>
    </w:p>
    <w:p>
      <w:pPr>
        <w:pStyle w:val="20"/>
        <w:tabs>
          <w:tab w:val="right" w:leader="dot" w:pos="8303"/>
        </w:tabs>
        <w:spacing w:line="300" w:lineRule="auto"/>
        <w:rPr>
          <w:rFonts w:ascii="Times New Roman" w:hAnsi="Times New Roman" w:cs="Times New Roman"/>
          <w:smallCaps w:val="0"/>
          <w:sz w:val="24"/>
          <w:szCs w:val="24"/>
        </w:rPr>
      </w:pPr>
      <w:r>
        <w:fldChar w:fldCharType="begin"/>
      </w:r>
      <w:r>
        <w:instrText xml:space="preserve"> HYPERLINK \l "_Toc120020398" </w:instrText>
      </w:r>
      <w:r>
        <w:fldChar w:fldCharType="separate"/>
      </w:r>
      <w:r>
        <w:rPr>
          <w:rStyle w:val="29"/>
          <w:rFonts w:ascii="Times New Roman" w:hAnsi="Times New Roman" w:cs="Times New Roman"/>
          <w:smallCaps w:val="0"/>
          <w:sz w:val="24"/>
          <w:szCs w:val="24"/>
        </w:rPr>
        <w:t>6.3  灌浆饱满度</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_Toc120020398 \h </w:instrText>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72</w:t>
      </w:r>
      <w:r>
        <w:rPr>
          <w:rFonts w:ascii="Times New Roman" w:hAnsi="Times New Roman" w:cs="Times New Roman"/>
          <w:smallCaps w:val="0"/>
          <w:sz w:val="24"/>
          <w:szCs w:val="24"/>
        </w:rPr>
        <w:fldChar w:fldCharType="end"/>
      </w:r>
      <w:r>
        <w:rPr>
          <w:rFonts w:ascii="Times New Roman" w:hAnsi="Times New Roman" w:cs="Times New Roman"/>
          <w:smallCaps w:val="0"/>
          <w:sz w:val="24"/>
          <w:szCs w:val="24"/>
        </w:rPr>
        <w:fldChar w:fldCharType="end"/>
      </w:r>
    </w:p>
    <w:p>
      <w:pPr>
        <w:pStyle w:val="20"/>
        <w:tabs>
          <w:tab w:val="right" w:leader="dot" w:pos="8303"/>
        </w:tabs>
        <w:spacing w:line="300" w:lineRule="auto"/>
        <w:rPr>
          <w:rFonts w:ascii="Times New Roman" w:hAnsi="Times New Roman" w:cs="Times New Roman"/>
          <w:smallCaps w:val="0"/>
          <w:sz w:val="24"/>
          <w:szCs w:val="24"/>
        </w:rPr>
      </w:pPr>
      <w:r>
        <w:fldChar w:fldCharType="begin"/>
      </w:r>
      <w:r>
        <w:instrText xml:space="preserve"> HYPERLINK \l "_Toc120020399" </w:instrText>
      </w:r>
      <w:r>
        <w:fldChar w:fldCharType="separate"/>
      </w:r>
      <w:r>
        <w:rPr>
          <w:rStyle w:val="29"/>
          <w:rFonts w:ascii="Times New Roman" w:hAnsi="Times New Roman" w:cs="Times New Roman"/>
          <w:smallCaps w:val="0"/>
          <w:sz w:val="24"/>
          <w:szCs w:val="24"/>
        </w:rPr>
        <w:t>6.4  钢筋插入长度</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_Toc120020399 \h </w:instrText>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72</w:t>
      </w:r>
      <w:r>
        <w:rPr>
          <w:rFonts w:ascii="Times New Roman" w:hAnsi="Times New Roman" w:cs="Times New Roman"/>
          <w:smallCaps w:val="0"/>
          <w:sz w:val="24"/>
          <w:szCs w:val="24"/>
        </w:rPr>
        <w:fldChar w:fldCharType="end"/>
      </w:r>
      <w:r>
        <w:rPr>
          <w:rFonts w:ascii="Times New Roman" w:hAnsi="Times New Roman" w:cs="Times New Roman"/>
          <w:smallCaps w:val="0"/>
          <w:sz w:val="24"/>
          <w:szCs w:val="24"/>
        </w:rPr>
        <w:fldChar w:fldCharType="end"/>
      </w:r>
    </w:p>
    <w:p>
      <w:pPr>
        <w:pStyle w:val="17"/>
        <w:tabs>
          <w:tab w:val="right" w:leader="dot" w:pos="8303"/>
        </w:tabs>
        <w:spacing w:before="0" w:after="0" w:line="300" w:lineRule="auto"/>
        <w:rPr>
          <w:rFonts w:ascii="Times New Roman" w:hAnsi="Times New Roman" w:cs="Times New Roman"/>
          <w:b w:val="0"/>
          <w:bCs w:val="0"/>
          <w:caps w:val="0"/>
          <w:sz w:val="24"/>
          <w:szCs w:val="24"/>
        </w:rPr>
      </w:pPr>
      <w:r>
        <w:fldChar w:fldCharType="begin"/>
      </w:r>
      <w:r>
        <w:instrText xml:space="preserve"> HYPERLINK \l "_Toc120020400" </w:instrText>
      </w:r>
      <w:r>
        <w:fldChar w:fldCharType="separate"/>
      </w:r>
      <w:r>
        <w:rPr>
          <w:rStyle w:val="29"/>
          <w:rFonts w:ascii="Times New Roman" w:hAnsi="Times New Roman" w:cs="Times New Roman"/>
          <w:b w:val="0"/>
          <w:caps w:val="0"/>
          <w:sz w:val="24"/>
          <w:szCs w:val="24"/>
        </w:rPr>
        <w:t>7  装配式混凝土外墙拼缝连接</w:t>
      </w:r>
      <w:r>
        <w:rPr>
          <w:rFonts w:ascii="Times New Roman" w:hAnsi="Times New Roman" w:cs="Times New Roman"/>
          <w:b w:val="0"/>
          <w:caps w:val="0"/>
          <w:sz w:val="24"/>
          <w:szCs w:val="24"/>
        </w:rPr>
        <w:tab/>
      </w:r>
      <w:r>
        <w:rPr>
          <w:rFonts w:ascii="Times New Roman" w:hAnsi="Times New Roman" w:cs="Times New Roman"/>
          <w:b w:val="0"/>
          <w:caps w:val="0"/>
          <w:sz w:val="24"/>
          <w:szCs w:val="24"/>
        </w:rPr>
        <w:fldChar w:fldCharType="begin"/>
      </w:r>
      <w:r>
        <w:rPr>
          <w:rFonts w:ascii="Times New Roman" w:hAnsi="Times New Roman" w:cs="Times New Roman"/>
          <w:b w:val="0"/>
          <w:caps w:val="0"/>
          <w:sz w:val="24"/>
          <w:szCs w:val="24"/>
        </w:rPr>
        <w:instrText xml:space="preserve"> PAGEREF _Toc120020400 \h </w:instrText>
      </w:r>
      <w:r>
        <w:rPr>
          <w:rFonts w:ascii="Times New Roman" w:hAnsi="Times New Roman" w:cs="Times New Roman"/>
          <w:b w:val="0"/>
          <w:caps w:val="0"/>
          <w:sz w:val="24"/>
          <w:szCs w:val="24"/>
        </w:rPr>
        <w:fldChar w:fldCharType="separate"/>
      </w:r>
      <w:r>
        <w:rPr>
          <w:rFonts w:ascii="Times New Roman" w:hAnsi="Times New Roman" w:cs="Times New Roman"/>
          <w:b w:val="0"/>
          <w:caps w:val="0"/>
          <w:sz w:val="24"/>
          <w:szCs w:val="24"/>
        </w:rPr>
        <w:t>74</w:t>
      </w:r>
      <w:r>
        <w:rPr>
          <w:rFonts w:ascii="Times New Roman" w:hAnsi="Times New Roman" w:cs="Times New Roman"/>
          <w:b w:val="0"/>
          <w:caps w:val="0"/>
          <w:sz w:val="24"/>
          <w:szCs w:val="24"/>
        </w:rPr>
        <w:fldChar w:fldCharType="end"/>
      </w:r>
      <w:r>
        <w:rPr>
          <w:rFonts w:ascii="Times New Roman" w:hAnsi="Times New Roman" w:cs="Times New Roman"/>
          <w:b w:val="0"/>
          <w:caps w:val="0"/>
          <w:sz w:val="24"/>
          <w:szCs w:val="24"/>
        </w:rPr>
        <w:fldChar w:fldCharType="end"/>
      </w:r>
    </w:p>
    <w:p>
      <w:pPr>
        <w:pStyle w:val="20"/>
        <w:tabs>
          <w:tab w:val="right" w:leader="dot" w:pos="8303"/>
        </w:tabs>
        <w:spacing w:line="300" w:lineRule="auto"/>
        <w:rPr>
          <w:rFonts w:ascii="Times New Roman" w:hAnsi="Times New Roman" w:cs="Times New Roman"/>
          <w:smallCaps w:val="0"/>
          <w:sz w:val="24"/>
          <w:szCs w:val="24"/>
        </w:rPr>
      </w:pPr>
      <w:r>
        <w:fldChar w:fldCharType="begin"/>
      </w:r>
      <w:r>
        <w:instrText xml:space="preserve"> HYPERLINK \l "_Toc120020401" </w:instrText>
      </w:r>
      <w:r>
        <w:fldChar w:fldCharType="separate"/>
      </w:r>
      <w:r>
        <w:rPr>
          <w:rStyle w:val="29"/>
          <w:rFonts w:ascii="Times New Roman" w:hAnsi="Times New Roman" w:cs="Times New Roman"/>
          <w:smallCaps w:val="0"/>
          <w:sz w:val="24"/>
          <w:szCs w:val="24"/>
        </w:rPr>
        <w:t>7.1  混凝土外墙拼缝的密封胶粘结质量</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_Toc120020401 \h </w:instrText>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74</w:t>
      </w:r>
      <w:r>
        <w:rPr>
          <w:rFonts w:ascii="Times New Roman" w:hAnsi="Times New Roman" w:cs="Times New Roman"/>
          <w:smallCaps w:val="0"/>
          <w:sz w:val="24"/>
          <w:szCs w:val="24"/>
        </w:rPr>
        <w:fldChar w:fldCharType="end"/>
      </w:r>
      <w:r>
        <w:rPr>
          <w:rFonts w:ascii="Times New Roman" w:hAnsi="Times New Roman" w:cs="Times New Roman"/>
          <w:smallCaps w:val="0"/>
          <w:sz w:val="24"/>
          <w:szCs w:val="24"/>
        </w:rPr>
        <w:fldChar w:fldCharType="end"/>
      </w:r>
    </w:p>
    <w:p>
      <w:pPr>
        <w:pStyle w:val="20"/>
        <w:tabs>
          <w:tab w:val="right" w:leader="dot" w:pos="8303"/>
        </w:tabs>
        <w:spacing w:line="300" w:lineRule="auto"/>
        <w:rPr>
          <w:rFonts w:ascii="Times New Roman" w:hAnsi="Times New Roman" w:cs="Times New Roman"/>
          <w:smallCaps w:val="0"/>
          <w:sz w:val="24"/>
          <w:szCs w:val="24"/>
        </w:rPr>
      </w:pPr>
      <w:r>
        <w:fldChar w:fldCharType="begin"/>
      </w:r>
      <w:r>
        <w:instrText xml:space="preserve"> HYPERLINK \l "_Toc120020402" </w:instrText>
      </w:r>
      <w:r>
        <w:fldChar w:fldCharType="separate"/>
      </w:r>
      <w:r>
        <w:rPr>
          <w:rStyle w:val="29"/>
          <w:rFonts w:ascii="Times New Roman" w:hAnsi="Times New Roman" w:cs="Times New Roman"/>
          <w:smallCaps w:val="0"/>
          <w:sz w:val="24"/>
          <w:szCs w:val="24"/>
        </w:rPr>
        <w:t>7.2  混凝土外墙拼缝的防水质量</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_Toc120020402 \h </w:instrText>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74</w:t>
      </w:r>
      <w:r>
        <w:rPr>
          <w:rFonts w:ascii="Times New Roman" w:hAnsi="Times New Roman" w:cs="Times New Roman"/>
          <w:smallCaps w:val="0"/>
          <w:sz w:val="24"/>
          <w:szCs w:val="24"/>
        </w:rPr>
        <w:fldChar w:fldCharType="end"/>
      </w:r>
      <w:r>
        <w:rPr>
          <w:rFonts w:ascii="Times New Roman" w:hAnsi="Times New Roman" w:cs="Times New Roman"/>
          <w:smallCaps w:val="0"/>
          <w:sz w:val="24"/>
          <w:szCs w:val="24"/>
        </w:rPr>
        <w:fldChar w:fldCharType="end"/>
      </w:r>
    </w:p>
    <w:p>
      <w:pPr>
        <w:pStyle w:val="17"/>
        <w:tabs>
          <w:tab w:val="right" w:leader="dot" w:pos="8303"/>
        </w:tabs>
        <w:spacing w:before="0" w:after="0" w:line="300" w:lineRule="auto"/>
        <w:rPr>
          <w:rFonts w:ascii="Times New Roman" w:hAnsi="Times New Roman" w:cs="Times New Roman"/>
          <w:b w:val="0"/>
          <w:bCs w:val="0"/>
          <w:caps w:val="0"/>
          <w:sz w:val="24"/>
          <w:szCs w:val="24"/>
        </w:rPr>
      </w:pPr>
      <w:r>
        <w:fldChar w:fldCharType="begin"/>
      </w:r>
      <w:r>
        <w:instrText xml:space="preserve"> HYPERLINK \l "_Toc120020403" </w:instrText>
      </w:r>
      <w:r>
        <w:fldChar w:fldCharType="separate"/>
      </w:r>
      <w:r>
        <w:rPr>
          <w:rStyle w:val="29"/>
          <w:rFonts w:ascii="Times New Roman" w:hAnsi="Times New Roman" w:cs="Times New Roman"/>
          <w:b w:val="0"/>
          <w:caps w:val="0"/>
          <w:sz w:val="24"/>
          <w:szCs w:val="24"/>
        </w:rPr>
        <w:t>附录A  直径50mm芯样钻芯法检测混凝土抗压强度</w:t>
      </w:r>
      <w:r>
        <w:rPr>
          <w:rFonts w:ascii="Times New Roman" w:hAnsi="Times New Roman" w:cs="Times New Roman"/>
          <w:b w:val="0"/>
          <w:caps w:val="0"/>
          <w:sz w:val="24"/>
          <w:szCs w:val="24"/>
        </w:rPr>
        <w:tab/>
      </w:r>
      <w:r>
        <w:rPr>
          <w:rFonts w:ascii="Times New Roman" w:hAnsi="Times New Roman" w:cs="Times New Roman"/>
          <w:b w:val="0"/>
          <w:caps w:val="0"/>
          <w:sz w:val="24"/>
          <w:szCs w:val="24"/>
        </w:rPr>
        <w:fldChar w:fldCharType="begin"/>
      </w:r>
      <w:r>
        <w:rPr>
          <w:rFonts w:ascii="Times New Roman" w:hAnsi="Times New Roman" w:cs="Times New Roman"/>
          <w:b w:val="0"/>
          <w:caps w:val="0"/>
          <w:sz w:val="24"/>
          <w:szCs w:val="24"/>
        </w:rPr>
        <w:instrText xml:space="preserve"> PAGEREF _Toc120020403 \h </w:instrText>
      </w:r>
      <w:r>
        <w:rPr>
          <w:rFonts w:ascii="Times New Roman" w:hAnsi="Times New Roman" w:cs="Times New Roman"/>
          <w:b w:val="0"/>
          <w:caps w:val="0"/>
          <w:sz w:val="24"/>
          <w:szCs w:val="24"/>
        </w:rPr>
        <w:fldChar w:fldCharType="separate"/>
      </w:r>
      <w:r>
        <w:rPr>
          <w:rFonts w:ascii="Times New Roman" w:hAnsi="Times New Roman" w:cs="Times New Roman"/>
          <w:b w:val="0"/>
          <w:caps w:val="0"/>
          <w:sz w:val="24"/>
          <w:szCs w:val="24"/>
        </w:rPr>
        <w:t>76</w:t>
      </w:r>
      <w:r>
        <w:rPr>
          <w:rFonts w:ascii="Times New Roman" w:hAnsi="Times New Roman" w:cs="Times New Roman"/>
          <w:b w:val="0"/>
          <w:caps w:val="0"/>
          <w:sz w:val="24"/>
          <w:szCs w:val="24"/>
        </w:rPr>
        <w:fldChar w:fldCharType="end"/>
      </w:r>
      <w:r>
        <w:rPr>
          <w:rFonts w:ascii="Times New Roman" w:hAnsi="Times New Roman" w:cs="Times New Roman"/>
          <w:b w:val="0"/>
          <w:caps w:val="0"/>
          <w:sz w:val="24"/>
          <w:szCs w:val="24"/>
        </w:rPr>
        <w:fldChar w:fldCharType="end"/>
      </w:r>
    </w:p>
    <w:p>
      <w:pPr>
        <w:pStyle w:val="17"/>
        <w:tabs>
          <w:tab w:val="right" w:leader="dot" w:pos="8303"/>
        </w:tabs>
        <w:spacing w:before="0" w:after="0" w:line="300" w:lineRule="auto"/>
        <w:rPr>
          <w:rFonts w:ascii="Times New Roman" w:hAnsi="Times New Roman" w:cs="Times New Roman"/>
          <w:b w:val="0"/>
          <w:bCs w:val="0"/>
          <w:caps w:val="0"/>
          <w:sz w:val="24"/>
          <w:szCs w:val="24"/>
        </w:rPr>
      </w:pPr>
      <w:r>
        <w:fldChar w:fldCharType="begin"/>
      </w:r>
      <w:r>
        <w:instrText xml:space="preserve"> HYPERLINK \l "_Toc120020404" </w:instrText>
      </w:r>
      <w:r>
        <w:fldChar w:fldCharType="separate"/>
      </w:r>
      <w:r>
        <w:rPr>
          <w:rStyle w:val="29"/>
          <w:rFonts w:ascii="Times New Roman" w:hAnsi="Times New Roman" w:cs="Times New Roman"/>
          <w:b w:val="0"/>
          <w:caps w:val="0"/>
          <w:sz w:val="24"/>
          <w:szCs w:val="24"/>
        </w:rPr>
        <w:t>附录B  推定系数</w:t>
      </w:r>
      <w:r>
        <w:rPr>
          <w:rFonts w:ascii="Times New Roman" w:hAnsi="Times New Roman" w:cs="Times New Roman"/>
          <w:b w:val="0"/>
          <w:caps w:val="0"/>
          <w:sz w:val="24"/>
          <w:szCs w:val="24"/>
        </w:rPr>
        <w:tab/>
      </w:r>
      <w:r>
        <w:rPr>
          <w:rFonts w:ascii="Times New Roman" w:hAnsi="Times New Roman" w:cs="Times New Roman"/>
          <w:b w:val="0"/>
          <w:caps w:val="0"/>
          <w:sz w:val="24"/>
          <w:szCs w:val="24"/>
        </w:rPr>
        <w:fldChar w:fldCharType="begin"/>
      </w:r>
      <w:r>
        <w:rPr>
          <w:rFonts w:ascii="Times New Roman" w:hAnsi="Times New Roman" w:cs="Times New Roman"/>
          <w:b w:val="0"/>
          <w:caps w:val="0"/>
          <w:sz w:val="24"/>
          <w:szCs w:val="24"/>
        </w:rPr>
        <w:instrText xml:space="preserve"> PAGEREF _Toc120020404 \h </w:instrText>
      </w:r>
      <w:r>
        <w:rPr>
          <w:rFonts w:ascii="Times New Roman" w:hAnsi="Times New Roman" w:cs="Times New Roman"/>
          <w:b w:val="0"/>
          <w:caps w:val="0"/>
          <w:sz w:val="24"/>
          <w:szCs w:val="24"/>
        </w:rPr>
        <w:fldChar w:fldCharType="separate"/>
      </w:r>
      <w:r>
        <w:rPr>
          <w:rFonts w:ascii="Times New Roman" w:hAnsi="Times New Roman" w:cs="Times New Roman"/>
          <w:b w:val="0"/>
          <w:caps w:val="0"/>
          <w:sz w:val="24"/>
          <w:szCs w:val="24"/>
        </w:rPr>
        <w:t>78</w:t>
      </w:r>
      <w:r>
        <w:rPr>
          <w:rFonts w:ascii="Times New Roman" w:hAnsi="Times New Roman" w:cs="Times New Roman"/>
          <w:b w:val="0"/>
          <w:caps w:val="0"/>
          <w:sz w:val="24"/>
          <w:szCs w:val="24"/>
        </w:rPr>
        <w:fldChar w:fldCharType="end"/>
      </w:r>
      <w:r>
        <w:rPr>
          <w:rFonts w:ascii="Times New Roman" w:hAnsi="Times New Roman" w:cs="Times New Roman"/>
          <w:b w:val="0"/>
          <w:caps w:val="0"/>
          <w:sz w:val="24"/>
          <w:szCs w:val="24"/>
        </w:rPr>
        <w:fldChar w:fldCharType="end"/>
      </w:r>
    </w:p>
    <w:p>
      <w:pPr>
        <w:pStyle w:val="17"/>
        <w:tabs>
          <w:tab w:val="right" w:leader="dot" w:pos="8303"/>
        </w:tabs>
        <w:spacing w:before="0" w:after="0" w:line="300" w:lineRule="auto"/>
        <w:rPr>
          <w:rFonts w:ascii="Times New Roman" w:hAnsi="Times New Roman" w:cs="Times New Roman"/>
          <w:b w:val="0"/>
          <w:bCs w:val="0"/>
          <w:caps w:val="0"/>
          <w:sz w:val="24"/>
          <w:szCs w:val="24"/>
        </w:rPr>
      </w:pPr>
      <w:r>
        <w:fldChar w:fldCharType="begin"/>
      </w:r>
      <w:r>
        <w:instrText xml:space="preserve"> HYPERLINK \l "_Toc120020405" </w:instrText>
      </w:r>
      <w:r>
        <w:fldChar w:fldCharType="separate"/>
      </w:r>
      <w:r>
        <w:rPr>
          <w:rStyle w:val="29"/>
          <w:rFonts w:ascii="Times New Roman" w:hAnsi="Times New Roman" w:cs="Times New Roman"/>
          <w:b w:val="0"/>
          <w:caps w:val="0"/>
          <w:sz w:val="24"/>
          <w:szCs w:val="24"/>
        </w:rPr>
        <w:t>附录C  阵列超声法检测混凝土内部缺陷</w:t>
      </w:r>
      <w:r>
        <w:rPr>
          <w:rFonts w:ascii="Times New Roman" w:hAnsi="Times New Roman" w:cs="Times New Roman"/>
          <w:b w:val="0"/>
          <w:caps w:val="0"/>
          <w:sz w:val="24"/>
          <w:szCs w:val="24"/>
        </w:rPr>
        <w:tab/>
      </w:r>
      <w:r>
        <w:rPr>
          <w:rFonts w:ascii="Times New Roman" w:hAnsi="Times New Roman" w:cs="Times New Roman"/>
          <w:b w:val="0"/>
          <w:caps w:val="0"/>
          <w:sz w:val="24"/>
          <w:szCs w:val="24"/>
        </w:rPr>
        <w:fldChar w:fldCharType="begin"/>
      </w:r>
      <w:r>
        <w:rPr>
          <w:rFonts w:ascii="Times New Roman" w:hAnsi="Times New Roman" w:cs="Times New Roman"/>
          <w:b w:val="0"/>
          <w:caps w:val="0"/>
          <w:sz w:val="24"/>
          <w:szCs w:val="24"/>
        </w:rPr>
        <w:instrText xml:space="preserve"> PAGEREF _Toc120020405 \h </w:instrText>
      </w:r>
      <w:r>
        <w:rPr>
          <w:rFonts w:ascii="Times New Roman" w:hAnsi="Times New Roman" w:cs="Times New Roman"/>
          <w:b w:val="0"/>
          <w:caps w:val="0"/>
          <w:sz w:val="24"/>
          <w:szCs w:val="24"/>
        </w:rPr>
        <w:fldChar w:fldCharType="separate"/>
      </w:r>
      <w:r>
        <w:rPr>
          <w:rFonts w:ascii="Times New Roman" w:hAnsi="Times New Roman" w:cs="Times New Roman"/>
          <w:b w:val="0"/>
          <w:caps w:val="0"/>
          <w:sz w:val="24"/>
          <w:szCs w:val="24"/>
        </w:rPr>
        <w:t>79</w:t>
      </w:r>
      <w:r>
        <w:rPr>
          <w:rFonts w:ascii="Times New Roman" w:hAnsi="Times New Roman" w:cs="Times New Roman"/>
          <w:b w:val="0"/>
          <w:caps w:val="0"/>
          <w:sz w:val="24"/>
          <w:szCs w:val="24"/>
        </w:rPr>
        <w:fldChar w:fldCharType="end"/>
      </w:r>
      <w:r>
        <w:rPr>
          <w:rFonts w:ascii="Times New Roman" w:hAnsi="Times New Roman" w:cs="Times New Roman"/>
          <w:b w:val="0"/>
          <w:caps w:val="0"/>
          <w:sz w:val="24"/>
          <w:szCs w:val="24"/>
        </w:rPr>
        <w:fldChar w:fldCharType="end"/>
      </w:r>
    </w:p>
    <w:p>
      <w:pPr>
        <w:pStyle w:val="17"/>
        <w:tabs>
          <w:tab w:val="right" w:leader="dot" w:pos="8303"/>
        </w:tabs>
        <w:spacing w:before="0" w:after="0" w:line="300" w:lineRule="auto"/>
        <w:rPr>
          <w:rFonts w:ascii="Times New Roman" w:hAnsi="Times New Roman" w:cs="Times New Roman"/>
          <w:b w:val="0"/>
          <w:bCs w:val="0"/>
          <w:caps w:val="0"/>
          <w:sz w:val="24"/>
          <w:szCs w:val="24"/>
        </w:rPr>
      </w:pPr>
      <w:r>
        <w:fldChar w:fldCharType="begin"/>
      </w:r>
      <w:r>
        <w:instrText xml:space="preserve"> HYPERLINK \l "_Toc120020406" </w:instrText>
      </w:r>
      <w:r>
        <w:fldChar w:fldCharType="separate"/>
      </w:r>
      <w:r>
        <w:rPr>
          <w:rStyle w:val="29"/>
          <w:rFonts w:ascii="Times New Roman" w:hAnsi="Times New Roman" w:cs="Times New Roman"/>
          <w:b w:val="0"/>
          <w:caps w:val="0"/>
          <w:sz w:val="24"/>
          <w:szCs w:val="24"/>
        </w:rPr>
        <w:t>附录D  现场实体取样检测钢筋套筒灌浆连接质量</w:t>
      </w:r>
      <w:r>
        <w:rPr>
          <w:rFonts w:ascii="Times New Roman" w:hAnsi="Times New Roman" w:cs="Times New Roman"/>
          <w:b w:val="0"/>
          <w:caps w:val="0"/>
          <w:sz w:val="24"/>
          <w:szCs w:val="24"/>
        </w:rPr>
        <w:tab/>
      </w:r>
      <w:r>
        <w:rPr>
          <w:rFonts w:ascii="Times New Roman" w:hAnsi="Times New Roman" w:cs="Times New Roman"/>
          <w:b w:val="0"/>
          <w:caps w:val="0"/>
          <w:sz w:val="24"/>
          <w:szCs w:val="24"/>
        </w:rPr>
        <w:fldChar w:fldCharType="begin"/>
      </w:r>
      <w:r>
        <w:rPr>
          <w:rFonts w:ascii="Times New Roman" w:hAnsi="Times New Roman" w:cs="Times New Roman"/>
          <w:b w:val="0"/>
          <w:caps w:val="0"/>
          <w:sz w:val="24"/>
          <w:szCs w:val="24"/>
        </w:rPr>
        <w:instrText xml:space="preserve"> PAGEREF _Toc120020406 \h </w:instrText>
      </w:r>
      <w:r>
        <w:rPr>
          <w:rFonts w:ascii="Times New Roman" w:hAnsi="Times New Roman" w:cs="Times New Roman"/>
          <w:b w:val="0"/>
          <w:caps w:val="0"/>
          <w:sz w:val="24"/>
          <w:szCs w:val="24"/>
        </w:rPr>
        <w:fldChar w:fldCharType="separate"/>
      </w:r>
      <w:r>
        <w:rPr>
          <w:rFonts w:ascii="Times New Roman" w:hAnsi="Times New Roman" w:cs="Times New Roman"/>
          <w:b w:val="0"/>
          <w:caps w:val="0"/>
          <w:sz w:val="24"/>
          <w:szCs w:val="24"/>
        </w:rPr>
        <w:t>81</w:t>
      </w:r>
      <w:r>
        <w:rPr>
          <w:rFonts w:ascii="Times New Roman" w:hAnsi="Times New Roman" w:cs="Times New Roman"/>
          <w:b w:val="0"/>
          <w:caps w:val="0"/>
          <w:sz w:val="24"/>
          <w:szCs w:val="24"/>
        </w:rPr>
        <w:fldChar w:fldCharType="end"/>
      </w:r>
      <w:r>
        <w:rPr>
          <w:rFonts w:ascii="Times New Roman" w:hAnsi="Times New Roman" w:cs="Times New Roman"/>
          <w:b w:val="0"/>
          <w:caps w:val="0"/>
          <w:sz w:val="24"/>
          <w:szCs w:val="24"/>
        </w:rPr>
        <w:fldChar w:fldCharType="end"/>
      </w:r>
    </w:p>
    <w:p>
      <w:pPr>
        <w:pStyle w:val="17"/>
        <w:tabs>
          <w:tab w:val="right" w:leader="dot" w:pos="8303"/>
        </w:tabs>
        <w:spacing w:before="0" w:after="0" w:line="300" w:lineRule="auto"/>
        <w:rPr>
          <w:rFonts w:ascii="Times New Roman" w:hAnsi="Times New Roman" w:cs="Times New Roman"/>
          <w:b w:val="0"/>
          <w:bCs w:val="0"/>
          <w:caps w:val="0"/>
          <w:sz w:val="24"/>
          <w:szCs w:val="24"/>
        </w:rPr>
      </w:pPr>
      <w:r>
        <w:fldChar w:fldCharType="begin"/>
      </w:r>
      <w:r>
        <w:instrText xml:space="preserve"> HYPERLINK \l "_Toc120020407" </w:instrText>
      </w:r>
      <w:r>
        <w:fldChar w:fldCharType="separate"/>
      </w:r>
      <w:r>
        <w:rPr>
          <w:rStyle w:val="29"/>
          <w:rFonts w:ascii="Times New Roman" w:hAnsi="Times New Roman" w:cs="Times New Roman"/>
          <w:b w:val="0"/>
          <w:caps w:val="0"/>
          <w:sz w:val="24"/>
          <w:szCs w:val="24"/>
        </w:rPr>
        <w:t>附录E  取样法检测套筒灌浆料抗压强度</w:t>
      </w:r>
      <w:r>
        <w:rPr>
          <w:rFonts w:ascii="Times New Roman" w:hAnsi="Times New Roman" w:cs="Times New Roman"/>
          <w:b w:val="0"/>
          <w:caps w:val="0"/>
          <w:sz w:val="24"/>
          <w:szCs w:val="24"/>
        </w:rPr>
        <w:tab/>
      </w:r>
      <w:r>
        <w:rPr>
          <w:rFonts w:ascii="Times New Roman" w:hAnsi="Times New Roman" w:cs="Times New Roman"/>
          <w:b w:val="0"/>
          <w:caps w:val="0"/>
          <w:sz w:val="24"/>
          <w:szCs w:val="24"/>
        </w:rPr>
        <w:fldChar w:fldCharType="begin"/>
      </w:r>
      <w:r>
        <w:rPr>
          <w:rFonts w:ascii="Times New Roman" w:hAnsi="Times New Roman" w:cs="Times New Roman"/>
          <w:b w:val="0"/>
          <w:caps w:val="0"/>
          <w:sz w:val="24"/>
          <w:szCs w:val="24"/>
        </w:rPr>
        <w:instrText xml:space="preserve"> PAGEREF _Toc120020407 \h </w:instrText>
      </w:r>
      <w:r>
        <w:rPr>
          <w:rFonts w:ascii="Times New Roman" w:hAnsi="Times New Roman" w:cs="Times New Roman"/>
          <w:b w:val="0"/>
          <w:caps w:val="0"/>
          <w:sz w:val="24"/>
          <w:szCs w:val="24"/>
        </w:rPr>
        <w:fldChar w:fldCharType="separate"/>
      </w:r>
      <w:r>
        <w:rPr>
          <w:rFonts w:ascii="Times New Roman" w:hAnsi="Times New Roman" w:cs="Times New Roman"/>
          <w:b w:val="0"/>
          <w:caps w:val="0"/>
          <w:sz w:val="24"/>
          <w:szCs w:val="24"/>
        </w:rPr>
        <w:t>82</w:t>
      </w:r>
      <w:r>
        <w:rPr>
          <w:rFonts w:ascii="Times New Roman" w:hAnsi="Times New Roman" w:cs="Times New Roman"/>
          <w:b w:val="0"/>
          <w:caps w:val="0"/>
          <w:sz w:val="24"/>
          <w:szCs w:val="24"/>
        </w:rPr>
        <w:fldChar w:fldCharType="end"/>
      </w:r>
      <w:r>
        <w:rPr>
          <w:rFonts w:ascii="Times New Roman" w:hAnsi="Times New Roman" w:cs="Times New Roman"/>
          <w:b w:val="0"/>
          <w:caps w:val="0"/>
          <w:sz w:val="24"/>
          <w:szCs w:val="24"/>
        </w:rPr>
        <w:fldChar w:fldCharType="end"/>
      </w:r>
    </w:p>
    <w:p>
      <w:pPr>
        <w:pStyle w:val="17"/>
        <w:tabs>
          <w:tab w:val="right" w:leader="dot" w:pos="8303"/>
        </w:tabs>
        <w:spacing w:before="0" w:after="0" w:line="300" w:lineRule="auto"/>
        <w:rPr>
          <w:rFonts w:ascii="Times New Roman" w:hAnsi="Times New Roman" w:cs="Times New Roman"/>
          <w:b w:val="0"/>
          <w:bCs w:val="0"/>
          <w:caps w:val="0"/>
          <w:sz w:val="24"/>
          <w:szCs w:val="24"/>
        </w:rPr>
      </w:pPr>
      <w:r>
        <w:fldChar w:fldCharType="begin"/>
      </w:r>
      <w:r>
        <w:instrText xml:space="preserve"> HYPERLINK \l "_Toc120020408" </w:instrText>
      </w:r>
      <w:r>
        <w:fldChar w:fldCharType="separate"/>
      </w:r>
      <w:r>
        <w:rPr>
          <w:rStyle w:val="29"/>
          <w:rFonts w:ascii="Times New Roman" w:hAnsi="Times New Roman" w:cs="Times New Roman"/>
          <w:b w:val="0"/>
          <w:caps w:val="0"/>
          <w:sz w:val="24"/>
          <w:szCs w:val="24"/>
        </w:rPr>
        <w:t>附录F  回弹法检测套筒灌浆料抗压强度</w:t>
      </w:r>
      <w:r>
        <w:rPr>
          <w:rFonts w:ascii="Times New Roman" w:hAnsi="Times New Roman" w:cs="Times New Roman"/>
          <w:b w:val="0"/>
          <w:caps w:val="0"/>
          <w:sz w:val="24"/>
          <w:szCs w:val="24"/>
        </w:rPr>
        <w:tab/>
      </w:r>
      <w:r>
        <w:rPr>
          <w:rFonts w:ascii="Times New Roman" w:hAnsi="Times New Roman" w:cs="Times New Roman"/>
          <w:b w:val="0"/>
          <w:caps w:val="0"/>
          <w:sz w:val="24"/>
          <w:szCs w:val="24"/>
        </w:rPr>
        <w:fldChar w:fldCharType="begin"/>
      </w:r>
      <w:r>
        <w:rPr>
          <w:rFonts w:ascii="Times New Roman" w:hAnsi="Times New Roman" w:cs="Times New Roman"/>
          <w:b w:val="0"/>
          <w:caps w:val="0"/>
          <w:sz w:val="24"/>
          <w:szCs w:val="24"/>
        </w:rPr>
        <w:instrText xml:space="preserve"> PAGEREF _Toc120020408 \h </w:instrText>
      </w:r>
      <w:r>
        <w:rPr>
          <w:rFonts w:ascii="Times New Roman" w:hAnsi="Times New Roman" w:cs="Times New Roman"/>
          <w:b w:val="0"/>
          <w:caps w:val="0"/>
          <w:sz w:val="24"/>
          <w:szCs w:val="24"/>
        </w:rPr>
        <w:fldChar w:fldCharType="separate"/>
      </w:r>
      <w:r>
        <w:rPr>
          <w:rFonts w:ascii="Times New Roman" w:hAnsi="Times New Roman" w:cs="Times New Roman"/>
          <w:b w:val="0"/>
          <w:caps w:val="0"/>
          <w:sz w:val="24"/>
          <w:szCs w:val="24"/>
        </w:rPr>
        <w:t>85</w:t>
      </w:r>
      <w:r>
        <w:rPr>
          <w:rFonts w:ascii="Times New Roman" w:hAnsi="Times New Roman" w:cs="Times New Roman"/>
          <w:b w:val="0"/>
          <w:caps w:val="0"/>
          <w:sz w:val="24"/>
          <w:szCs w:val="24"/>
        </w:rPr>
        <w:fldChar w:fldCharType="end"/>
      </w:r>
      <w:r>
        <w:rPr>
          <w:rFonts w:ascii="Times New Roman" w:hAnsi="Times New Roman" w:cs="Times New Roman"/>
          <w:b w:val="0"/>
          <w:caps w:val="0"/>
          <w:sz w:val="24"/>
          <w:szCs w:val="24"/>
        </w:rPr>
        <w:fldChar w:fldCharType="end"/>
      </w:r>
    </w:p>
    <w:p>
      <w:pPr>
        <w:pStyle w:val="17"/>
        <w:tabs>
          <w:tab w:val="right" w:leader="dot" w:pos="8303"/>
        </w:tabs>
        <w:spacing w:before="0" w:after="0" w:line="300" w:lineRule="auto"/>
        <w:rPr>
          <w:rFonts w:ascii="Times New Roman" w:hAnsi="Times New Roman" w:cs="Times New Roman"/>
          <w:b w:val="0"/>
          <w:bCs w:val="0"/>
          <w:caps w:val="0"/>
          <w:sz w:val="24"/>
          <w:szCs w:val="24"/>
        </w:rPr>
      </w:pPr>
      <w:r>
        <w:fldChar w:fldCharType="begin"/>
      </w:r>
      <w:r>
        <w:instrText xml:space="preserve"> HYPERLINK \l "_Toc120020409" </w:instrText>
      </w:r>
      <w:r>
        <w:fldChar w:fldCharType="separate"/>
      </w:r>
      <w:r>
        <w:rPr>
          <w:rStyle w:val="29"/>
          <w:rFonts w:ascii="Times New Roman" w:hAnsi="Times New Roman" w:cs="Times New Roman"/>
          <w:b w:val="0"/>
          <w:caps w:val="0"/>
          <w:sz w:val="24"/>
          <w:szCs w:val="24"/>
        </w:rPr>
        <w:t>附录G  钻孔内窥法检测技术</w:t>
      </w:r>
      <w:r>
        <w:rPr>
          <w:rFonts w:ascii="Times New Roman" w:hAnsi="Times New Roman" w:cs="Times New Roman"/>
          <w:b w:val="0"/>
          <w:caps w:val="0"/>
          <w:sz w:val="24"/>
          <w:szCs w:val="24"/>
        </w:rPr>
        <w:tab/>
      </w:r>
      <w:r>
        <w:rPr>
          <w:rFonts w:ascii="Times New Roman" w:hAnsi="Times New Roman" w:cs="Times New Roman"/>
          <w:b w:val="0"/>
          <w:caps w:val="0"/>
          <w:sz w:val="24"/>
          <w:szCs w:val="24"/>
        </w:rPr>
        <w:fldChar w:fldCharType="begin"/>
      </w:r>
      <w:r>
        <w:rPr>
          <w:rFonts w:ascii="Times New Roman" w:hAnsi="Times New Roman" w:cs="Times New Roman"/>
          <w:b w:val="0"/>
          <w:caps w:val="0"/>
          <w:sz w:val="24"/>
          <w:szCs w:val="24"/>
        </w:rPr>
        <w:instrText xml:space="preserve"> PAGEREF _Toc120020409 \h </w:instrText>
      </w:r>
      <w:r>
        <w:rPr>
          <w:rFonts w:ascii="Times New Roman" w:hAnsi="Times New Roman" w:cs="Times New Roman"/>
          <w:b w:val="0"/>
          <w:caps w:val="0"/>
          <w:sz w:val="24"/>
          <w:szCs w:val="24"/>
        </w:rPr>
        <w:fldChar w:fldCharType="separate"/>
      </w:r>
      <w:r>
        <w:rPr>
          <w:rFonts w:ascii="Times New Roman" w:hAnsi="Times New Roman" w:cs="Times New Roman"/>
          <w:b w:val="0"/>
          <w:caps w:val="0"/>
          <w:sz w:val="24"/>
          <w:szCs w:val="24"/>
        </w:rPr>
        <w:t>87</w:t>
      </w:r>
      <w:r>
        <w:rPr>
          <w:rFonts w:ascii="Times New Roman" w:hAnsi="Times New Roman" w:cs="Times New Roman"/>
          <w:b w:val="0"/>
          <w:caps w:val="0"/>
          <w:sz w:val="24"/>
          <w:szCs w:val="24"/>
        </w:rPr>
        <w:fldChar w:fldCharType="end"/>
      </w:r>
      <w:r>
        <w:rPr>
          <w:rFonts w:ascii="Times New Roman" w:hAnsi="Times New Roman" w:cs="Times New Roman"/>
          <w:b w:val="0"/>
          <w:caps w:val="0"/>
          <w:sz w:val="24"/>
          <w:szCs w:val="24"/>
        </w:rPr>
        <w:fldChar w:fldCharType="end"/>
      </w:r>
    </w:p>
    <w:p>
      <w:pPr>
        <w:pStyle w:val="17"/>
        <w:tabs>
          <w:tab w:val="right" w:leader="dot" w:pos="8303"/>
        </w:tabs>
        <w:spacing w:before="0" w:after="0" w:line="300" w:lineRule="auto"/>
        <w:rPr>
          <w:rFonts w:ascii="Times New Roman" w:hAnsi="Times New Roman" w:cs="Times New Roman"/>
          <w:b w:val="0"/>
          <w:bCs w:val="0"/>
          <w:caps w:val="0"/>
          <w:sz w:val="24"/>
          <w:szCs w:val="24"/>
        </w:rPr>
      </w:pPr>
      <w:r>
        <w:fldChar w:fldCharType="begin"/>
      </w:r>
      <w:r>
        <w:instrText xml:space="preserve"> HYPERLINK \l "_Toc120020410" </w:instrText>
      </w:r>
      <w:r>
        <w:fldChar w:fldCharType="separate"/>
      </w:r>
      <w:r>
        <w:rPr>
          <w:rStyle w:val="29"/>
          <w:rFonts w:ascii="Times New Roman" w:hAnsi="Times New Roman" w:cs="Times New Roman"/>
          <w:b w:val="0"/>
          <w:caps w:val="0"/>
          <w:sz w:val="24"/>
          <w:szCs w:val="24"/>
        </w:rPr>
        <w:t>附录H  X射线成像法检测技术</w:t>
      </w:r>
      <w:r>
        <w:rPr>
          <w:rFonts w:ascii="Times New Roman" w:hAnsi="Times New Roman" w:cs="Times New Roman"/>
          <w:b w:val="0"/>
          <w:caps w:val="0"/>
          <w:sz w:val="24"/>
          <w:szCs w:val="24"/>
        </w:rPr>
        <w:tab/>
      </w:r>
      <w:r>
        <w:rPr>
          <w:rFonts w:ascii="Times New Roman" w:hAnsi="Times New Roman" w:cs="Times New Roman"/>
          <w:b w:val="0"/>
          <w:caps w:val="0"/>
          <w:sz w:val="24"/>
          <w:szCs w:val="24"/>
        </w:rPr>
        <w:fldChar w:fldCharType="begin"/>
      </w:r>
      <w:r>
        <w:rPr>
          <w:rFonts w:ascii="Times New Roman" w:hAnsi="Times New Roman" w:cs="Times New Roman"/>
          <w:b w:val="0"/>
          <w:caps w:val="0"/>
          <w:sz w:val="24"/>
          <w:szCs w:val="24"/>
        </w:rPr>
        <w:instrText xml:space="preserve"> PAGEREF _Toc120020410 \h </w:instrText>
      </w:r>
      <w:r>
        <w:rPr>
          <w:rFonts w:ascii="Times New Roman" w:hAnsi="Times New Roman" w:cs="Times New Roman"/>
          <w:b w:val="0"/>
          <w:caps w:val="0"/>
          <w:sz w:val="24"/>
          <w:szCs w:val="24"/>
        </w:rPr>
        <w:fldChar w:fldCharType="separate"/>
      </w:r>
      <w:r>
        <w:rPr>
          <w:rFonts w:ascii="Times New Roman" w:hAnsi="Times New Roman" w:cs="Times New Roman"/>
          <w:b w:val="0"/>
          <w:caps w:val="0"/>
          <w:sz w:val="24"/>
          <w:szCs w:val="24"/>
        </w:rPr>
        <w:t>89</w:t>
      </w:r>
      <w:r>
        <w:rPr>
          <w:rFonts w:ascii="Times New Roman" w:hAnsi="Times New Roman" w:cs="Times New Roman"/>
          <w:b w:val="0"/>
          <w:caps w:val="0"/>
          <w:sz w:val="24"/>
          <w:szCs w:val="24"/>
        </w:rPr>
        <w:fldChar w:fldCharType="end"/>
      </w:r>
      <w:r>
        <w:rPr>
          <w:rFonts w:ascii="Times New Roman" w:hAnsi="Times New Roman" w:cs="Times New Roman"/>
          <w:b w:val="0"/>
          <w:caps w:val="0"/>
          <w:sz w:val="24"/>
          <w:szCs w:val="24"/>
        </w:rPr>
        <w:fldChar w:fldCharType="end"/>
      </w:r>
    </w:p>
    <w:p>
      <w:pPr>
        <w:spacing w:line="300" w:lineRule="auto"/>
        <w:rPr>
          <w:b/>
          <w:sz w:val="36"/>
          <w:szCs w:val="36"/>
        </w:rPr>
      </w:pPr>
      <w:r>
        <w:rPr>
          <w:sz w:val="24"/>
          <w:szCs w:val="24"/>
        </w:rPr>
        <w:fldChar w:fldCharType="end"/>
      </w:r>
      <w:r>
        <w:rPr>
          <w:b/>
          <w:sz w:val="36"/>
          <w:szCs w:val="36"/>
        </w:rPr>
        <w:br w:type="page"/>
      </w:r>
    </w:p>
    <w:p>
      <w:pPr>
        <w:pStyle w:val="89"/>
      </w:pPr>
      <w:bookmarkStart w:id="168" w:name="_Toc116397166"/>
      <w:bookmarkStart w:id="169" w:name="_Toc120020379"/>
      <w:bookmarkStart w:id="170" w:name="_Toc120020309"/>
      <w:r>
        <w:t>1  总    则</w:t>
      </w:r>
      <w:bookmarkEnd w:id="168"/>
      <w:bookmarkEnd w:id="169"/>
      <w:bookmarkEnd w:id="170"/>
    </w:p>
    <w:p>
      <w:pPr>
        <w:adjustRightInd w:val="0"/>
        <w:snapToGrid w:val="0"/>
        <w:spacing w:line="360" w:lineRule="auto"/>
        <w:rPr>
          <w:rFonts w:eastAsiaTheme="minorEastAsia"/>
          <w:bCs/>
          <w:color w:val="000000" w:themeColor="text1"/>
          <w:sz w:val="24"/>
          <w:szCs w:val="24"/>
          <w14:textFill>
            <w14:solidFill>
              <w14:schemeClr w14:val="tx1"/>
            </w14:solidFill>
          </w14:textFill>
        </w:rPr>
      </w:pPr>
      <w:r>
        <w:rPr>
          <w:rFonts w:eastAsiaTheme="minorEastAsia"/>
          <w:b/>
          <w:bCs/>
          <w:color w:val="000000" w:themeColor="text1"/>
          <w:sz w:val="24"/>
          <w:szCs w:val="24"/>
          <w14:textFill>
            <w14:solidFill>
              <w14:schemeClr w14:val="tx1"/>
            </w14:solidFill>
          </w14:textFill>
        </w:rPr>
        <w:t>1.0.1</w:t>
      </w:r>
      <w:r>
        <w:rPr>
          <w:rFonts w:eastAsiaTheme="minorEastAsia"/>
          <w:bCs/>
          <w:color w:val="000000" w:themeColor="text1"/>
          <w:sz w:val="24"/>
          <w:szCs w:val="24"/>
          <w14:textFill>
            <w14:solidFill>
              <w14:schemeClr w14:val="tx1"/>
            </w14:solidFill>
          </w14:textFill>
        </w:rPr>
        <w:t xml:space="preserve">  随着国家大力推广发展装配式建筑，装配式混凝土结构得到了规模化的应用，预制混凝土构件质量和现场节点连接质量直接影响结构可靠性，尤其是钢筋套筒灌浆连接质量、混凝土结合面连接质量、构件拼缝防水质量等备受关注。检测作为工程质量管控的手段之一，随着人们对工程质量的广泛关注，迫切需要相关检测技术标准的支持。装配式混凝土结构质量检测技术的科技研发已取得实质性进展，结合装配式混凝土结构的工程质量检测需求，目前已具备制订检测技术标准的基础。为规范检测技术，合理选择检测方法，保证检测结果的准确性，制定本标准。</w:t>
      </w:r>
    </w:p>
    <w:p>
      <w:pPr>
        <w:adjustRightInd w:val="0"/>
        <w:snapToGrid w:val="0"/>
        <w:spacing w:line="360" w:lineRule="auto"/>
        <w:rPr>
          <w:rFonts w:eastAsiaTheme="minorEastAsia"/>
          <w:bCs/>
          <w:color w:val="000000" w:themeColor="text1"/>
          <w:sz w:val="24"/>
          <w:szCs w:val="24"/>
          <w14:textFill>
            <w14:solidFill>
              <w14:schemeClr w14:val="tx1"/>
            </w14:solidFill>
          </w14:textFill>
        </w:rPr>
      </w:pPr>
      <w:r>
        <w:rPr>
          <w:rFonts w:eastAsiaTheme="minorEastAsia"/>
          <w:b/>
          <w:bCs/>
          <w:color w:val="000000" w:themeColor="text1"/>
          <w:sz w:val="24"/>
          <w:szCs w:val="24"/>
          <w14:textFill>
            <w14:solidFill>
              <w14:schemeClr w14:val="tx1"/>
            </w14:solidFill>
          </w14:textFill>
        </w:rPr>
        <w:t>1.0.2</w:t>
      </w:r>
      <w:r>
        <w:rPr>
          <w:rFonts w:eastAsiaTheme="minorEastAsia"/>
          <w:bCs/>
          <w:color w:val="000000" w:themeColor="text1"/>
          <w:sz w:val="24"/>
          <w:szCs w:val="24"/>
          <w14:textFill>
            <w14:solidFill>
              <w14:schemeClr w14:val="tx1"/>
            </w14:solidFill>
          </w14:textFill>
        </w:rPr>
        <w:t xml:space="preserve">  规定本标准的适用范围，检测对象涵盖装配式混凝土结构用预制混凝土构件和建成的结构实体，既适用于新建工程在施工阶段的质量检测，也适用于既有建筑在使用阶段的性能检测。</w:t>
      </w:r>
    </w:p>
    <w:p>
      <w:pPr>
        <w:spacing w:line="300" w:lineRule="auto"/>
        <w:rPr>
          <w:rFonts w:eastAsiaTheme="minorEastAsia"/>
          <w:bCs/>
          <w:sz w:val="24"/>
          <w:szCs w:val="24"/>
        </w:rPr>
      </w:pPr>
    </w:p>
    <w:p>
      <w:pPr>
        <w:spacing w:line="300" w:lineRule="auto"/>
        <w:rPr>
          <w:bCs/>
          <w:sz w:val="24"/>
          <w:szCs w:val="24"/>
        </w:rPr>
      </w:pPr>
      <w:r>
        <w:rPr>
          <w:bCs/>
          <w:sz w:val="24"/>
          <w:szCs w:val="24"/>
        </w:rPr>
        <w:br w:type="page"/>
      </w:r>
    </w:p>
    <w:p>
      <w:pPr>
        <w:pStyle w:val="89"/>
      </w:pPr>
      <w:bookmarkStart w:id="171" w:name="_Toc120020380"/>
      <w:bookmarkStart w:id="172" w:name="_Toc116397167"/>
      <w:bookmarkStart w:id="173" w:name="_Toc120020310"/>
      <w:r>
        <w:t>3  基本规定</w:t>
      </w:r>
      <w:bookmarkEnd w:id="171"/>
      <w:bookmarkEnd w:id="172"/>
      <w:bookmarkEnd w:id="173"/>
    </w:p>
    <w:p>
      <w:pPr>
        <w:pStyle w:val="90"/>
      </w:pPr>
      <w:bookmarkStart w:id="174" w:name="_Toc120020381"/>
      <w:bookmarkStart w:id="175" w:name="_Toc116397168"/>
      <w:bookmarkStart w:id="176" w:name="_Toc120020311"/>
      <w:r>
        <w:t>3.1  检测分类</w:t>
      </w:r>
      <w:bookmarkEnd w:id="174"/>
      <w:bookmarkEnd w:id="175"/>
      <w:bookmarkEnd w:id="176"/>
    </w:p>
    <w:p>
      <w:pPr>
        <w:spacing w:line="360" w:lineRule="auto"/>
        <w:rPr>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3.1.1</w:t>
      </w:r>
      <w:r>
        <w:rPr>
          <w:bCs/>
          <w:color w:val="000000" w:themeColor="text1"/>
          <w:sz w:val="24"/>
          <w:szCs w:val="24"/>
          <w14:textFill>
            <w14:solidFill>
              <w14:schemeClr w14:val="tx1"/>
            </w14:solidFill>
          </w14:textFill>
        </w:rPr>
        <w:t xml:space="preserve">  工程质量检测的结论需要进行符合性判定，为了避免引发异议，其检测操作等应严格执行国家</w:t>
      </w:r>
      <w:r>
        <w:rPr>
          <w:rFonts w:hint="eastAsia"/>
          <w:bCs/>
          <w:color w:val="000000" w:themeColor="text1"/>
          <w:sz w:val="24"/>
          <w:szCs w:val="24"/>
          <w14:textFill>
            <w14:solidFill>
              <w14:schemeClr w14:val="tx1"/>
            </w14:solidFill>
          </w14:textFill>
        </w:rPr>
        <w:t>和北京市</w:t>
      </w:r>
      <w:r>
        <w:rPr>
          <w:bCs/>
          <w:color w:val="000000" w:themeColor="text1"/>
          <w:sz w:val="24"/>
          <w:szCs w:val="24"/>
          <w14:textFill>
            <w14:solidFill>
              <w14:schemeClr w14:val="tx1"/>
            </w14:solidFill>
          </w14:textFill>
        </w:rPr>
        <w:t>现行有关标准的规定。结构性能检测的结果主要用于结构分析与评定，一般无须对检测结果进行符合性判定。</w:t>
      </w:r>
    </w:p>
    <w:p>
      <w:pPr>
        <w:spacing w:line="360" w:lineRule="auto"/>
        <w:rPr>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3.1.2</w:t>
      </w:r>
      <w:r>
        <w:rPr>
          <w:bCs/>
          <w:color w:val="000000" w:themeColor="text1"/>
          <w:sz w:val="24"/>
          <w:szCs w:val="24"/>
          <w14:textFill>
            <w14:solidFill>
              <w14:schemeClr w14:val="tx1"/>
            </w14:solidFill>
          </w14:textFill>
        </w:rPr>
        <w:t xml:space="preserve">  本条给出了应进行结构工程质量检测的情况，包括在建工程质量检测和既有结构工程质量检测。当施工质量送样检验或有关方自检的结果未达到设计要求，或未按照有关标准规范进行施工质量验收的建筑结构，应对装配式混凝土结构进行工程质量检测。</w:t>
      </w:r>
    </w:p>
    <w:p>
      <w:pPr>
        <w:spacing w:line="360" w:lineRule="auto"/>
        <w:rPr>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3.1.3</w:t>
      </w:r>
      <w:r>
        <w:rPr>
          <w:bCs/>
          <w:color w:val="000000" w:themeColor="text1"/>
          <w:sz w:val="24"/>
          <w:szCs w:val="24"/>
          <w14:textFill>
            <w14:solidFill>
              <w14:schemeClr w14:val="tx1"/>
            </w14:solidFill>
          </w14:textFill>
        </w:rPr>
        <w:t xml:space="preserve">  本条规定了需要对装配式混凝土结构性能进行评定的一些情况，检测应为结构性能评定提供数据支撑。</w:t>
      </w:r>
    </w:p>
    <w:p>
      <w:pPr>
        <w:pStyle w:val="90"/>
      </w:pPr>
      <w:bookmarkStart w:id="177" w:name="_Toc120020312"/>
      <w:bookmarkStart w:id="178" w:name="_Toc116397169"/>
      <w:bookmarkStart w:id="179" w:name="_Toc120020382"/>
      <w:r>
        <w:t>3.2  检测程序</w:t>
      </w:r>
      <w:bookmarkEnd w:id="177"/>
      <w:bookmarkEnd w:id="178"/>
      <w:bookmarkEnd w:id="179"/>
    </w:p>
    <w:p>
      <w:pPr>
        <w:spacing w:line="360" w:lineRule="auto"/>
        <w:rPr>
          <w:color w:val="000000" w:themeColor="text1"/>
          <w14:textFill>
            <w14:solidFill>
              <w14:schemeClr w14:val="tx1"/>
            </w14:solidFill>
          </w14:textFill>
        </w:rPr>
      </w:pPr>
      <w:r>
        <w:rPr>
          <w:b/>
          <w:bCs/>
          <w:color w:val="000000" w:themeColor="text1"/>
          <w:sz w:val="24"/>
          <w:szCs w:val="24"/>
          <w14:textFill>
            <w14:solidFill>
              <w14:schemeClr w14:val="tx1"/>
            </w14:solidFill>
          </w14:textFill>
        </w:rPr>
        <w:t>3.2.1</w:t>
      </w:r>
      <w:r>
        <w:rPr>
          <w:bCs/>
          <w:color w:val="000000" w:themeColor="text1"/>
          <w:sz w:val="24"/>
          <w:szCs w:val="24"/>
          <w14:textFill>
            <w14:solidFill>
              <w14:schemeClr w14:val="tx1"/>
            </w14:solidFill>
          </w14:textFill>
        </w:rPr>
        <w:t xml:space="preserve">  本条制定的检测工作流程是针对一般的装配式混凝土结构现场检测，也可根据工程具体情况进行补充和调整。</w:t>
      </w:r>
    </w:p>
    <w:p>
      <w:pPr>
        <w:snapToGrid w:val="0"/>
        <w:spacing w:line="360" w:lineRule="auto"/>
        <w:rPr>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3.2.2</w:t>
      </w:r>
      <w:r>
        <w:rPr>
          <w:bCs/>
          <w:color w:val="000000" w:themeColor="text1"/>
          <w:sz w:val="24"/>
          <w:szCs w:val="24"/>
          <w14:textFill>
            <w14:solidFill>
              <w14:schemeClr w14:val="tx1"/>
            </w14:solidFill>
          </w14:textFill>
        </w:rPr>
        <w:t xml:space="preserve">  初步调查包括收集资料和现场踏勘。初步调查对于检测工作非常重要，全面的初步调查不仅有利于制定检测方案，更有助于确定检测的项目和重点。节点连接质量是装配式结构检测的重点，除了收集调查与现浇混凝土结构相关的资料外，还要重点收集装配式结构连接节点采用的连接技术、连接产品以及连接安装过程等资料。</w:t>
      </w:r>
    </w:p>
    <w:p>
      <w:pPr>
        <w:spacing w:line="360" w:lineRule="auto"/>
        <w:rPr>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3.2.3</w:t>
      </w:r>
      <w:r>
        <w:rPr>
          <w:bCs/>
          <w:color w:val="000000" w:themeColor="text1"/>
          <w:sz w:val="24"/>
          <w:szCs w:val="24"/>
          <w14:textFill>
            <w14:solidFill>
              <w14:schemeClr w14:val="tx1"/>
            </w14:solidFill>
          </w14:textFill>
        </w:rPr>
        <w:t xml:space="preserve">  检测方案应根据检测目的、现场调查结果和图纸资料收集情况来制定，重点是检测项目、检测依据、抽样方法、抽样数量以及结果判定依据。</w:t>
      </w:r>
    </w:p>
    <w:p>
      <w:pPr>
        <w:spacing w:line="360" w:lineRule="auto"/>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3.2.4</w:t>
      </w:r>
      <w:r>
        <w:rPr>
          <w:bCs/>
          <w:color w:val="000000" w:themeColor="text1"/>
          <w:sz w:val="24"/>
          <w:szCs w:val="24"/>
          <w14:textFill>
            <w14:solidFill>
              <w14:schemeClr w14:val="tx1"/>
            </w14:solidFill>
          </w14:textFill>
        </w:rPr>
        <w:t xml:space="preserve">  对检测数据进行计算分析和结果评价时，若检测结果的离散性较大，不满足标准中要求的判定条件或检测项目允许进行二次抽样，可按照检测工作流程进行补充检测或复检。</w:t>
      </w:r>
    </w:p>
    <w:p>
      <w:pPr>
        <w:spacing w:line="360" w:lineRule="auto"/>
        <w:rPr>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3.2.5</w:t>
      </w:r>
      <w:r>
        <w:rPr>
          <w:bCs/>
          <w:color w:val="000000" w:themeColor="text1"/>
          <w:sz w:val="24"/>
          <w:szCs w:val="24"/>
          <w14:textFill>
            <w14:solidFill>
              <w14:schemeClr w14:val="tx1"/>
            </w14:solidFill>
          </w14:textFill>
        </w:rPr>
        <w:t xml:space="preserve">  采用局部破损的检测方法时，不应对结构或构件的性能造成明显的影响，并应对受损部位进行及时修复。</w:t>
      </w:r>
    </w:p>
    <w:p>
      <w:pPr>
        <w:spacing w:line="360" w:lineRule="auto"/>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3.2.6 </w:t>
      </w:r>
      <w:r>
        <w:rPr>
          <w:bCs/>
          <w:color w:val="000000" w:themeColor="text1"/>
          <w:sz w:val="24"/>
          <w:szCs w:val="24"/>
          <w14:textFill>
            <w14:solidFill>
              <w14:schemeClr w14:val="tx1"/>
            </w14:solidFill>
          </w14:textFill>
        </w:rPr>
        <w:t xml:space="preserve"> 当报告中出现容易混淆的术语和概念时，需要以文字解释或图例、附图说明，避免引起歧义。</w:t>
      </w:r>
    </w:p>
    <w:p>
      <w:pPr>
        <w:spacing w:line="360" w:lineRule="auto"/>
        <w:rPr>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3.2.7 </w:t>
      </w:r>
      <w:r>
        <w:rPr>
          <w:bCs/>
          <w:color w:val="000000" w:themeColor="text1"/>
          <w:sz w:val="24"/>
          <w:szCs w:val="24"/>
          <w14:textFill>
            <w14:solidFill>
              <w14:schemeClr w14:val="tx1"/>
            </w14:solidFill>
          </w14:textFill>
        </w:rPr>
        <w:t xml:space="preserve"> 本条规定了检测报告应包括的内容，确保报告信息的完整性。</w:t>
      </w:r>
    </w:p>
    <w:p>
      <w:pPr>
        <w:spacing w:line="360" w:lineRule="auto"/>
        <w:rPr>
          <w:rFonts w:eastAsiaTheme="minorEastAsia"/>
          <w:bCs/>
          <w:color w:val="000000" w:themeColor="text1"/>
          <w:sz w:val="24"/>
          <w:szCs w:val="24"/>
          <w14:textFill>
            <w14:solidFill>
              <w14:schemeClr w14:val="tx1"/>
            </w14:solidFill>
          </w14:textFill>
        </w:rPr>
      </w:pPr>
    </w:p>
    <w:p>
      <w:pPr>
        <w:pStyle w:val="90"/>
        <w:rPr>
          <w:b w:val="0"/>
        </w:rPr>
      </w:pPr>
      <w:bookmarkStart w:id="180" w:name="_Toc120020383"/>
      <w:bookmarkStart w:id="181" w:name="_Toc116397170"/>
      <w:bookmarkStart w:id="182" w:name="_Toc120020313"/>
      <w:r>
        <w:t>3.3  抽样方法与判定规则</w:t>
      </w:r>
      <w:bookmarkEnd w:id="180"/>
      <w:bookmarkEnd w:id="181"/>
      <w:bookmarkEnd w:id="182"/>
    </w:p>
    <w:p>
      <w:pPr>
        <w:spacing w:line="360" w:lineRule="auto"/>
        <w:rPr>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3.3.1 </w:t>
      </w:r>
      <w:r>
        <w:rPr>
          <w:bCs/>
          <w:color w:val="000000" w:themeColor="text1"/>
          <w:sz w:val="24"/>
          <w:szCs w:val="24"/>
          <w14:textFill>
            <w14:solidFill>
              <w14:schemeClr w14:val="tx1"/>
            </w14:solidFill>
          </w14:textFill>
        </w:rPr>
        <w:t xml:space="preserve"> 检测机构应根据现场情况和委托要求给出抽样方法建议，再与委托方协商确定，抽样方法应在检测方案和合同中明确，检验批的抽检数量不应少于相关标准要求的最小样本容量。</w:t>
      </w:r>
    </w:p>
    <w:p>
      <w:pPr>
        <w:spacing w:line="360" w:lineRule="auto"/>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3.3.2 </w:t>
      </w:r>
      <w:r>
        <w:rPr>
          <w:bCs/>
          <w:color w:val="000000" w:themeColor="text1"/>
          <w:sz w:val="24"/>
          <w:szCs w:val="24"/>
          <w14:textFill>
            <w14:solidFill>
              <w14:schemeClr w14:val="tx1"/>
            </w14:solidFill>
          </w14:textFill>
        </w:rPr>
        <w:t xml:space="preserve"> 本条给出了宜进行全数检测的情况，全数检测并不意味着对整个工程的全部构件和连接进行检测，而是针对检测批内的全部构件和连接。一般对于外观质量和损伤，均需要全数检查；当检测批内构件或节点的数量少于5个时，建议采用全数检测；检测过程中发现检测指标或参数的变异性较大，无法按检测批进行评定或推定时，建议采用全数检测。</w:t>
      </w:r>
    </w:p>
    <w:p>
      <w:pPr>
        <w:spacing w:line="360" w:lineRule="auto"/>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3.3.3 </w:t>
      </w:r>
      <w:r>
        <w:rPr>
          <w:bCs/>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表3.3.3给出</w:t>
      </w:r>
      <w:r>
        <w:rPr>
          <w:bCs/>
          <w:color w:val="000000" w:themeColor="text1"/>
          <w:sz w:val="24"/>
          <w:szCs w:val="24"/>
          <w14:textFill>
            <w14:solidFill>
              <w14:schemeClr w14:val="tx1"/>
            </w14:solidFill>
          </w14:textFill>
        </w:rPr>
        <w:t>本标准涉及的</w:t>
      </w:r>
      <w:r>
        <w:rPr>
          <w:color w:val="000000" w:themeColor="text1"/>
          <w:sz w:val="24"/>
          <w:szCs w:val="24"/>
          <w14:textFill>
            <w14:solidFill>
              <w14:schemeClr w14:val="tx1"/>
            </w14:solidFill>
          </w14:textFill>
        </w:rPr>
        <w:t>装配式混凝土结构检测项目的抽样方法划分。对于计量抽样的检测项目，应按照相应标准的要求确定检测数量；对于计数抽样的检测项目，检测单位可根据本标准第3.3.5条要求确定检测数量。</w:t>
      </w:r>
    </w:p>
    <w:p>
      <w:pPr>
        <w:spacing w:line="360" w:lineRule="auto"/>
        <w:rPr>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3.3.4 </w:t>
      </w:r>
      <w:r>
        <w:rPr>
          <w:bCs/>
          <w:color w:val="000000" w:themeColor="text1"/>
          <w:sz w:val="24"/>
          <w:szCs w:val="24"/>
          <w14:textFill>
            <w14:solidFill>
              <w14:schemeClr w14:val="tx1"/>
            </w14:solidFill>
          </w14:textFill>
        </w:rPr>
        <w:t xml:space="preserve"> 针对计量抽样检测项目，检测结果需要给出检测指标的推定值，各专项检测技术均有抽样数量的取值规定，故应根据各专项检测技术的要求确定检测批的抽样数量。</w:t>
      </w:r>
    </w:p>
    <w:p>
      <w:pPr>
        <w:spacing w:line="360" w:lineRule="auto"/>
        <w:rPr>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3.3.5 </w:t>
      </w:r>
      <w:r>
        <w:rPr>
          <w:bCs/>
          <w:color w:val="000000" w:themeColor="text1"/>
          <w:sz w:val="24"/>
          <w:szCs w:val="24"/>
          <w14:textFill>
            <w14:solidFill>
              <w14:schemeClr w14:val="tx1"/>
            </w14:solidFill>
          </w14:textFill>
        </w:rPr>
        <w:t xml:space="preserve"> 本条规定了计数检测项目随机抽样的最小样本容量，该容量不是最佳的样本容量，实际检测中可根据具体情况和相应技术标准的规定确定样本容量，但样本容量不宜小于表3.3.5的要求。A类检测适用于建筑工程一般项目施工质量的合格性检验，B类检测适用于建筑工程主控项目施工质量的合格性检验。对于第三方检测机构所实施的检测，可根据具体情况取大于工程参建方合格检验的数量，例如，按照B类的最小样本容量对结构工程一般项目的施工质量进行检测，按照C类的最小样本容量对结构工程主控项目的施工质量进行检测。虽然既有结构性能的检测不需要进行符合性判定，但是采取表中规定的最小样本容量，有利于检测结论的合理使用。第三方检测机构所实施的检测通常可以采用一次性抽样的方案。既有结构的一般项目对应于施工质量的一般项目，重要项目对应于主控项目，存在问题较多时应加大抽查数量，必要时可以采取全数检测的方法。当检测批容量超过表3.3.5中所列数值，可参照现行国家标准《建筑结构检测技术标准》GB/T 50344取值。</w:t>
      </w:r>
    </w:p>
    <w:p>
      <w:pPr>
        <w:snapToGrid w:val="0"/>
        <w:spacing w:line="360" w:lineRule="auto"/>
        <w:rPr>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3.3.6 </w:t>
      </w:r>
      <w:r>
        <w:rPr>
          <w:bCs/>
          <w:color w:val="000000" w:themeColor="text1"/>
          <w:sz w:val="24"/>
          <w:szCs w:val="24"/>
          <w14:textFill>
            <w14:solidFill>
              <w14:schemeClr w14:val="tx1"/>
            </w14:solidFill>
          </w14:textFill>
        </w:rPr>
        <w:t xml:space="preserve"> 现行国家标准《计数抽样检验程序》GB/T 2828.1给出了计数抽样检测批的样本容量、正常一次抽样和正常二次抽样结果的符合性判定方法。表3.3.6-1～表3.3.6-4中符合性判定数，对于参加验收的各方可作为合格判定数，对于第三方检测机构可作为判定施工质量达到合格验收要求的判定数。以表3.3.6-3和表3.3.6-4为例说明其使用方法：一般项目正常一次抽取样本容量为20时，在20个样本中有5个或5个以下的样本被判为不符合验收标准的合格要求时，检测批可判为符合（合格）要求；当20个样本中有6个或6个以上的样本被判为不符合验收标准的合格要求时，则该检测批可判为不符合要求。对于一般项目正常二次抽样，第一次抽取样本容量为20时，在20个样本中有3个或3个以下样本被判为不符合验收标准的合格要求时，该检测批可判为符合（合格）要求，且无须进行二次抽样；当20个样本中有6个或6个以上的样本被判为不合格时，该检测批可判为不符合（合格）要求，也无须进行二次抽样；当20个样本中不符合（合格）要求的样本为4个或5个时，应进行第二次抽样；二次抽样的样本容量也为20个，两次抽样样本的容量为40个，当第一次的不合格样本与第二次的不合格样本之和为9个或小于9个时，该检测批可判为符合（合格）要求；当第一次的不合格样本与第二次的不合格样本之和为10或大于10时，该检测批可判为不符合（合格）要求。本标准中一般项目的允许不合格率为10%，主控项目的允许不合格率为5%。表中的不符合判定数考虑了样本不完备性造成的检测结果不定性，这种判定方法符合国际上通行的合格判定规则，本标准对一般项目的合格判定方法与现行国家标准《建筑工程施工质量验收统一标准》GB 50300相一致。</w:t>
      </w:r>
    </w:p>
    <w:p>
      <w:pPr>
        <w:tabs>
          <w:tab w:val="left" w:pos="720"/>
        </w:tabs>
        <w:adjustRightInd w:val="0"/>
        <w:snapToGrid w:val="0"/>
        <w:spacing w:line="360" w:lineRule="auto"/>
        <w:rPr>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3.3.7 </w:t>
      </w:r>
      <w:r>
        <w:rPr>
          <w:bCs/>
          <w:color w:val="000000" w:themeColor="text1"/>
          <w:sz w:val="24"/>
          <w:szCs w:val="24"/>
          <w14:textFill>
            <w14:solidFill>
              <w14:schemeClr w14:val="tx1"/>
            </w14:solidFill>
          </w14:textFill>
        </w:rPr>
        <w:t xml:space="preserve"> 检测对象与检测数量的确定可以有两种情况，一种是指定检测对象和范围，另一种是抽样确定的检测数量和对象。当指定检测对象和范围时，其检测结果不能反映其他对象的情况，故检测结论的适用范围不能随意扩大。</w:t>
      </w:r>
    </w:p>
    <w:p>
      <w:pPr>
        <w:tabs>
          <w:tab w:val="left" w:pos="720"/>
        </w:tabs>
        <w:adjustRightInd w:val="0"/>
        <w:snapToGrid w:val="0"/>
        <w:spacing w:line="300" w:lineRule="auto"/>
        <w:rPr>
          <w:bCs/>
          <w:color w:val="000000" w:themeColor="text1"/>
          <w:sz w:val="24"/>
          <w:szCs w:val="24"/>
          <w14:textFill>
            <w14:solidFill>
              <w14:schemeClr w14:val="tx1"/>
            </w14:solidFill>
          </w14:textFill>
        </w:rPr>
      </w:pPr>
    </w:p>
    <w:p>
      <w:pPr>
        <w:tabs>
          <w:tab w:val="left" w:pos="720"/>
        </w:tabs>
        <w:adjustRightInd w:val="0"/>
        <w:snapToGrid w:val="0"/>
        <w:spacing w:line="300" w:lineRule="auto"/>
        <w:rPr>
          <w:rFonts w:eastAsiaTheme="minorEastAsia"/>
          <w:sz w:val="28"/>
          <w:szCs w:val="28"/>
        </w:rPr>
      </w:pPr>
      <w:r>
        <w:rPr>
          <w:bCs/>
          <w:sz w:val="24"/>
          <w:szCs w:val="24"/>
        </w:rPr>
        <w:br w:type="page"/>
      </w:r>
    </w:p>
    <w:p>
      <w:pPr>
        <w:pStyle w:val="89"/>
      </w:pPr>
      <w:bookmarkStart w:id="183" w:name="_Toc120020384"/>
      <w:bookmarkStart w:id="184" w:name="_Toc120020314"/>
      <w:bookmarkStart w:id="185" w:name="_Toc116397171"/>
      <w:r>
        <w:t>4  预制构件</w:t>
      </w:r>
      <w:bookmarkEnd w:id="183"/>
      <w:bookmarkEnd w:id="184"/>
      <w:bookmarkEnd w:id="185"/>
    </w:p>
    <w:p>
      <w:pPr>
        <w:pStyle w:val="90"/>
      </w:pPr>
      <w:bookmarkStart w:id="186" w:name="_Toc120020385"/>
      <w:bookmarkStart w:id="187" w:name="_Toc116397172"/>
      <w:bookmarkStart w:id="188" w:name="_Toc120020315"/>
      <w:r>
        <w:t>4.1  一般规定</w:t>
      </w:r>
      <w:bookmarkEnd w:id="186"/>
      <w:bookmarkEnd w:id="187"/>
      <w:bookmarkEnd w:id="188"/>
    </w:p>
    <w:p>
      <w:pPr>
        <w:spacing w:line="360" w:lineRule="auto"/>
        <w:rPr>
          <w:rFonts w:eastAsiaTheme="minorEastAsia"/>
          <w:bCs/>
          <w:sz w:val="24"/>
          <w:szCs w:val="24"/>
        </w:rPr>
      </w:pPr>
      <w:r>
        <w:rPr>
          <w:rFonts w:eastAsiaTheme="minorEastAsia"/>
          <w:b/>
          <w:bCs/>
          <w:sz w:val="24"/>
          <w:szCs w:val="24"/>
        </w:rPr>
        <w:t>4.1.1</w:t>
      </w:r>
      <w:r>
        <w:rPr>
          <w:rFonts w:eastAsiaTheme="minorEastAsia"/>
          <w:bCs/>
          <w:sz w:val="24"/>
          <w:szCs w:val="24"/>
        </w:rPr>
        <w:t xml:space="preserve">  针对装配式建筑用预制混凝土构件的特点，本条规定了可包括的检测项目，在实际工程中，应结合委托目的和要求确定需要检测的项目。预制混凝土构件存在可移动、尺寸小、厚度薄等特点，与结构实体上的构件具有一定的差异。预制构件粗糙面凹凸深度是影响结合面连接性能的重要指标，针对不同类型的粗糙面规定其凹凸深度的检测方法。预埋保温拉结件的施工质量影响装配式外墙的保温性能和建筑物的使用安全，预埋吊件的锚固质量影响预制构件的翻转、运输和吊装的作业安全。</w:t>
      </w:r>
    </w:p>
    <w:p>
      <w:pPr>
        <w:snapToGrid w:val="0"/>
        <w:spacing w:line="360" w:lineRule="auto"/>
        <w:rPr>
          <w:rFonts w:eastAsiaTheme="minorEastAsia"/>
          <w:bCs/>
          <w:sz w:val="24"/>
          <w:szCs w:val="24"/>
        </w:rPr>
      </w:pPr>
      <w:r>
        <w:rPr>
          <w:rFonts w:eastAsiaTheme="minorEastAsia"/>
          <w:b/>
          <w:bCs/>
          <w:sz w:val="24"/>
          <w:szCs w:val="24"/>
        </w:rPr>
        <w:t xml:space="preserve">4.1.2 </w:t>
      </w:r>
      <w:r>
        <w:rPr>
          <w:rFonts w:eastAsiaTheme="minorEastAsia"/>
          <w:bCs/>
          <w:sz w:val="24"/>
          <w:szCs w:val="24"/>
        </w:rPr>
        <w:t xml:space="preserve"> 在预制构件生产阶段，为了使混凝土尽快达到设计强度，通常采用高温蒸汽养护，本条提出按照养护等效龄期衡量混凝土是否达到所要求</w:t>
      </w:r>
      <w:r>
        <w:rPr>
          <w:rFonts w:eastAsiaTheme="minorEastAsia"/>
          <w:bCs/>
          <w:color w:val="000000" w:themeColor="text1"/>
          <w:sz w:val="24"/>
          <w:szCs w:val="24"/>
          <w14:textFill>
            <w14:solidFill>
              <w14:schemeClr w14:val="tx1"/>
            </w14:solidFill>
          </w14:textFill>
        </w:rPr>
        <w:t>的养护时间，在蒸汽养护期间等效龄期可取每小时平均养护温度累计，在常温养护期</w:t>
      </w:r>
      <w:r>
        <w:rPr>
          <w:rFonts w:eastAsiaTheme="minorEastAsia"/>
          <w:bCs/>
          <w:sz w:val="24"/>
          <w:szCs w:val="24"/>
        </w:rPr>
        <w:t>间可按逐日养护温度累计。考虑到构件出厂时混凝土等效龄期可能未达到600</w:t>
      </w:r>
      <w:r>
        <w:rPr>
          <w:rFonts w:hint="eastAsia" w:ascii="宋体" w:hAnsi="宋体" w:cs="宋体"/>
          <w:bCs/>
          <w:sz w:val="24"/>
          <w:szCs w:val="24"/>
        </w:rPr>
        <w:t>℃</w:t>
      </w:r>
      <w:r>
        <w:rPr>
          <w:rFonts w:eastAsiaTheme="minorEastAsia"/>
          <w:bCs/>
          <w:sz w:val="24"/>
          <w:szCs w:val="24"/>
        </w:rPr>
        <w:t>·d，此时的混凝土强度检测可不做符合性判定，仅给出检测数据结果。</w:t>
      </w:r>
    </w:p>
    <w:p>
      <w:pPr>
        <w:pStyle w:val="90"/>
      </w:pPr>
      <w:bookmarkStart w:id="189" w:name="_Toc120020386"/>
      <w:bookmarkStart w:id="190" w:name="_Toc120020316"/>
      <w:bookmarkStart w:id="191" w:name="_Toc116397173"/>
      <w:r>
        <w:t>4.2  预制构件混凝土抗压强度</w:t>
      </w:r>
      <w:bookmarkEnd w:id="189"/>
      <w:bookmarkEnd w:id="190"/>
      <w:bookmarkEnd w:id="191"/>
    </w:p>
    <w:p>
      <w:pPr>
        <w:snapToGrid w:val="0"/>
        <w:spacing w:line="360" w:lineRule="auto"/>
        <w:rPr>
          <w:rFonts w:eastAsiaTheme="minorEastAsia"/>
          <w:bCs/>
          <w:sz w:val="24"/>
          <w:szCs w:val="24"/>
        </w:rPr>
      </w:pPr>
      <w:r>
        <w:rPr>
          <w:rFonts w:eastAsiaTheme="minorEastAsia"/>
          <w:b/>
          <w:bCs/>
          <w:sz w:val="24"/>
          <w:szCs w:val="24"/>
        </w:rPr>
        <w:t>4.2.1</w:t>
      </w:r>
      <w:r>
        <w:rPr>
          <w:rFonts w:eastAsiaTheme="minorEastAsia"/>
          <w:bCs/>
          <w:sz w:val="24"/>
          <w:szCs w:val="24"/>
        </w:rPr>
        <w:t xml:space="preserve">  混凝土结构设计是采用混凝土强度等级，检测结果应提供相当于边长150mm混凝土立方体试件抗压强度且具有一定保证概率的特征值的推定值。</w:t>
      </w:r>
    </w:p>
    <w:p>
      <w:pPr>
        <w:snapToGrid w:val="0"/>
        <w:spacing w:line="360" w:lineRule="auto"/>
        <w:rPr>
          <w:rFonts w:eastAsiaTheme="minorEastAsia"/>
          <w:bCs/>
          <w:sz w:val="24"/>
          <w:szCs w:val="24"/>
        </w:rPr>
      </w:pPr>
      <w:r>
        <w:rPr>
          <w:rFonts w:eastAsiaTheme="minorEastAsia"/>
          <w:b/>
          <w:bCs/>
          <w:sz w:val="24"/>
          <w:szCs w:val="24"/>
        </w:rPr>
        <w:t xml:space="preserve">4.2.2 </w:t>
      </w:r>
      <w:r>
        <w:rPr>
          <w:rFonts w:eastAsiaTheme="minorEastAsia"/>
          <w:bCs/>
          <w:sz w:val="24"/>
          <w:szCs w:val="24"/>
        </w:rPr>
        <w:t xml:space="preserve"> 对预制构件混凝土抗压强度进行检测，应按相关专项检测技术标准的规定执行。混凝土抗压强度的检测方法较多，基于预制混凝土构件的特点和现有检测方法的适用条件，分类规定可采用的检测方法及检测要求。对于非薄壁预制混凝土构件，可依据现行相关的混凝土强度检测技术标准。</w:t>
      </w:r>
    </w:p>
    <w:p>
      <w:pPr>
        <w:snapToGrid w:val="0"/>
        <w:spacing w:line="360" w:lineRule="auto"/>
        <w:ind w:firstLine="480" w:firstLineChars="200"/>
        <w:rPr>
          <w:rFonts w:eastAsiaTheme="minorEastAsia"/>
          <w:bCs/>
          <w:sz w:val="24"/>
          <w:szCs w:val="24"/>
        </w:rPr>
      </w:pPr>
      <w:r>
        <w:rPr>
          <w:rFonts w:eastAsiaTheme="minorEastAsia"/>
          <w:bCs/>
          <w:sz w:val="24"/>
          <w:szCs w:val="24"/>
        </w:rPr>
        <w:t>回弹法检测时，预制构件易发生位置移动和转动，薄壁构件还易发生颤动，必要时应采取措施限制构件的移动、转动和颤动；同时，还应了解预制混凝土构件的生产工艺，是采用平模生产还是立模生产，应准确识别混凝土的浇筑侧面、浇筑表面和浇筑底面。对于厚度不大于70mm的预制墙、板类薄壁构件，当采用回弹法检测混凝土抗压强度时，弹击时构件颤动的能量损失会导致检测结果失真，故应严格执行现行行业标准《回弹法检测混凝土抗压强度技术规程》JGJ/T 23的有关规定，避免检测条件的改变造成检测结果的不准确。</w:t>
      </w:r>
    </w:p>
    <w:p>
      <w:pPr>
        <w:snapToGrid w:val="0"/>
        <w:spacing w:line="360" w:lineRule="auto"/>
        <w:ind w:firstLine="480" w:firstLineChars="200"/>
        <w:rPr>
          <w:rFonts w:eastAsiaTheme="minorEastAsia"/>
          <w:bCs/>
          <w:sz w:val="24"/>
          <w:szCs w:val="24"/>
        </w:rPr>
      </w:pPr>
      <w:r>
        <w:rPr>
          <w:rFonts w:eastAsiaTheme="minorEastAsia"/>
          <w:bCs/>
          <w:sz w:val="24"/>
          <w:szCs w:val="24"/>
        </w:rPr>
        <w:t>钻芯法作为检测混凝土抗压强度的直接方法被广泛应用，薄壁或小尺寸预制构件的混凝土强度检测存在一定困难。行业标准《钻芯法检测混凝土强度技术规程》JGJ/T 384-2016中对芯样直径要求不应小于70mm且不得小于骨料最大粒径的2倍。因此，该标准也无法直接应用于装配式结构采用的预制叠合底板或其它薄壁类构件的混凝土强度检测。</w:t>
      </w:r>
    </w:p>
    <w:p>
      <w:pPr>
        <w:snapToGrid w:val="0"/>
        <w:spacing w:line="360" w:lineRule="auto"/>
        <w:ind w:firstLine="480" w:firstLineChars="200"/>
        <w:rPr>
          <w:rFonts w:eastAsiaTheme="minorEastAsia"/>
          <w:bCs/>
          <w:color w:val="000000" w:themeColor="text1"/>
          <w:sz w:val="24"/>
          <w:szCs w:val="24"/>
          <w14:textFill>
            <w14:solidFill>
              <w14:schemeClr w14:val="tx1"/>
            </w14:solidFill>
          </w14:textFill>
        </w:rPr>
      </w:pPr>
      <w:r>
        <w:rPr>
          <w:rFonts w:eastAsiaTheme="minorEastAsia"/>
          <w:bCs/>
          <w:sz w:val="24"/>
          <w:szCs w:val="24"/>
        </w:rPr>
        <w:t>相关资料表明，粗骨料最大粒径对芯样抗压强度有较大的影响，当芯样直径与骨料最大粒径之比不小于2时，通过芯样获得的抗压强</w:t>
      </w:r>
      <w:r>
        <w:rPr>
          <w:rFonts w:eastAsiaTheme="minorEastAsia"/>
          <w:bCs/>
          <w:color w:val="000000" w:themeColor="text1"/>
          <w:sz w:val="24"/>
          <w:szCs w:val="24"/>
          <w14:textFill>
            <w14:solidFill>
              <w14:schemeClr w14:val="tx1"/>
            </w14:solidFill>
          </w14:textFill>
        </w:rPr>
        <w:t>度值与真实值比较接近。目前，我国预制叠合底板的混凝土所用粗骨料粒径通常不大于20mm，故钻取直径50mm混凝土芯样理论上是可行的，本条是综合国内外的现有研究成果并结合工程实际编写而成。由于存在尺寸效应，直径50mm混凝土芯样试件抗压强度与直径100mm芯样混凝土试件抗压强度需要建立换算系数，因此，钻取直径50mm芯样检测混凝土抗压强度时，需要符合本标准附录A的有关规定。芯样直径越小对钻芯取样要求和芯样加工精度要求越高，因此，应尽可能钻取较大尺寸的芯样。</w:t>
      </w:r>
    </w:p>
    <w:p>
      <w:pPr>
        <w:snapToGrid w:val="0"/>
        <w:spacing w:line="360" w:lineRule="auto"/>
        <w:rPr>
          <w:rFonts w:eastAsiaTheme="minorEastAsia"/>
          <w:bCs/>
          <w:sz w:val="24"/>
          <w:szCs w:val="24"/>
        </w:rPr>
      </w:pPr>
      <w:r>
        <w:rPr>
          <w:rFonts w:eastAsiaTheme="minorEastAsia"/>
          <w:b/>
          <w:bCs/>
          <w:sz w:val="24"/>
          <w:szCs w:val="24"/>
        </w:rPr>
        <w:t xml:space="preserve">4.2.3 </w:t>
      </w:r>
      <w:r>
        <w:rPr>
          <w:rFonts w:eastAsiaTheme="minorEastAsia"/>
          <w:bCs/>
          <w:sz w:val="24"/>
          <w:szCs w:val="24"/>
        </w:rPr>
        <w:t xml:space="preserve"> 预制构件厂根据构件类型、强度等级分批次制作、养护，现场批量检测预制构件混凝土抗压强度时，检验批的划分与现浇混凝土结构不同，一般情况下，现浇混凝土结构同层构件可化为一批，装配式混凝土结构可能存在多层、同类型构件均为同批次生产的情况，因此，对装配式结构预制构件的混凝土抗压强度进行批量检测时，应根据实际情况来划分检测批。</w:t>
      </w:r>
    </w:p>
    <w:p>
      <w:pPr>
        <w:pStyle w:val="90"/>
      </w:pPr>
      <w:bookmarkStart w:id="192" w:name="_Toc116397174"/>
      <w:bookmarkStart w:id="193" w:name="_Toc120020387"/>
      <w:bookmarkStart w:id="194" w:name="_Toc120020317"/>
      <w:r>
        <w:t>4.3  预制构件混凝土粗糙面</w:t>
      </w:r>
      <w:bookmarkEnd w:id="192"/>
      <w:bookmarkEnd w:id="193"/>
      <w:bookmarkEnd w:id="194"/>
    </w:p>
    <w:p>
      <w:pPr>
        <w:snapToGrid w:val="0"/>
        <w:spacing w:line="360" w:lineRule="auto"/>
        <w:rPr>
          <w:rFonts w:eastAsiaTheme="minorEastAsia"/>
          <w:bCs/>
          <w:sz w:val="24"/>
          <w:szCs w:val="24"/>
        </w:rPr>
      </w:pPr>
      <w:r>
        <w:rPr>
          <w:rFonts w:eastAsiaTheme="minorEastAsia"/>
          <w:b/>
          <w:bCs/>
          <w:sz w:val="24"/>
          <w:szCs w:val="24"/>
        </w:rPr>
        <w:t xml:space="preserve">4.3.1 </w:t>
      </w:r>
      <w:r>
        <w:rPr>
          <w:rFonts w:eastAsiaTheme="minorEastAsia"/>
          <w:bCs/>
          <w:sz w:val="24"/>
          <w:szCs w:val="24"/>
        </w:rPr>
        <w:t xml:space="preserve"> 混凝土粗糙面的设置是保证装配式混凝土结构结合面连接质量的重要技术措施，行业标准《装配式混凝土结构技术规程》JGJ 1-2014对各类构件和构件的不同部位均规定了粗糙面面积与结合面的占比、凹凸深度的具体设置要求。</w:t>
      </w:r>
    </w:p>
    <w:p>
      <w:pPr>
        <w:spacing w:line="360" w:lineRule="auto"/>
        <w:rPr>
          <w:rFonts w:eastAsiaTheme="minorEastAsia"/>
          <w:bCs/>
          <w:sz w:val="24"/>
          <w:szCs w:val="24"/>
        </w:rPr>
      </w:pPr>
      <w:r>
        <w:rPr>
          <w:rFonts w:eastAsiaTheme="minorEastAsia"/>
          <w:b/>
          <w:bCs/>
          <w:sz w:val="24"/>
          <w:szCs w:val="24"/>
        </w:rPr>
        <w:t xml:space="preserve">4.3.3 </w:t>
      </w:r>
      <w:r>
        <w:rPr>
          <w:rFonts w:eastAsiaTheme="minorEastAsia"/>
          <w:bCs/>
          <w:sz w:val="24"/>
          <w:szCs w:val="24"/>
        </w:rPr>
        <w:t xml:space="preserve"> 行业标准《装配式混凝土结构技术规程》JGJ 1-2014中对预制构件与后浇混凝土、灌浆料、座浆料的结合面位置处粗糙面所占最小面积比进行了规定。检测时应测量粗糙面外边缘尺寸，结合面尺寸可按照构件截面尺寸进行测量。当预制构件结合面或粗糙面外形不规则时，可将检测区域划分为若干个规则分区分别进行尺寸测量和面积计算。</w:t>
      </w:r>
    </w:p>
    <w:p>
      <w:pPr>
        <w:spacing w:line="360" w:lineRule="auto"/>
        <w:rPr>
          <w:rFonts w:eastAsiaTheme="minorEastAsia"/>
          <w:bCs/>
          <w:sz w:val="24"/>
          <w:szCs w:val="24"/>
        </w:rPr>
      </w:pPr>
      <w:r>
        <w:rPr>
          <w:rFonts w:eastAsiaTheme="minorEastAsia"/>
          <w:b/>
          <w:bCs/>
          <w:sz w:val="24"/>
          <w:szCs w:val="24"/>
        </w:rPr>
        <w:t xml:space="preserve">4.3.4 </w:t>
      </w:r>
      <w:r>
        <w:rPr>
          <w:rFonts w:eastAsiaTheme="minorEastAsia"/>
          <w:bCs/>
          <w:sz w:val="24"/>
          <w:szCs w:val="24"/>
        </w:rPr>
        <w:t xml:space="preserve"> 预制叠合板的粗糙面一般采用拉毛、压痕等成型工艺，</w:t>
      </w:r>
      <w:r>
        <w:rPr>
          <w:rFonts w:hint="eastAsia" w:eastAsiaTheme="minorEastAsia"/>
          <w:bCs/>
          <w:sz w:val="24"/>
          <w:szCs w:val="24"/>
        </w:rPr>
        <w:t>成型的粗糙面通常呈凹槽型，</w:t>
      </w:r>
      <w:r>
        <w:rPr>
          <w:rFonts w:eastAsiaTheme="minorEastAsia"/>
          <w:bCs/>
          <w:sz w:val="24"/>
          <w:szCs w:val="24"/>
        </w:rPr>
        <w:t>凹凸特征存在一定的规律性，可采用测深尺测量粗糙面上的凹凸深度。预制梁、柱和墙的粗糙面一般采用水洗冲毛露骨料的成型工艺，</w:t>
      </w:r>
      <w:r>
        <w:rPr>
          <w:rFonts w:hint="eastAsia" w:eastAsiaTheme="minorEastAsia"/>
          <w:bCs/>
          <w:sz w:val="24"/>
          <w:szCs w:val="24"/>
        </w:rPr>
        <w:t>成型的粗糙面通常呈凹坑型，</w:t>
      </w:r>
      <w:r>
        <w:rPr>
          <w:rFonts w:eastAsiaTheme="minorEastAsia"/>
          <w:bCs/>
          <w:sz w:val="24"/>
          <w:szCs w:val="24"/>
        </w:rPr>
        <w:t>均匀性较好，可采用三维扫描法检测。</w:t>
      </w:r>
    </w:p>
    <w:p>
      <w:pPr>
        <w:spacing w:line="360" w:lineRule="auto"/>
        <w:rPr>
          <w:rFonts w:eastAsiaTheme="minorEastAsia"/>
          <w:sz w:val="24"/>
          <w:szCs w:val="24"/>
        </w:rPr>
      </w:pPr>
      <w:r>
        <w:rPr>
          <w:rFonts w:eastAsiaTheme="minorEastAsia"/>
          <w:b/>
          <w:bCs/>
          <w:sz w:val="24"/>
          <w:szCs w:val="24"/>
        </w:rPr>
        <w:t xml:space="preserve">4.3.7 </w:t>
      </w:r>
      <w:r>
        <w:rPr>
          <w:rFonts w:eastAsiaTheme="minorEastAsia"/>
          <w:sz w:val="24"/>
          <w:szCs w:val="24"/>
        </w:rPr>
        <w:t xml:space="preserve"> 采用三维扫描法检测混凝土粗糙面凹凸深度时，根据预制构件类型、粗糙面形态等确定测区分布和测区尺寸，以测区为单位测量粗糙面的凹凸深度。本条所规定的测区尺寸是根据不同类型预制构件的常规尺寸确定，当构件尺寸能够满足测区尺寸划分要求时，应按本条要求执行；当构件尺寸无法满足要求时，测区尺寸可适当调整，但面积不应小于本条第3款的要求，且应满足本标准第4.3.8条的要求。 </w:t>
      </w:r>
    </w:p>
    <w:p>
      <w:pPr>
        <w:snapToGrid w:val="0"/>
        <w:spacing w:line="360" w:lineRule="auto"/>
        <w:rPr>
          <w:rFonts w:eastAsiaTheme="minorEastAsia"/>
          <w:bCs/>
          <w:sz w:val="24"/>
          <w:szCs w:val="24"/>
        </w:rPr>
      </w:pPr>
      <w:r>
        <w:rPr>
          <w:rFonts w:eastAsiaTheme="minorEastAsia"/>
          <w:b/>
          <w:bCs/>
          <w:sz w:val="24"/>
          <w:szCs w:val="24"/>
        </w:rPr>
        <w:t xml:space="preserve">4.3.8 </w:t>
      </w:r>
      <w:r>
        <w:rPr>
          <w:rFonts w:eastAsiaTheme="minorEastAsia"/>
          <w:bCs/>
          <w:sz w:val="24"/>
          <w:szCs w:val="24"/>
        </w:rPr>
        <w:t xml:space="preserve"> 拉毛法等工艺形成的凹槽形粗糙面与水洗冲毛露骨料等工艺形成的凹坑形粗糙面在形态特征上差异很大，因此，两种粗糙面凹凸深度的检测方法在结果处理时也有所区别。凹槽形粗糙面主要用于钢筋桁架叠合底板，其分布具有规律性，在采用三维扫描法检测时也充分利用了该类粗糙面的特点。</w:t>
      </w:r>
    </w:p>
    <w:p>
      <w:pPr>
        <w:snapToGrid w:val="0"/>
        <w:spacing w:line="360" w:lineRule="auto"/>
        <w:ind w:firstLine="480" w:firstLineChars="200"/>
        <w:rPr>
          <w:rFonts w:eastAsiaTheme="minorEastAsia"/>
          <w:bCs/>
          <w:color w:val="000000" w:themeColor="text1"/>
          <w:sz w:val="24"/>
          <w:szCs w:val="24"/>
          <w14:textFill>
            <w14:solidFill>
              <w14:schemeClr w14:val="tx1"/>
            </w14:solidFill>
          </w14:textFill>
        </w:rPr>
      </w:pPr>
      <w:r>
        <w:rPr>
          <w:rFonts w:eastAsiaTheme="minorEastAsia"/>
          <w:bCs/>
          <w:sz w:val="24"/>
          <w:szCs w:val="24"/>
        </w:rPr>
        <w:t>凹坑形粗糙面主要是粗骨料之间下凹和上凸形成。经过编制组广泛调研，预制混凝土构件的最大骨料粒径通常为25.0mm~31.5mm，混凝土中的骨料与对应结合面之间通常为斜向相交，完全与结合面平行分布的情况很少。因此，在边长为混凝土最大骨料粒径的1.5~2倍的正方形区域范围内应该同时存在凸峰和凹谷，因此，可将凹坑单元格设定为边长为50㎜的正方形。凹槽形和凹坑形粗糙面在测区内凸峰和凹谷的识别以及凹凸深度计算可通过数据处理软件辅助完成，检测</w:t>
      </w:r>
      <w:r>
        <w:rPr>
          <w:rFonts w:eastAsiaTheme="minorEastAsia"/>
          <w:bCs/>
          <w:color w:val="000000" w:themeColor="text1"/>
          <w:sz w:val="24"/>
          <w:szCs w:val="24"/>
          <w14:textFill>
            <w14:solidFill>
              <w14:schemeClr w14:val="tx1"/>
            </w14:solidFill>
          </w14:textFill>
        </w:rPr>
        <w:t>示意图见</w:t>
      </w:r>
      <w:r>
        <w:fldChar w:fldCharType="begin"/>
      </w:r>
      <w:r>
        <w:instrText xml:space="preserve"> REF _Ref95508975 \h  \* MERGEFORMAT </w:instrText>
      </w:r>
      <w:r>
        <w:fldChar w:fldCharType="separate"/>
      </w:r>
      <w:r>
        <w:rPr>
          <w:color w:val="000000" w:themeColor="text1"/>
          <w:sz w:val="24"/>
          <w:szCs w:val="24"/>
          <w14:textFill>
            <w14:solidFill>
              <w14:schemeClr w14:val="tx1"/>
            </w14:solidFill>
          </w14:textFill>
        </w:rPr>
        <w:t>图1</w:t>
      </w:r>
      <w:r>
        <w:fldChar w:fldCharType="end"/>
      </w:r>
      <w:r>
        <w:rPr>
          <w:rFonts w:eastAsiaTheme="minorEastAsia"/>
          <w:bCs/>
          <w:color w:val="000000" w:themeColor="text1"/>
          <w:sz w:val="24"/>
          <w:szCs w:val="24"/>
          <w14:textFill>
            <w14:solidFill>
              <w14:schemeClr w14:val="tx1"/>
            </w14:solidFill>
          </w14:textFill>
        </w:rPr>
        <w:t>和</w:t>
      </w:r>
      <w:r>
        <w:fldChar w:fldCharType="begin"/>
      </w:r>
      <w:r>
        <w:instrText xml:space="preserve"> REF _Ref95508978 \h  \* MERGEFORMAT </w:instrText>
      </w:r>
      <w:r>
        <w:fldChar w:fldCharType="separate"/>
      </w:r>
      <w:r>
        <w:rPr>
          <w:color w:val="000000" w:themeColor="text1"/>
          <w:sz w:val="24"/>
          <w:szCs w:val="24"/>
          <w14:textFill>
            <w14:solidFill>
              <w14:schemeClr w14:val="tx1"/>
            </w14:solidFill>
          </w14:textFill>
        </w:rPr>
        <w:t>图2</w:t>
      </w:r>
      <w:r>
        <w:fldChar w:fldCharType="end"/>
      </w:r>
      <w:r>
        <w:rPr>
          <w:rFonts w:eastAsiaTheme="minorEastAsia"/>
          <w:bCs/>
          <w:color w:val="000000" w:themeColor="text1"/>
          <w:sz w:val="24"/>
          <w:szCs w:val="24"/>
          <w14:textFill>
            <w14:solidFill>
              <w14:schemeClr w14:val="tx1"/>
            </w14:solidFill>
          </w14:textFill>
        </w:rPr>
        <w:t>。</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335"/>
        <w:gridCol w:w="51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3252" w:type="dxa"/>
            <w:vAlign w:val="center"/>
          </w:tcPr>
          <w:p>
            <w:pPr>
              <w:keepNext/>
              <w:snapToGrid w:val="0"/>
              <w:spacing w:line="300" w:lineRule="auto"/>
              <w:jc w:val="center"/>
            </w:pPr>
            <w:r>
              <w:rPr>
                <w:rFonts w:eastAsia="楷体"/>
                <w:bCs/>
                <w:color w:val="5B9BD5" w:themeColor="accent1"/>
                <w:sz w:val="24"/>
                <w:szCs w:val="24"/>
                <w14:textFill>
                  <w14:solidFill>
                    <w14:schemeClr w14:val="accent1"/>
                  </w14:solidFill>
                </w14:textFill>
              </w:rPr>
              <w:drawing>
                <wp:inline distT="0" distB="0" distL="0" distR="0">
                  <wp:extent cx="2011680" cy="2691765"/>
                  <wp:effectExtent l="0" t="0" r="7620" b="0"/>
                  <wp:docPr id="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true" noChangeArrowheads="true"/>
                          </pic:cNvPicPr>
                        </pic:nvPicPr>
                        <pic:blipFill>
                          <a:blip r:embed="rId260" cstate="print">
                            <a:extLst>
                              <a:ext uri="{28A0092B-C50C-407E-A947-70E740481C1C}">
                                <a14:useLocalDpi xmlns:a14="http://schemas.microsoft.com/office/drawing/2010/main" val="false"/>
                              </a:ext>
                            </a:extLst>
                          </a:blip>
                          <a:srcRect l="10256" b="16367"/>
                          <a:stretch>
                            <a:fillRect/>
                          </a:stretch>
                        </pic:blipFill>
                        <pic:spPr>
                          <a:xfrm>
                            <a:off x="0" y="0"/>
                            <a:ext cx="2018354" cy="2700237"/>
                          </a:xfrm>
                          <a:prstGeom prst="rect">
                            <a:avLst/>
                          </a:prstGeom>
                          <a:noFill/>
                          <a:ln>
                            <a:noFill/>
                          </a:ln>
                        </pic:spPr>
                      </pic:pic>
                    </a:graphicData>
                  </a:graphic>
                </wp:inline>
              </w:drawing>
            </w:r>
          </w:p>
        </w:tc>
        <w:tc>
          <w:tcPr>
            <w:tcW w:w="5061" w:type="dxa"/>
            <w:vAlign w:val="center"/>
          </w:tcPr>
          <w:p>
            <w:pPr>
              <w:snapToGrid w:val="0"/>
              <w:spacing w:line="300" w:lineRule="auto"/>
              <w:jc w:val="center"/>
              <w:rPr>
                <w:rFonts w:eastAsiaTheme="minorEastAsia"/>
                <w:bCs/>
                <w:sz w:val="24"/>
                <w:szCs w:val="24"/>
              </w:rPr>
            </w:pPr>
            <w:r>
              <w:rPr>
                <w:rFonts w:eastAsiaTheme="minorEastAsia"/>
              </w:rPr>
              <w:drawing>
                <wp:inline distT="0" distB="0" distL="0" distR="0">
                  <wp:extent cx="3223260" cy="1799590"/>
                  <wp:effectExtent l="0" t="0" r="0" b="0"/>
                  <wp:docPr id="5"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true" noChangeArrowheads="true"/>
                          </pic:cNvPicPr>
                        </pic:nvPicPr>
                        <pic:blipFill>
                          <a:blip r:embed="rId261" cstate="print">
                            <a:extLst>
                              <a:ext uri="{28A0092B-C50C-407E-A947-70E740481C1C}">
                                <a14:useLocalDpi xmlns:a14="http://schemas.microsoft.com/office/drawing/2010/main" val="false"/>
                              </a:ext>
                            </a:extLst>
                          </a:blip>
                          <a:srcRect l="17522" t="11460" r="25216" b="16098"/>
                          <a:stretch>
                            <a:fillRect/>
                          </a:stretch>
                        </pic:blipFill>
                        <pic:spPr>
                          <a:xfrm>
                            <a:off x="0" y="0"/>
                            <a:ext cx="3223733" cy="1800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52" w:type="dxa"/>
            <w:vAlign w:val="center"/>
          </w:tcPr>
          <w:p>
            <w:pPr>
              <w:snapToGrid w:val="0"/>
              <w:spacing w:line="300" w:lineRule="auto"/>
              <w:jc w:val="center"/>
              <w:rPr>
                <w:bCs/>
                <w:szCs w:val="21"/>
              </w:rPr>
            </w:pPr>
            <w:r>
              <w:rPr>
                <w:bCs/>
                <w:szCs w:val="21"/>
              </w:rPr>
              <w:t>（a）划分选定区</w:t>
            </w:r>
          </w:p>
        </w:tc>
        <w:tc>
          <w:tcPr>
            <w:tcW w:w="5061" w:type="dxa"/>
            <w:vAlign w:val="center"/>
          </w:tcPr>
          <w:p>
            <w:pPr>
              <w:snapToGrid w:val="0"/>
              <w:spacing w:line="300" w:lineRule="auto"/>
              <w:jc w:val="center"/>
              <w:rPr>
                <w:bCs/>
                <w:szCs w:val="21"/>
              </w:rPr>
            </w:pPr>
            <w:r>
              <w:rPr>
                <w:bCs/>
                <w:szCs w:val="21"/>
              </w:rPr>
              <w:t>（b）粗糙面凹凸曲线</w:t>
            </w:r>
          </w:p>
        </w:tc>
      </w:tr>
    </w:tbl>
    <w:p>
      <w:pPr>
        <w:snapToGrid w:val="0"/>
        <w:spacing w:line="300" w:lineRule="auto"/>
        <w:jc w:val="center"/>
        <w:rPr>
          <w:b/>
          <w:bCs/>
          <w:szCs w:val="21"/>
        </w:rPr>
      </w:pPr>
      <w:bookmarkStart w:id="195" w:name="_Ref95508975"/>
      <w:r>
        <w:rPr>
          <w:b/>
          <w:szCs w:val="21"/>
        </w:rPr>
        <w:t>图</w:t>
      </w:r>
      <w:r>
        <w:rPr>
          <w:b/>
          <w:szCs w:val="21"/>
        </w:rPr>
        <w:fldChar w:fldCharType="begin"/>
      </w:r>
      <w:r>
        <w:rPr>
          <w:b/>
          <w:szCs w:val="21"/>
        </w:rPr>
        <w:instrText xml:space="preserve"> SEQ 图 \* ARABIC </w:instrText>
      </w:r>
      <w:r>
        <w:rPr>
          <w:b/>
          <w:szCs w:val="21"/>
        </w:rPr>
        <w:fldChar w:fldCharType="separate"/>
      </w:r>
      <w:r>
        <w:rPr>
          <w:b/>
          <w:szCs w:val="21"/>
        </w:rPr>
        <w:t>1</w:t>
      </w:r>
      <w:r>
        <w:rPr>
          <w:b/>
          <w:szCs w:val="21"/>
        </w:rPr>
        <w:fldChar w:fldCharType="end"/>
      </w:r>
      <w:bookmarkEnd w:id="195"/>
      <w:r>
        <w:rPr>
          <w:b/>
          <w:bCs/>
          <w:szCs w:val="21"/>
        </w:rPr>
        <w:t xml:space="preserve">  凹槽形粗糙面检测示意图</w:t>
      </w:r>
    </w:p>
    <w:p>
      <w:pPr>
        <w:keepNext/>
        <w:snapToGrid w:val="0"/>
        <w:spacing w:line="300" w:lineRule="auto"/>
        <w:jc w:val="center"/>
        <w:rPr>
          <w:szCs w:val="21"/>
        </w:rPr>
      </w:pPr>
      <w:r>
        <w:rPr>
          <w:snapToGrid w:val="0"/>
          <w:color w:val="000000"/>
          <w:w w:val="0"/>
          <w:kern w:val="0"/>
          <w:szCs w:val="21"/>
          <w:u w:color="000000"/>
          <w:shd w:val="clear" w:color="000000" w:fill="000000"/>
        </w:rPr>
        <w:drawing>
          <wp:inline distT="0" distB="0" distL="0" distR="0">
            <wp:extent cx="4417060" cy="1433195"/>
            <wp:effectExtent l="0" t="0" r="2540" b="0"/>
            <wp:docPr id="8"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true" noChangeArrowheads="true"/>
                    </pic:cNvPicPr>
                  </pic:nvPicPr>
                  <pic:blipFill>
                    <a:blip r:embed="rId262" cstate="print">
                      <a:extLst>
                        <a:ext uri="{28A0092B-C50C-407E-A947-70E740481C1C}">
                          <a14:useLocalDpi xmlns:a14="http://schemas.microsoft.com/office/drawing/2010/main" val="false"/>
                        </a:ext>
                      </a:extLst>
                    </a:blip>
                    <a:srcRect l="8110" t="29080" r="1336" b="12069"/>
                    <a:stretch>
                      <a:fillRect/>
                    </a:stretch>
                  </pic:blipFill>
                  <pic:spPr>
                    <a:xfrm>
                      <a:off x="0" y="0"/>
                      <a:ext cx="4467233" cy="1449878"/>
                    </a:xfrm>
                    <a:prstGeom prst="rect">
                      <a:avLst/>
                    </a:prstGeom>
                    <a:noFill/>
                    <a:ln>
                      <a:noFill/>
                    </a:ln>
                  </pic:spPr>
                </pic:pic>
              </a:graphicData>
            </a:graphic>
          </wp:inline>
        </w:drawing>
      </w:r>
    </w:p>
    <w:p>
      <w:pPr>
        <w:pStyle w:val="6"/>
        <w:spacing w:after="240" w:afterLines="100"/>
        <w:jc w:val="center"/>
        <w:rPr>
          <w:rFonts w:ascii="Times New Roman" w:hAnsi="Times New Roman" w:eastAsia="宋体" w:cs="Times New Roman"/>
          <w:b/>
          <w:bCs/>
          <w:sz w:val="21"/>
          <w:szCs w:val="21"/>
        </w:rPr>
      </w:pPr>
      <w:bookmarkStart w:id="196" w:name="_Ref95508978"/>
      <w:r>
        <w:rPr>
          <w:rFonts w:ascii="Times New Roman" w:hAnsi="Times New Roman" w:cs="Times New Roman"/>
          <w:b/>
          <w:szCs w:val="21"/>
        </w:rPr>
        <w:t>图</w:t>
      </w:r>
      <w:r>
        <w:rPr>
          <w:rFonts w:ascii="Times New Roman" w:hAnsi="Times New Roman" w:cs="Times New Roman"/>
          <w:b/>
          <w:szCs w:val="21"/>
        </w:rPr>
        <w:fldChar w:fldCharType="begin"/>
      </w:r>
      <w:r>
        <w:rPr>
          <w:rFonts w:ascii="Times New Roman" w:hAnsi="Times New Roman" w:cs="Times New Roman"/>
          <w:b/>
          <w:szCs w:val="21"/>
        </w:rPr>
        <w:instrText xml:space="preserve"> SEQ 图 \* ARABIC </w:instrText>
      </w:r>
      <w:r>
        <w:rPr>
          <w:rFonts w:ascii="Times New Roman" w:hAnsi="Times New Roman" w:cs="Times New Roman"/>
          <w:b/>
          <w:szCs w:val="21"/>
        </w:rPr>
        <w:fldChar w:fldCharType="separate"/>
      </w:r>
      <w:r>
        <w:rPr>
          <w:rFonts w:ascii="Times New Roman" w:hAnsi="Times New Roman" w:cs="Times New Roman"/>
          <w:b/>
          <w:szCs w:val="21"/>
        </w:rPr>
        <w:t>2</w:t>
      </w:r>
      <w:r>
        <w:rPr>
          <w:rFonts w:ascii="Times New Roman" w:hAnsi="Times New Roman" w:cs="Times New Roman"/>
          <w:b/>
          <w:szCs w:val="21"/>
        </w:rPr>
        <w:fldChar w:fldCharType="end"/>
      </w:r>
      <w:bookmarkEnd w:id="196"/>
      <w:r>
        <w:rPr>
          <w:rFonts w:ascii="Times New Roman" w:hAnsi="Times New Roman" w:cs="Times New Roman"/>
          <w:b/>
          <w:szCs w:val="21"/>
        </w:rPr>
        <w:t xml:space="preserve">  </w:t>
      </w:r>
      <w:r>
        <w:rPr>
          <w:rFonts w:ascii="Times New Roman" w:hAnsi="Times New Roman" w:eastAsia="宋体" w:cs="Times New Roman"/>
          <w:b/>
          <w:bCs/>
          <w:sz w:val="21"/>
          <w:szCs w:val="21"/>
        </w:rPr>
        <w:t>凹坑形粗糙面检测示意图</w:t>
      </w:r>
    </w:p>
    <w:p>
      <w:pPr>
        <w:spacing w:line="360" w:lineRule="auto"/>
        <w:rPr>
          <w:rFonts w:eastAsiaTheme="minorEastAsia"/>
          <w:sz w:val="24"/>
        </w:rPr>
      </w:pPr>
      <w:r>
        <w:rPr>
          <w:rFonts w:eastAsiaTheme="minorEastAsia"/>
          <w:b/>
          <w:bCs/>
          <w:sz w:val="24"/>
          <w:szCs w:val="24"/>
        </w:rPr>
        <w:t xml:space="preserve">4.3.9 </w:t>
      </w:r>
      <w:r>
        <w:rPr>
          <w:rFonts w:eastAsiaTheme="minorEastAsia"/>
          <w:sz w:val="24"/>
        </w:rPr>
        <w:t xml:space="preserve"> 除凹凸深度平均值外，凹凸深度在结合面上的分布情况也会影响结合效果，故将凹凸深度的变异系数也作为粗糙面质量的评价指标。</w:t>
      </w:r>
    </w:p>
    <w:p>
      <w:pPr>
        <w:pStyle w:val="90"/>
      </w:pPr>
      <w:bookmarkStart w:id="197" w:name="_Toc120020388"/>
      <w:bookmarkStart w:id="198" w:name="_Toc120020318"/>
      <w:bookmarkStart w:id="199" w:name="_Toc116397175"/>
      <w:r>
        <w:t>4.4  预埋保温拉结件锚固承载力</w:t>
      </w:r>
      <w:bookmarkEnd w:id="197"/>
      <w:bookmarkEnd w:id="198"/>
      <w:bookmarkEnd w:id="199"/>
    </w:p>
    <w:p>
      <w:pPr>
        <w:spacing w:line="360" w:lineRule="auto"/>
        <w:rPr>
          <w:rFonts w:eastAsiaTheme="minorEastAsia"/>
          <w:b/>
          <w:sz w:val="24"/>
        </w:rPr>
      </w:pPr>
      <w:r>
        <w:rPr>
          <w:rFonts w:eastAsiaTheme="minorEastAsia"/>
          <w:b/>
          <w:bCs/>
          <w:sz w:val="24"/>
          <w:szCs w:val="24"/>
        </w:rPr>
        <w:t xml:space="preserve">4.4.1 </w:t>
      </w:r>
      <w:r>
        <w:rPr>
          <w:rFonts w:eastAsiaTheme="minorEastAsia"/>
          <w:bCs/>
          <w:sz w:val="24"/>
          <w:szCs w:val="24"/>
        </w:rPr>
        <w:t xml:space="preserve"> 预制夹心保温混凝土墙板用拉结件的材质可分为纤维复合材料和不锈钢材料。纤维复合材料拉结件分为片状和棒状两种，不锈钢拉结件分为针式、板式和桁架式。保温拉结件的锚固受力主要考虑墙板承受的平面外风荷载、外叶板自重以及地震作用，检测项目分为单个拉结件的抗拔承载力和包含有多个拉结件的预制夹心保温墙板的内叶板与外叶板整体抗剪承载力。</w:t>
      </w:r>
    </w:p>
    <w:p>
      <w:pPr>
        <w:spacing w:line="360" w:lineRule="auto"/>
        <w:rPr>
          <w:rFonts w:eastAsiaTheme="minorEastAsia"/>
          <w:bCs/>
          <w:color w:val="000000" w:themeColor="text1"/>
          <w:sz w:val="24"/>
          <w:szCs w:val="24"/>
          <w14:textFill>
            <w14:solidFill>
              <w14:schemeClr w14:val="tx1"/>
            </w14:solidFill>
          </w14:textFill>
        </w:rPr>
      </w:pPr>
      <w:r>
        <w:rPr>
          <w:rFonts w:eastAsiaTheme="minorEastAsia"/>
          <w:b/>
          <w:bCs/>
          <w:color w:val="000000" w:themeColor="text1"/>
          <w:sz w:val="24"/>
          <w:szCs w:val="24"/>
          <w14:textFill>
            <w14:solidFill>
              <w14:schemeClr w14:val="tx1"/>
            </w14:solidFill>
          </w14:textFill>
        </w:rPr>
        <w:t xml:space="preserve">4.4.2 </w:t>
      </w:r>
      <w:r>
        <w:rPr>
          <w:rFonts w:eastAsiaTheme="minorEastAsia"/>
          <w:bCs/>
          <w:color w:val="000000" w:themeColor="text1"/>
          <w:sz w:val="24"/>
          <w:szCs w:val="24"/>
          <w14:textFill>
            <w14:solidFill>
              <w14:schemeClr w14:val="tx1"/>
            </w14:solidFill>
          </w14:textFill>
        </w:rPr>
        <w:t xml:space="preserve"> 预埋在混凝土墙板中保温拉结件的锚固承载力检测均为破损性检验，群锚整体抗剪承载力还需考虑在两个方向分别进行检测，故规定抽检数量不少于2个墙板构件，被抽到的墙板要充分利用，宜对该墙板中所有符合检测条件的拉结件进行抗拔承载力检测。当对拉结件锚固性能有异议时，才有检测需求，故本条规定的抽检数量，可结合实际检测需求进行调整，检验批的抽样数量要满足批评定的要求。</w:t>
      </w:r>
    </w:p>
    <w:p>
      <w:pPr>
        <w:spacing w:line="360" w:lineRule="auto"/>
        <w:rPr>
          <w:rFonts w:eastAsiaTheme="minorEastAsia"/>
          <w:bCs/>
          <w:color w:val="000000" w:themeColor="text1"/>
          <w:sz w:val="24"/>
          <w:szCs w:val="24"/>
          <w14:textFill>
            <w14:solidFill>
              <w14:schemeClr w14:val="tx1"/>
            </w14:solidFill>
          </w14:textFill>
        </w:rPr>
      </w:pPr>
      <w:r>
        <w:rPr>
          <w:rFonts w:eastAsiaTheme="minorEastAsia"/>
          <w:b/>
          <w:bCs/>
          <w:sz w:val="24"/>
          <w:szCs w:val="24"/>
        </w:rPr>
        <w:t xml:space="preserve">4.4.3 </w:t>
      </w:r>
      <w:r>
        <w:rPr>
          <w:rFonts w:eastAsiaTheme="minorEastAsia"/>
          <w:bCs/>
          <w:sz w:val="24"/>
          <w:szCs w:val="24"/>
        </w:rPr>
        <w:t xml:space="preserve"> 片状或棒状纤维复合材料保温拉结件、针式不锈钢拉结件的横向尺寸较小，可根据设计图纸并辅助无损检测手段确定拉结件的位置，通过钻芯的方式获得含有单个保温拉结件、内叶板混凝土和外叶板混凝土的组合体试件。为了减少钢筋</w:t>
      </w:r>
      <w:r>
        <w:rPr>
          <w:rFonts w:eastAsiaTheme="minorEastAsia"/>
          <w:bCs/>
          <w:color w:val="000000" w:themeColor="text1"/>
          <w:sz w:val="24"/>
          <w:szCs w:val="24"/>
          <w14:textFill>
            <w14:solidFill>
              <w14:schemeClr w14:val="tx1"/>
            </w14:solidFill>
          </w14:textFill>
        </w:rPr>
        <w:t>对检测结果的影响，可通过钢筋探测仪确定钢筋位置，钻取芯样应避开钢筋。在确定拉结件的产品性能时，当抗拔承载力变异系数大于0.2时，行业标准《预制保温墙体用纤维增强塑料连接件》JG/T 561-2019对其标准值乘以一个附加系数进行折减；对于实体构件中的拉结件抗拔承载力检测，已不再是为设计取值考虑，而是为了解实际锚固质量，故本条没有考虑对标准值乘以附加系数进行调整。</w:t>
      </w:r>
      <w:r>
        <w:rPr>
          <w:rFonts w:hint="eastAsia"/>
          <w:bCs/>
          <w:color w:val="000000" w:themeColor="text1"/>
          <w:sz w:val="24"/>
          <w14:textFill>
            <w14:solidFill>
              <w14:schemeClr w14:val="tx1"/>
            </w14:solidFill>
          </w14:textFill>
        </w:rPr>
        <w:t>对</w:t>
      </w:r>
      <w:r>
        <w:rPr>
          <w:bCs/>
          <w:color w:val="000000" w:themeColor="text1"/>
          <w:sz w:val="24"/>
          <w14:textFill>
            <w14:solidFill>
              <w14:schemeClr w14:val="tx1"/>
            </w14:solidFill>
          </w14:textFill>
        </w:rPr>
        <w:t>保温拉结件</w:t>
      </w:r>
      <w:r>
        <w:rPr>
          <w:rFonts w:hint="eastAsia"/>
          <w:bCs/>
          <w:color w:val="000000" w:themeColor="text1"/>
          <w:sz w:val="24"/>
          <w14:textFill>
            <w14:solidFill>
              <w14:schemeClr w14:val="tx1"/>
            </w14:solidFill>
          </w14:textFill>
        </w:rPr>
        <w:t>抗拔</w:t>
      </w:r>
      <w:r>
        <w:rPr>
          <w:bCs/>
          <w:color w:val="000000" w:themeColor="text1"/>
          <w:sz w:val="24"/>
          <w14:textFill>
            <w14:solidFill>
              <w14:schemeClr w14:val="tx1"/>
            </w14:solidFill>
          </w14:textFill>
        </w:rPr>
        <w:t>承载力</w:t>
      </w:r>
      <w:r>
        <w:rPr>
          <w:rFonts w:hint="eastAsia"/>
          <w:bCs/>
          <w:color w:val="000000" w:themeColor="text1"/>
          <w:sz w:val="24"/>
          <w14:textFill>
            <w14:solidFill>
              <w14:schemeClr w14:val="tx1"/>
            </w14:solidFill>
          </w14:textFill>
        </w:rPr>
        <w:t>标准值进行估算时，置信度取0.90，即漏判概率为10%。</w:t>
      </w:r>
    </w:p>
    <w:p>
      <w:pPr>
        <w:spacing w:line="360" w:lineRule="auto"/>
        <w:rPr>
          <w:rFonts w:eastAsiaTheme="minorEastAsia"/>
          <w:bCs/>
          <w:sz w:val="24"/>
          <w:szCs w:val="24"/>
        </w:rPr>
      </w:pPr>
      <w:r>
        <w:rPr>
          <w:rFonts w:eastAsiaTheme="minorEastAsia"/>
          <w:b/>
          <w:bCs/>
          <w:sz w:val="24"/>
          <w:szCs w:val="24"/>
        </w:rPr>
        <w:t xml:space="preserve">4.4.4 </w:t>
      </w:r>
      <w:r>
        <w:rPr>
          <w:rFonts w:eastAsiaTheme="minorEastAsia"/>
          <w:bCs/>
          <w:sz w:val="24"/>
          <w:szCs w:val="24"/>
        </w:rPr>
        <w:t xml:space="preserve"> 板式不锈钢保温拉结件和钢筋桁架保温拉结件的锚固区域较大，不适合进行单个拉结件承载力的检测，为了解整体锚固性能，可通过检测内叶板与外叶板之间的整体抗剪承载力来评价拉结件的群锚性能。根据受力状态分析，在进行群锚整体抗剪承载力试验时，保温拉结件处于拉剪复合受力状态。为了使检测时构件的受力状态更接近实际情况，设计了群锚整体抗剪承载力检测的试验装置。由于不锈钢拉结件和钢筋桁架拉结件的延性较好，通常加载至极限荷载时内叶板和外叶板之间的相对位移较大，超过设计允许的变形限值，故可将内叶板和外叶板的相对位移作为判别指标。对于纤维复合材料拉结件，行业标准《预制保温墙体用纤维增强塑料连接件》JG/T 561-2019规定相对位移允许值为10mm。当内叶板和外叶板发生相对变形时，预制夹心保温墙板中拉结件的受力状态较为复杂，在对保温拉结件抗剪承载力进行评价时，以内叶板与外叶板的整体抗剪承载力检测结果作为依据，不再对单个拉结件的抗剪承载力进行评价。</w:t>
      </w:r>
    </w:p>
    <w:p>
      <w:pPr>
        <w:pStyle w:val="90"/>
      </w:pPr>
      <w:bookmarkStart w:id="200" w:name="_Toc120020319"/>
      <w:bookmarkStart w:id="201" w:name="_Toc120020389"/>
      <w:bookmarkStart w:id="202" w:name="_Toc116397176"/>
      <w:r>
        <w:t>4.5  预埋吊件锚固承载力</w:t>
      </w:r>
      <w:bookmarkEnd w:id="200"/>
      <w:bookmarkEnd w:id="201"/>
      <w:bookmarkEnd w:id="202"/>
    </w:p>
    <w:p>
      <w:pPr>
        <w:snapToGrid w:val="0"/>
        <w:spacing w:line="360" w:lineRule="auto"/>
        <w:rPr>
          <w:rFonts w:eastAsiaTheme="minorEastAsia"/>
          <w:bCs/>
          <w:sz w:val="24"/>
          <w:szCs w:val="24"/>
        </w:rPr>
      </w:pPr>
      <w:r>
        <w:rPr>
          <w:rFonts w:eastAsiaTheme="minorEastAsia"/>
          <w:b/>
          <w:bCs/>
          <w:sz w:val="24"/>
          <w:szCs w:val="24"/>
        </w:rPr>
        <w:t xml:space="preserve">4.5.1 </w:t>
      </w:r>
      <w:r>
        <w:rPr>
          <w:rFonts w:eastAsiaTheme="minorEastAsia"/>
          <w:bCs/>
          <w:sz w:val="24"/>
          <w:szCs w:val="24"/>
        </w:rPr>
        <w:t xml:space="preserve"> 在构件吊装过程中，预埋吊件的实际受力是处于拉剪复合受力状态，考虑到拉剪复合试验加载的难度，本条规定预埋在混凝土构件中的吊件锚固承载力可用抗拔承载力来表征。</w:t>
      </w:r>
    </w:p>
    <w:p>
      <w:pPr>
        <w:snapToGrid w:val="0"/>
        <w:spacing w:line="360" w:lineRule="auto"/>
        <w:rPr>
          <w:rFonts w:eastAsiaTheme="minorEastAsia"/>
          <w:sz w:val="24"/>
          <w:szCs w:val="24"/>
        </w:rPr>
      </w:pPr>
      <w:r>
        <w:rPr>
          <w:rFonts w:eastAsiaTheme="minorEastAsia"/>
          <w:b/>
          <w:bCs/>
          <w:sz w:val="24"/>
          <w:szCs w:val="24"/>
        </w:rPr>
        <w:t xml:space="preserve">4.5.2 </w:t>
      </w:r>
      <w:r>
        <w:rPr>
          <w:rFonts w:eastAsiaTheme="minorEastAsia"/>
          <w:bCs/>
          <w:sz w:val="24"/>
          <w:szCs w:val="24"/>
        </w:rPr>
        <w:t xml:space="preserve"> 由于不影响预制构件的使用，非破损性检测数量可按照检测批进行计数抽样检测。破损性检测是为了获得吊件锚固承载力的极限值，并通过一定的样本数来确定吊件锚固承载力的标准值。吊件锚固承载力设计值一般是由其标准值除以分项系数得到。</w:t>
      </w:r>
    </w:p>
    <w:p>
      <w:pPr>
        <w:snapToGrid w:val="0"/>
        <w:spacing w:line="360" w:lineRule="auto"/>
        <w:rPr>
          <w:rFonts w:eastAsiaTheme="minorEastAsia"/>
          <w:bCs/>
          <w:sz w:val="24"/>
          <w:szCs w:val="24"/>
        </w:rPr>
      </w:pPr>
      <w:r>
        <w:rPr>
          <w:rFonts w:eastAsiaTheme="minorEastAsia"/>
          <w:b/>
          <w:bCs/>
          <w:sz w:val="24"/>
          <w:szCs w:val="24"/>
        </w:rPr>
        <w:t>4.5.3</w:t>
      </w:r>
      <w:r>
        <w:rPr>
          <w:rFonts w:eastAsiaTheme="minorEastAsia"/>
          <w:bCs/>
          <w:sz w:val="24"/>
          <w:szCs w:val="24"/>
        </w:rPr>
        <w:t xml:space="preserve">  对于完成极限承载力检验的构件，应根据破损情况确定构件的处置方案，未经修复不能作为正常构件使用。当采用线性内插法计算抽样数量时，若出现非整数的情况，应采用对计算结果取整数再加1的方式确定抽样数量。</w:t>
      </w:r>
    </w:p>
    <w:p>
      <w:pPr>
        <w:snapToGrid w:val="0"/>
        <w:spacing w:line="360" w:lineRule="auto"/>
        <w:rPr>
          <w:rFonts w:eastAsiaTheme="minorEastAsia"/>
          <w:bCs/>
          <w:sz w:val="24"/>
          <w:szCs w:val="24"/>
        </w:rPr>
      </w:pPr>
    </w:p>
    <w:p>
      <w:pPr>
        <w:snapToGrid w:val="0"/>
        <w:spacing w:line="300" w:lineRule="auto"/>
        <w:rPr>
          <w:rFonts w:eastAsiaTheme="minorEastAsia"/>
          <w:bCs/>
          <w:sz w:val="24"/>
          <w:szCs w:val="24"/>
        </w:rPr>
      </w:pPr>
      <w:r>
        <w:rPr>
          <w:bCs/>
          <w:sz w:val="24"/>
          <w:szCs w:val="24"/>
        </w:rPr>
        <w:br w:type="page"/>
      </w:r>
    </w:p>
    <w:p>
      <w:pPr>
        <w:pStyle w:val="89"/>
      </w:pPr>
      <w:bookmarkStart w:id="203" w:name="_Toc116397177"/>
      <w:bookmarkStart w:id="204" w:name="_Toc120020320"/>
      <w:bookmarkStart w:id="205" w:name="_Toc120020390"/>
      <w:r>
        <w:t>5  混凝土结合面连接</w:t>
      </w:r>
      <w:bookmarkEnd w:id="203"/>
      <w:bookmarkEnd w:id="204"/>
      <w:bookmarkEnd w:id="205"/>
    </w:p>
    <w:p>
      <w:pPr>
        <w:pStyle w:val="90"/>
      </w:pPr>
      <w:bookmarkStart w:id="206" w:name="_Toc120020391"/>
      <w:bookmarkStart w:id="207" w:name="_Toc120020321"/>
      <w:bookmarkStart w:id="208" w:name="_Toc116397178"/>
      <w:r>
        <w:t>5.1  一般规定</w:t>
      </w:r>
      <w:bookmarkEnd w:id="206"/>
      <w:bookmarkEnd w:id="207"/>
      <w:bookmarkEnd w:id="208"/>
    </w:p>
    <w:p>
      <w:pPr>
        <w:spacing w:line="360" w:lineRule="auto"/>
        <w:rPr>
          <w:rFonts w:eastAsiaTheme="minorEastAsia"/>
          <w:bCs/>
          <w:sz w:val="24"/>
          <w:szCs w:val="24"/>
        </w:rPr>
      </w:pPr>
      <w:r>
        <w:rPr>
          <w:rFonts w:eastAsiaTheme="minorEastAsia"/>
          <w:b/>
          <w:bCs/>
          <w:sz w:val="24"/>
          <w:szCs w:val="24"/>
        </w:rPr>
        <w:t xml:space="preserve">5.1.1 </w:t>
      </w:r>
      <w:r>
        <w:rPr>
          <w:rFonts w:eastAsiaTheme="minorEastAsia"/>
          <w:bCs/>
          <w:sz w:val="24"/>
          <w:szCs w:val="24"/>
        </w:rPr>
        <w:t xml:space="preserve"> 混凝土结合面连接质量可通过粘结强度和粘结缺陷来反映，由于现场浇筑混凝土的自重荷载作用，水平结合面一般不会出现脱空问题，但会因结合面清理和洒水湿润不到位造成粘结强度达不到要求的情况；由于混凝土收缩，竖向结合面会存在预制混凝土与现场浇筑混凝土的脱粘、脱空问题。在实际工程中，应根据项目实际需求选择检测项目，一般宜对竖向结合面的粘结缺陷和粘结强度进行检测；当套筒连通腔灌浆施工出现严重漏浆情况时，宜对竖向构件底部接缝内部缺陷进行检测。</w:t>
      </w:r>
    </w:p>
    <w:p>
      <w:pPr>
        <w:spacing w:line="360" w:lineRule="auto"/>
        <w:rPr>
          <w:rFonts w:eastAsiaTheme="minorEastAsia"/>
          <w:bCs/>
          <w:sz w:val="24"/>
          <w:szCs w:val="24"/>
        </w:rPr>
      </w:pPr>
      <w:r>
        <w:rPr>
          <w:rFonts w:eastAsiaTheme="minorEastAsia"/>
          <w:b/>
          <w:bCs/>
          <w:sz w:val="24"/>
          <w:szCs w:val="24"/>
        </w:rPr>
        <w:t xml:space="preserve">5.1.2 </w:t>
      </w:r>
      <w:r>
        <w:rPr>
          <w:rFonts w:eastAsiaTheme="minorEastAsia"/>
          <w:bCs/>
          <w:sz w:val="24"/>
          <w:szCs w:val="24"/>
        </w:rPr>
        <w:t xml:space="preserve"> 混凝土内部缺陷检测一般采用超声波、冲击回波、雷达波等无损检测方法，均要求混凝土表面平整、清洁、干燥；对于竖向构件底部20mm厚度的接缝处，因封边或者坐浆施工造成表面不平整、流淌的浆料或者斜坡凸起等表观缺陷均会影响检测过程和检测结果。</w:t>
      </w:r>
    </w:p>
    <w:p>
      <w:pPr>
        <w:pStyle w:val="90"/>
      </w:pPr>
      <w:bookmarkStart w:id="209" w:name="_Toc120020392"/>
      <w:bookmarkStart w:id="210" w:name="_Toc116397179"/>
      <w:bookmarkStart w:id="211" w:name="_Toc120020322"/>
      <w:r>
        <w:t>5.2  结合面混凝土正拉粘结强度</w:t>
      </w:r>
      <w:bookmarkEnd w:id="209"/>
      <w:bookmarkEnd w:id="210"/>
      <w:bookmarkEnd w:id="211"/>
    </w:p>
    <w:p>
      <w:pPr>
        <w:spacing w:line="360" w:lineRule="auto"/>
        <w:rPr>
          <w:rFonts w:eastAsiaTheme="minorEastAsia"/>
          <w:bCs/>
          <w:sz w:val="24"/>
          <w:szCs w:val="24"/>
        </w:rPr>
      </w:pPr>
      <w:r>
        <w:rPr>
          <w:rFonts w:eastAsiaTheme="minorEastAsia"/>
          <w:b/>
          <w:bCs/>
          <w:sz w:val="24"/>
          <w:szCs w:val="24"/>
        </w:rPr>
        <w:t xml:space="preserve">5.2.1 </w:t>
      </w:r>
      <w:r>
        <w:rPr>
          <w:rFonts w:eastAsiaTheme="minorEastAsia"/>
          <w:bCs/>
          <w:sz w:val="24"/>
          <w:szCs w:val="24"/>
        </w:rPr>
        <w:t xml:space="preserve"> 结合面正拉粘结强度的现场检测主要针对叠合墙和叠合板，适用于在与结合面平行的墙面或板面上检测现场二次浇筑的混凝土与预制构件混凝土的粘结强度。</w:t>
      </w:r>
    </w:p>
    <w:p>
      <w:pPr>
        <w:spacing w:line="360" w:lineRule="auto"/>
        <w:rPr>
          <w:rFonts w:eastAsiaTheme="minorEastAsia"/>
          <w:sz w:val="24"/>
          <w:szCs w:val="24"/>
        </w:rPr>
      </w:pPr>
      <w:r>
        <w:rPr>
          <w:rFonts w:eastAsiaTheme="minorEastAsia"/>
          <w:b/>
          <w:bCs/>
          <w:sz w:val="24"/>
          <w:szCs w:val="24"/>
        </w:rPr>
        <w:t xml:space="preserve">5.2.3 </w:t>
      </w:r>
      <w:r>
        <w:rPr>
          <w:rFonts w:eastAsiaTheme="minorEastAsia"/>
          <w:sz w:val="24"/>
          <w:szCs w:val="24"/>
        </w:rPr>
        <w:t xml:space="preserve"> 钻芯机、钻头、拉拔仪等检测设备的技术性能直接影响到检测质量，对检测设备的技术条件进行了规定。为了保证钻芯机等设备的正常工作，除应定期检修外，每次钻芯工作结束后，应及时卸下钻头、胀卡等零部件，擦去污物水渍，并应在齿条</w:t>
      </w:r>
      <w:r>
        <w:rPr>
          <w:rFonts w:eastAsiaTheme="minorEastAsia"/>
          <w:color w:val="000000" w:themeColor="text1"/>
          <w:sz w:val="24"/>
          <w:szCs w:val="24"/>
          <w14:textFill>
            <w14:solidFill>
              <w14:schemeClr w14:val="tx1"/>
            </w14:solidFill>
          </w14:textFill>
        </w:rPr>
        <w:t>、导轨等处涂油防锈。拉拔仪是集加载、测力、记录、计数等功能为一体的仪器，具有轴向连接试件的传力装置类似于粘钢或粘碳纤维加固正拉粘结强度检测的粘贴钢标块进行传力，具有径</w:t>
      </w:r>
      <w:r>
        <w:rPr>
          <w:rFonts w:eastAsiaTheme="minorEastAsia"/>
          <w:sz w:val="24"/>
          <w:szCs w:val="24"/>
        </w:rPr>
        <w:t>向夹持试件的功能类似于拉脱法检测混凝土强度的拉脱仪夹持原理，连接装置或夹紧装置应能确保在加载过程中不会先于试件破坏而与试件脱开。在选用拉拔仪时，应根据预估的最大加载力值选择合适量程的设备，以保证测力精度。</w:t>
      </w:r>
    </w:p>
    <w:p>
      <w:pPr>
        <w:spacing w:line="360" w:lineRule="auto"/>
        <w:jc w:val="left"/>
        <w:rPr>
          <w:rFonts w:eastAsiaTheme="minorEastAsia"/>
          <w:bCs/>
          <w:color w:val="000000" w:themeColor="text1"/>
          <w:sz w:val="24"/>
          <w:szCs w:val="24"/>
          <w14:textFill>
            <w14:solidFill>
              <w14:schemeClr w14:val="tx1"/>
            </w14:solidFill>
          </w14:textFill>
        </w:rPr>
      </w:pPr>
      <w:r>
        <w:rPr>
          <w:rFonts w:eastAsiaTheme="minorEastAsia"/>
          <w:b/>
          <w:bCs/>
          <w:sz w:val="24"/>
          <w:szCs w:val="24"/>
        </w:rPr>
        <w:t xml:space="preserve">5.2.6 </w:t>
      </w:r>
      <w:r>
        <w:rPr>
          <w:rFonts w:eastAsiaTheme="minorEastAsia"/>
          <w:bCs/>
          <w:sz w:val="24"/>
          <w:szCs w:val="24"/>
        </w:rPr>
        <w:t xml:space="preserve"> 以混凝土叠合楼板为例，因芯样钻取深度未贯穿结合面或者芯样钻取深度过深造成预制混凝土贯穿性破坏的试验结果不能作为判定依据，其他正常的破坏</w:t>
      </w:r>
      <w:r>
        <w:rPr>
          <w:rFonts w:eastAsiaTheme="minorEastAsia"/>
          <w:bCs/>
          <w:color w:val="000000" w:themeColor="text1"/>
          <w:sz w:val="24"/>
          <w:szCs w:val="24"/>
          <w14:textFill>
            <w14:solidFill>
              <w14:schemeClr w14:val="tx1"/>
            </w14:solidFill>
          </w14:textFill>
        </w:rPr>
        <w:t>形态见</w:t>
      </w:r>
      <w:r>
        <w:fldChar w:fldCharType="begin"/>
      </w:r>
      <w:r>
        <w:instrText xml:space="preserve"> REF _Ref95508996 \h  \* MERGEFORMAT </w:instrText>
      </w:r>
      <w:r>
        <w:fldChar w:fldCharType="separate"/>
      </w:r>
      <w:r>
        <w:rPr>
          <w:color w:val="000000" w:themeColor="text1"/>
          <w:sz w:val="24"/>
          <w:szCs w:val="24"/>
          <w14:textFill>
            <w14:solidFill>
              <w14:schemeClr w14:val="tx1"/>
            </w14:solidFill>
          </w14:textFill>
        </w:rPr>
        <w:t>图3</w:t>
      </w:r>
      <w:r>
        <w:fldChar w:fldCharType="end"/>
      </w:r>
      <w:r>
        <w:rPr>
          <w:rFonts w:eastAsiaTheme="minorEastAsia"/>
          <w:bCs/>
          <w:color w:val="000000" w:themeColor="text1"/>
          <w:sz w:val="24"/>
          <w:szCs w:val="24"/>
          <w14:textFill>
            <w14:solidFill>
              <w14:schemeClr w14:val="tx1"/>
            </w14:solidFill>
          </w14:textFill>
        </w:rPr>
        <w:t>。</w:t>
      </w:r>
    </w:p>
    <w:tbl>
      <w:tblPr>
        <w:tblStyle w:val="25"/>
        <w:tblW w:w="852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40"/>
        <w:gridCol w:w="2841"/>
        <w:gridCol w:w="28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40" w:type="dxa"/>
          </w:tcPr>
          <w:p>
            <w:pPr>
              <w:spacing w:line="300" w:lineRule="auto"/>
              <w:jc w:val="center"/>
              <w:rPr>
                <w:rFonts w:eastAsiaTheme="minorEastAsia"/>
                <w:bCs/>
                <w:kern w:val="0"/>
                <w:sz w:val="24"/>
                <w:szCs w:val="24"/>
              </w:rPr>
            </w:pPr>
            <w:r>
              <w:rPr>
                <w:rFonts w:eastAsiaTheme="minorEastAsia"/>
                <w:bCs/>
                <w:kern w:val="0"/>
                <w:sz w:val="24"/>
                <w:szCs w:val="24"/>
              </w:rPr>
              <w:drawing>
                <wp:inline distT="0" distB="0" distL="0" distR="0">
                  <wp:extent cx="1237615" cy="892175"/>
                  <wp:effectExtent l="0" t="0" r="635" b="3175"/>
                  <wp:docPr id="9"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20"/>
                          <pic:cNvPicPr>
                            <a:picLocks noChangeAspect="true" noChangeArrowheads="true"/>
                          </pic:cNvPicPr>
                        </pic:nvPicPr>
                        <pic:blipFill>
                          <a:blip r:embed="rId263" cstate="print">
                            <a:extLst>
                              <a:ext uri="{28A0092B-C50C-407E-A947-70E740481C1C}">
                                <a14:useLocalDpi xmlns:a14="http://schemas.microsoft.com/office/drawing/2010/main" val="false"/>
                              </a:ext>
                            </a:extLst>
                          </a:blip>
                          <a:srcRect/>
                          <a:stretch>
                            <a:fillRect/>
                          </a:stretch>
                        </pic:blipFill>
                        <pic:spPr>
                          <a:xfrm>
                            <a:off x="0" y="0"/>
                            <a:ext cx="1237658" cy="892800"/>
                          </a:xfrm>
                          <a:prstGeom prst="rect">
                            <a:avLst/>
                          </a:prstGeom>
                          <a:noFill/>
                          <a:ln>
                            <a:noFill/>
                          </a:ln>
                        </pic:spPr>
                      </pic:pic>
                    </a:graphicData>
                  </a:graphic>
                </wp:inline>
              </w:drawing>
            </w:r>
          </w:p>
        </w:tc>
        <w:tc>
          <w:tcPr>
            <w:tcW w:w="2841" w:type="dxa"/>
          </w:tcPr>
          <w:p>
            <w:pPr>
              <w:keepNext/>
              <w:spacing w:line="300" w:lineRule="auto"/>
              <w:jc w:val="center"/>
              <w:rPr>
                <w:rFonts w:eastAsiaTheme="minorEastAsia"/>
                <w:bCs/>
                <w:kern w:val="0"/>
                <w:sz w:val="24"/>
                <w:szCs w:val="24"/>
              </w:rPr>
            </w:pPr>
            <w:r>
              <w:rPr>
                <w:rFonts w:eastAsiaTheme="minorEastAsia"/>
                <w:bCs/>
                <w:kern w:val="0"/>
                <w:sz w:val="24"/>
                <w:szCs w:val="24"/>
              </w:rPr>
              <w:drawing>
                <wp:inline distT="0" distB="0" distL="0" distR="0">
                  <wp:extent cx="1237615" cy="892175"/>
                  <wp:effectExtent l="0" t="0" r="635" b="3175"/>
                  <wp:docPr id="11"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25"/>
                          <pic:cNvPicPr>
                            <a:picLocks noChangeAspect="true" noChangeArrowheads="true"/>
                          </pic:cNvPicPr>
                        </pic:nvPicPr>
                        <pic:blipFill>
                          <a:blip r:embed="rId264" cstate="print">
                            <a:extLst>
                              <a:ext uri="{28A0092B-C50C-407E-A947-70E740481C1C}">
                                <a14:useLocalDpi xmlns:a14="http://schemas.microsoft.com/office/drawing/2010/main" val="false"/>
                              </a:ext>
                            </a:extLst>
                          </a:blip>
                          <a:srcRect/>
                          <a:stretch>
                            <a:fillRect/>
                          </a:stretch>
                        </pic:blipFill>
                        <pic:spPr>
                          <a:xfrm>
                            <a:off x="0" y="0"/>
                            <a:ext cx="1237658" cy="892800"/>
                          </a:xfrm>
                          <a:prstGeom prst="rect">
                            <a:avLst/>
                          </a:prstGeom>
                          <a:noFill/>
                          <a:ln>
                            <a:noFill/>
                          </a:ln>
                        </pic:spPr>
                      </pic:pic>
                    </a:graphicData>
                  </a:graphic>
                </wp:inline>
              </w:drawing>
            </w:r>
          </w:p>
        </w:tc>
        <w:tc>
          <w:tcPr>
            <w:tcW w:w="2848" w:type="dxa"/>
          </w:tcPr>
          <w:p>
            <w:pPr>
              <w:spacing w:line="300" w:lineRule="auto"/>
              <w:jc w:val="center"/>
              <w:rPr>
                <w:rFonts w:eastAsiaTheme="minorEastAsia"/>
                <w:bCs/>
                <w:kern w:val="0"/>
                <w:sz w:val="24"/>
                <w:szCs w:val="24"/>
              </w:rPr>
            </w:pPr>
            <w:r>
              <w:rPr>
                <w:rFonts w:eastAsiaTheme="minorEastAsia"/>
                <w:bCs/>
                <w:kern w:val="0"/>
                <w:sz w:val="24"/>
                <w:szCs w:val="24"/>
              </w:rPr>
              <w:drawing>
                <wp:inline distT="0" distB="0" distL="0" distR="0">
                  <wp:extent cx="1237615" cy="892175"/>
                  <wp:effectExtent l="0" t="0" r="635" b="3175"/>
                  <wp:docPr id="13" name="图片 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27"/>
                          <pic:cNvPicPr>
                            <a:picLocks noChangeAspect="true" noChangeArrowheads="true"/>
                          </pic:cNvPicPr>
                        </pic:nvPicPr>
                        <pic:blipFill>
                          <a:blip r:embed="rId265" cstate="print">
                            <a:extLst>
                              <a:ext uri="{28A0092B-C50C-407E-A947-70E740481C1C}">
                                <a14:useLocalDpi xmlns:a14="http://schemas.microsoft.com/office/drawing/2010/main" val="false"/>
                              </a:ext>
                            </a:extLst>
                          </a:blip>
                          <a:srcRect/>
                          <a:stretch>
                            <a:fillRect/>
                          </a:stretch>
                        </pic:blipFill>
                        <pic:spPr>
                          <a:xfrm>
                            <a:off x="0" y="0"/>
                            <a:ext cx="1237658" cy="8928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40" w:type="dxa"/>
          </w:tcPr>
          <w:p>
            <w:pPr>
              <w:spacing w:line="300" w:lineRule="auto"/>
              <w:jc w:val="center"/>
              <w:rPr>
                <w:rFonts w:eastAsiaTheme="minorEastAsia"/>
                <w:bCs/>
                <w:szCs w:val="24"/>
              </w:rPr>
            </w:pPr>
            <w:r>
              <w:rPr>
                <w:rFonts w:eastAsiaTheme="minorEastAsia"/>
                <w:bCs/>
                <w:szCs w:val="24"/>
              </w:rPr>
              <w:t>（a）结合面混凝土破坏</w:t>
            </w:r>
          </w:p>
        </w:tc>
        <w:tc>
          <w:tcPr>
            <w:tcW w:w="2841" w:type="dxa"/>
          </w:tcPr>
          <w:p>
            <w:pPr>
              <w:spacing w:line="300" w:lineRule="auto"/>
              <w:jc w:val="center"/>
              <w:rPr>
                <w:rFonts w:eastAsiaTheme="minorEastAsia"/>
                <w:bCs/>
                <w:szCs w:val="24"/>
              </w:rPr>
            </w:pPr>
            <w:r>
              <w:rPr>
                <w:rFonts w:eastAsiaTheme="minorEastAsia"/>
                <w:bCs/>
                <w:szCs w:val="24"/>
              </w:rPr>
              <w:t>（b）后浇混凝土破坏</w:t>
            </w:r>
          </w:p>
        </w:tc>
        <w:tc>
          <w:tcPr>
            <w:tcW w:w="2848" w:type="dxa"/>
          </w:tcPr>
          <w:p>
            <w:pPr>
              <w:spacing w:line="300" w:lineRule="auto"/>
              <w:jc w:val="center"/>
              <w:rPr>
                <w:rFonts w:eastAsiaTheme="minorEastAsia"/>
                <w:bCs/>
                <w:szCs w:val="24"/>
              </w:rPr>
            </w:pPr>
            <w:r>
              <w:rPr>
                <w:rFonts w:eastAsiaTheme="minorEastAsia"/>
                <w:bCs/>
                <w:szCs w:val="24"/>
              </w:rPr>
              <w:t>（c）预制构件混凝土破坏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9" w:type="dxa"/>
            <w:gridSpan w:val="3"/>
          </w:tcPr>
          <w:p>
            <w:pPr>
              <w:spacing w:line="300" w:lineRule="auto"/>
              <w:jc w:val="center"/>
              <w:rPr>
                <w:rFonts w:eastAsiaTheme="minorEastAsia"/>
                <w:b/>
                <w:bCs/>
                <w:szCs w:val="21"/>
              </w:rPr>
            </w:pPr>
            <w:bookmarkStart w:id="212" w:name="_Ref95508996"/>
            <w:r>
              <w:rPr>
                <w:b/>
                <w:szCs w:val="21"/>
              </w:rPr>
              <w:t>图</w:t>
            </w:r>
            <w:r>
              <w:rPr>
                <w:b/>
                <w:szCs w:val="21"/>
              </w:rPr>
              <w:fldChar w:fldCharType="begin"/>
            </w:r>
            <w:r>
              <w:rPr>
                <w:b/>
                <w:szCs w:val="21"/>
              </w:rPr>
              <w:instrText xml:space="preserve"> SEQ 图 \* ARABIC </w:instrText>
            </w:r>
            <w:r>
              <w:rPr>
                <w:b/>
                <w:szCs w:val="21"/>
              </w:rPr>
              <w:fldChar w:fldCharType="separate"/>
            </w:r>
            <w:r>
              <w:rPr>
                <w:b/>
                <w:szCs w:val="21"/>
              </w:rPr>
              <w:t>3</w:t>
            </w:r>
            <w:r>
              <w:rPr>
                <w:b/>
                <w:szCs w:val="21"/>
              </w:rPr>
              <w:fldChar w:fldCharType="end"/>
            </w:r>
            <w:bookmarkEnd w:id="212"/>
            <w:r>
              <w:rPr>
                <w:rFonts w:eastAsiaTheme="minorEastAsia"/>
                <w:b/>
                <w:bCs/>
                <w:szCs w:val="21"/>
              </w:rPr>
              <w:t xml:space="preserve">  混凝土结合面破坏形态示意图</w:t>
            </w:r>
          </w:p>
        </w:tc>
      </w:tr>
    </w:tbl>
    <w:p>
      <w:pPr>
        <w:spacing w:line="360" w:lineRule="auto"/>
        <w:rPr>
          <w:rFonts w:eastAsiaTheme="minorEastAsia"/>
          <w:sz w:val="24"/>
        </w:rPr>
      </w:pPr>
      <w:r>
        <w:rPr>
          <w:rFonts w:eastAsiaTheme="minorEastAsia"/>
          <w:b/>
          <w:bCs/>
          <w:sz w:val="24"/>
          <w:szCs w:val="24"/>
        </w:rPr>
        <w:t xml:space="preserve">5.2.8  </w:t>
      </w:r>
      <w:r>
        <w:rPr>
          <w:rFonts w:eastAsiaTheme="minorEastAsia"/>
          <w:sz w:val="24"/>
        </w:rPr>
        <w:t>后浇混凝土与预制混凝土结合面的粘结强度是表征结合面连接质量的重要指标。对于装配整体式混凝土结构，为了达到“等同现浇”的设计原则，结合面的粘结强度应达到与混凝土本体同强度的要求。在批量检测时，当芯样破断面均位于非结合面处，说明结合面粘结强度高于预制混凝土或后浇混凝土的抗拉强度；当存在芯样破断面位于结合面处时，应按本条的有关规定对其正拉粘结强度进行推定。</w:t>
      </w:r>
    </w:p>
    <w:p>
      <w:pPr>
        <w:pStyle w:val="90"/>
      </w:pPr>
      <w:bookmarkStart w:id="213" w:name="_Toc120020393"/>
      <w:bookmarkStart w:id="214" w:name="_Toc120020323"/>
      <w:bookmarkStart w:id="215" w:name="_Toc116397180"/>
      <w:r>
        <w:t>5.3  混凝土内部结合面连接缺陷</w:t>
      </w:r>
      <w:bookmarkEnd w:id="213"/>
      <w:bookmarkEnd w:id="214"/>
      <w:bookmarkEnd w:id="215"/>
    </w:p>
    <w:p>
      <w:pPr>
        <w:snapToGrid w:val="0"/>
        <w:spacing w:line="360" w:lineRule="auto"/>
        <w:rPr>
          <w:rFonts w:eastAsiaTheme="minorEastAsia"/>
          <w:bCs/>
          <w:sz w:val="24"/>
        </w:rPr>
      </w:pPr>
      <w:r>
        <w:rPr>
          <w:rFonts w:eastAsiaTheme="minorEastAsia"/>
          <w:b/>
          <w:bCs/>
          <w:sz w:val="24"/>
          <w:szCs w:val="24"/>
        </w:rPr>
        <w:t xml:space="preserve">5.3.1 </w:t>
      </w:r>
      <w:r>
        <w:rPr>
          <w:rFonts w:eastAsiaTheme="minorEastAsia"/>
          <w:bCs/>
          <w:sz w:val="24"/>
          <w:szCs w:val="24"/>
        </w:rPr>
        <w:t xml:space="preserve"> 在叠合剪力墙、叠合梁、叠合板以及预制构件与现浇混凝土连接部位存在大量的混凝土结合面，其内部的结合面缺陷包括脱粘、漏灌、不密实、空洞、杂物等类型，尤其以叠合剪力墙的内部脱粘较为常见，水平构件以夹有杂物较为常见。</w:t>
      </w:r>
      <w:r>
        <w:rPr>
          <w:rFonts w:eastAsiaTheme="minorEastAsia"/>
          <w:bCs/>
          <w:sz w:val="24"/>
        </w:rPr>
        <w:t>根据现场测试条件，本条给出了检测方法的选择建议。</w:t>
      </w:r>
      <w:r>
        <w:rPr>
          <w:rFonts w:hint="eastAsia" w:eastAsiaTheme="minorEastAsia"/>
          <w:bCs/>
          <w:sz w:val="24"/>
        </w:rPr>
        <w:t>在对叠合剪力墙内部结合面缺陷进行检测时，可将同一楼层、同类型构件、且相同施工工艺的构件可划分为同一检测批，每个构件检测区域可根据现场情况确定。</w:t>
      </w:r>
    </w:p>
    <w:p>
      <w:pPr>
        <w:adjustRightInd w:val="0"/>
        <w:snapToGrid w:val="0"/>
        <w:spacing w:line="360" w:lineRule="auto"/>
        <w:rPr>
          <w:rFonts w:eastAsiaTheme="minorEastAsia"/>
          <w:bCs/>
          <w:sz w:val="24"/>
        </w:rPr>
      </w:pPr>
      <w:r>
        <w:rPr>
          <w:rFonts w:eastAsiaTheme="minorEastAsia"/>
          <w:b/>
          <w:bCs/>
          <w:sz w:val="24"/>
          <w:szCs w:val="24"/>
        </w:rPr>
        <w:t xml:space="preserve">5.3.3-5.3.5 </w:t>
      </w:r>
      <w:r>
        <w:rPr>
          <w:rFonts w:eastAsiaTheme="minorEastAsia"/>
          <w:bCs/>
          <w:sz w:val="24"/>
        </w:rPr>
        <w:t xml:space="preserve"> 采用超声法、冲击回波法或雷达法检测混凝土内部缺陷时，可按现行相关标准进行检测和结果判定。阵列超声法通常是采用横波信号，是基于超声波反射原理的缺陷识别技术。目前所采用的阵列超声检测设备已对超声信号处理软件进行了集成，可直接显示出检测结果。因此，本标准对阵列超声法检测混凝土结合面缺陷进行了单独规定。</w:t>
      </w:r>
    </w:p>
    <w:p>
      <w:pPr>
        <w:pStyle w:val="90"/>
      </w:pPr>
      <w:bookmarkStart w:id="216" w:name="_Toc120020394"/>
      <w:bookmarkStart w:id="217" w:name="_Toc120020324"/>
      <w:bookmarkStart w:id="218" w:name="_Toc116397181"/>
      <w:r>
        <w:t>5.4  竖向构件底部接缝内部缺陷</w:t>
      </w:r>
      <w:bookmarkEnd w:id="216"/>
      <w:bookmarkEnd w:id="217"/>
      <w:bookmarkEnd w:id="218"/>
    </w:p>
    <w:p>
      <w:pPr>
        <w:spacing w:line="360" w:lineRule="auto"/>
        <w:rPr>
          <w:rFonts w:eastAsiaTheme="minorEastAsia"/>
          <w:bCs/>
          <w:sz w:val="22"/>
        </w:rPr>
      </w:pPr>
      <w:r>
        <w:rPr>
          <w:rFonts w:eastAsiaTheme="minorEastAsia"/>
          <w:b/>
          <w:bCs/>
          <w:color w:val="000000" w:themeColor="text1"/>
          <w:sz w:val="24"/>
          <w:szCs w:val="24"/>
          <w14:textFill>
            <w14:solidFill>
              <w14:schemeClr w14:val="tx1"/>
            </w14:solidFill>
          </w14:textFill>
        </w:rPr>
        <w:t xml:space="preserve">5.4.3  </w:t>
      </w:r>
      <w:r>
        <w:rPr>
          <w:rFonts w:eastAsiaTheme="minorEastAsia"/>
          <w:color w:val="000000" w:themeColor="text1"/>
          <w:sz w:val="24"/>
          <w:szCs w:val="24"/>
          <w14:textFill>
            <w14:solidFill>
              <w14:schemeClr w14:val="tx1"/>
            </w14:solidFill>
          </w14:textFill>
        </w:rPr>
        <w:t>竖向构件</w:t>
      </w:r>
      <w:r>
        <w:rPr>
          <w:rFonts w:eastAsiaTheme="minorEastAsia"/>
          <w:bCs/>
          <w:color w:val="000000" w:themeColor="text1"/>
          <w:sz w:val="24"/>
          <w:szCs w:val="24"/>
          <w14:textFill>
            <w14:solidFill>
              <w14:schemeClr w14:val="tx1"/>
            </w14:solidFill>
          </w14:textFill>
        </w:rPr>
        <w:t>底部接缝的构造具有以下特点：</w:t>
      </w:r>
      <w:r>
        <w:rPr>
          <w:rFonts w:hint="eastAsia" w:ascii="宋体" w:hAnsi="宋体" w:cs="宋体"/>
          <w:bCs/>
          <w:color w:val="000000" w:themeColor="text1"/>
          <w:sz w:val="24"/>
          <w:szCs w:val="24"/>
          <w14:textFill>
            <w14:solidFill>
              <w14:schemeClr w14:val="tx1"/>
            </w14:solidFill>
          </w14:textFill>
        </w:rPr>
        <w:t>①</w:t>
      </w:r>
      <w:r>
        <w:rPr>
          <w:rFonts w:eastAsiaTheme="minorEastAsia"/>
          <w:bCs/>
          <w:color w:val="000000" w:themeColor="text1"/>
          <w:sz w:val="24"/>
          <w:szCs w:val="24"/>
          <w14:textFill>
            <w14:solidFill>
              <w14:schemeClr w14:val="tx1"/>
            </w14:solidFill>
          </w14:textFill>
        </w:rPr>
        <w:t>底部接缝长度一般是预制剪力墙长</w:t>
      </w:r>
      <w:r>
        <w:rPr>
          <w:rFonts w:eastAsiaTheme="minorEastAsia"/>
          <w:bCs/>
          <w:sz w:val="24"/>
          <w:szCs w:val="24"/>
        </w:rPr>
        <w:t>度，宽度等于预制剪力墙厚度，高度设计值一般为20mm；</w:t>
      </w:r>
      <w:r>
        <w:rPr>
          <w:rFonts w:hint="eastAsia" w:ascii="宋体" w:hAnsi="宋体" w:cs="宋体"/>
          <w:bCs/>
          <w:sz w:val="24"/>
          <w:szCs w:val="24"/>
        </w:rPr>
        <w:t>②</w:t>
      </w:r>
      <w:r>
        <w:rPr>
          <w:rFonts w:eastAsiaTheme="minorEastAsia"/>
          <w:bCs/>
          <w:sz w:val="24"/>
          <w:szCs w:val="24"/>
        </w:rPr>
        <w:t>预制剪力墙大多采用连通腔灌浆，底部接缝中充填的灌浆料强度高，属高强无收缩水泥基材料；</w:t>
      </w:r>
      <w:r>
        <w:rPr>
          <w:rFonts w:hint="eastAsia" w:ascii="宋体" w:hAnsi="宋体" w:cs="宋体"/>
          <w:bCs/>
          <w:sz w:val="24"/>
          <w:szCs w:val="24"/>
        </w:rPr>
        <w:t>③</w:t>
      </w:r>
      <w:r>
        <w:rPr>
          <w:rFonts w:eastAsiaTheme="minorEastAsia"/>
          <w:bCs/>
          <w:sz w:val="24"/>
          <w:szCs w:val="24"/>
        </w:rPr>
        <w:t>底部接缝中除有钢筋穿过外，经常有机电管线穿过，同时还分布一定数量的用于底部接缝高度定位的垫块，采用高强封浆料封边。</w:t>
      </w:r>
      <w:r>
        <w:rPr>
          <w:rFonts w:hint="eastAsia" w:eastAsiaTheme="minorEastAsia"/>
          <w:bCs/>
          <w:sz w:val="24"/>
          <w:szCs w:val="24"/>
        </w:rPr>
        <w:t>基于</w:t>
      </w:r>
      <w:r>
        <w:rPr>
          <w:rFonts w:eastAsiaTheme="minorEastAsia"/>
          <w:bCs/>
          <w:sz w:val="24"/>
          <w:szCs w:val="24"/>
        </w:rPr>
        <w:t>底部接缝在几何空间、材料组成等方面的特点，采用常规超声法检测底部接缝的质量存在一定困难，主要表现在：</w:t>
      </w:r>
      <w:r>
        <w:rPr>
          <w:rFonts w:hint="eastAsia" w:ascii="宋体" w:hAnsi="宋体" w:cs="宋体"/>
          <w:bCs/>
          <w:sz w:val="24"/>
          <w:szCs w:val="24"/>
        </w:rPr>
        <w:t>①</w:t>
      </w:r>
      <w:r>
        <w:rPr>
          <w:rFonts w:eastAsiaTheme="minorEastAsia"/>
          <w:bCs/>
          <w:sz w:val="24"/>
          <w:szCs w:val="24"/>
        </w:rPr>
        <w:t>适用混凝土检测的常规换能器直径偏大，不能适应底部接缝较小的高度；</w:t>
      </w:r>
      <w:r>
        <w:rPr>
          <w:rFonts w:hint="eastAsia" w:ascii="宋体" w:hAnsi="宋体" w:cs="宋体"/>
          <w:bCs/>
          <w:sz w:val="24"/>
          <w:szCs w:val="24"/>
        </w:rPr>
        <w:t>②</w:t>
      </w:r>
      <w:r>
        <w:rPr>
          <w:rFonts w:eastAsiaTheme="minorEastAsia"/>
          <w:bCs/>
          <w:sz w:val="24"/>
          <w:szCs w:val="24"/>
        </w:rPr>
        <w:t>工作频率偏低，一般为50kHz，频率低会导致灵敏度和分辨力低，对缺陷的识别能力弱。因此，应采用小直径、高频率换能器，换能器的直径不应超过20mm，必要时辐射端可带有倾角，工作频率不宜低于250kHz。剪力墙底部接缝质量问题主要包括灌浆不密实或者局部空腔，超声法主要针对局部空腔缺陷。通常超声测点布置的间距为100mm~300mm，为了增大发现小缺陷的概率，在预制剪力墙上的测点间距取较小值100mm。测点布置时，先在预制剪力墙两个对测面确定一个对称的起点，并且同向按序进行测点编号。超声法检测时应避开机电管线穿过区域等有明显区别的测点。首轮</w:t>
      </w:r>
      <w:r>
        <w:rPr>
          <w:rFonts w:hint="eastAsia" w:eastAsiaTheme="minorEastAsia"/>
          <w:bCs/>
          <w:sz w:val="24"/>
          <w:szCs w:val="24"/>
        </w:rPr>
        <w:t>测试</w:t>
      </w:r>
      <w:r>
        <w:rPr>
          <w:rFonts w:eastAsiaTheme="minorEastAsia"/>
          <w:bCs/>
          <w:sz w:val="24"/>
          <w:szCs w:val="24"/>
        </w:rPr>
        <w:t>后，对有怀疑的点位进一步加密测点，可大致确定缺陷的分布范围。</w:t>
      </w:r>
      <w:r>
        <w:rPr>
          <w:bCs/>
          <w:sz w:val="24"/>
          <w:szCs w:val="24"/>
        </w:rPr>
        <w:br w:type="page"/>
      </w:r>
    </w:p>
    <w:p>
      <w:pPr>
        <w:pStyle w:val="89"/>
      </w:pPr>
      <w:bookmarkStart w:id="219" w:name="_Toc116397182"/>
      <w:bookmarkStart w:id="220" w:name="_Toc120020395"/>
      <w:bookmarkStart w:id="221" w:name="_Toc120020325"/>
      <w:r>
        <w:t>6  钢筋套筒灌浆连接</w:t>
      </w:r>
      <w:bookmarkEnd w:id="219"/>
      <w:bookmarkEnd w:id="220"/>
      <w:bookmarkEnd w:id="221"/>
    </w:p>
    <w:p>
      <w:pPr>
        <w:pStyle w:val="90"/>
      </w:pPr>
      <w:bookmarkStart w:id="222" w:name="_Toc116397183"/>
      <w:bookmarkStart w:id="223" w:name="_Toc120020396"/>
      <w:bookmarkStart w:id="224" w:name="_Toc120020326"/>
      <w:r>
        <w:t>6.1  一般规定</w:t>
      </w:r>
      <w:bookmarkEnd w:id="222"/>
      <w:bookmarkEnd w:id="223"/>
      <w:bookmarkEnd w:id="224"/>
    </w:p>
    <w:p>
      <w:pPr>
        <w:pStyle w:val="74"/>
        <w:spacing w:line="360" w:lineRule="auto"/>
        <w:ind w:firstLine="0" w:firstLineChars="0"/>
        <w:jc w:val="both"/>
        <w:rPr>
          <w:rFonts w:eastAsiaTheme="minorEastAsia"/>
          <w:i w:val="0"/>
          <w:sz w:val="24"/>
          <w:szCs w:val="24"/>
        </w:rPr>
      </w:pPr>
      <w:r>
        <w:rPr>
          <w:rFonts w:eastAsiaTheme="minorEastAsia"/>
          <w:b/>
          <w:bCs/>
          <w:i w:val="0"/>
          <w:sz w:val="24"/>
          <w:szCs w:val="24"/>
        </w:rPr>
        <w:t xml:space="preserve">6.1.1 </w:t>
      </w:r>
      <w:r>
        <w:rPr>
          <w:rFonts w:eastAsiaTheme="minorEastAsia"/>
          <w:i w:val="0"/>
          <w:sz w:val="24"/>
          <w:szCs w:val="24"/>
        </w:rPr>
        <w:t xml:space="preserve"> 根据钢筋套筒灌浆连接的原理和接头性能的影响因素，钢筋有效锚固长度和灌浆料强度决定了钢筋接头受力性能，其中，钢筋有效锚固长度取决于钢筋插入长度和灌浆饱满度。灌浆饱满度检测包括定性识别灌浆是否饱满和定量检测灌浆不饱满时的缺陷长度，钢筋插入长度检测包括定性检测所检部位是否有钢筋和定量检测钢筋插入的长度。</w:t>
      </w:r>
    </w:p>
    <w:p>
      <w:pPr>
        <w:pStyle w:val="74"/>
        <w:spacing w:line="360" w:lineRule="auto"/>
        <w:ind w:firstLine="0" w:firstLineChars="0"/>
        <w:jc w:val="both"/>
        <w:rPr>
          <w:rFonts w:eastAsiaTheme="minorEastAsia"/>
          <w:i w:val="0"/>
          <w:color w:val="000000" w:themeColor="text1"/>
          <w:sz w:val="24"/>
          <w:szCs w:val="24"/>
          <w14:textFill>
            <w14:solidFill>
              <w14:schemeClr w14:val="tx1"/>
            </w14:solidFill>
          </w14:textFill>
        </w:rPr>
      </w:pPr>
      <w:r>
        <w:rPr>
          <w:rFonts w:eastAsiaTheme="minorEastAsia"/>
          <w:b/>
          <w:bCs/>
          <w:i w:val="0"/>
          <w:color w:val="000000" w:themeColor="text1"/>
          <w:sz w:val="24"/>
          <w:szCs w:val="24"/>
          <w14:textFill>
            <w14:solidFill>
              <w14:schemeClr w14:val="tx1"/>
            </w14:solidFill>
          </w14:textFill>
        </w:rPr>
        <w:t xml:space="preserve">6.1.2 </w:t>
      </w:r>
      <w:r>
        <w:rPr>
          <w:rFonts w:eastAsiaTheme="minorEastAsia"/>
          <w:i w:val="0"/>
          <w:color w:val="000000" w:themeColor="text1"/>
          <w:sz w:val="24"/>
          <w:szCs w:val="24"/>
          <w14:textFill>
            <w14:solidFill>
              <w14:schemeClr w14:val="tx1"/>
            </w14:solidFill>
          </w14:textFill>
        </w:rPr>
        <w:t xml:space="preserve"> 为了体现出构件连接质量，将检验批的划分对象确定为构件，实际检测时，先抽检构件，然后从被抽检的构件中再抽检灌浆套筒。</w:t>
      </w:r>
      <w:r>
        <w:rPr>
          <w:rFonts w:hint="eastAsia" w:eastAsiaTheme="minorEastAsia"/>
          <w:i w:val="0"/>
          <w:color w:val="000000" w:themeColor="text1"/>
          <w:sz w:val="24"/>
          <w:szCs w:val="24"/>
          <w14:textFill>
            <w14:solidFill>
              <w14:schemeClr w14:val="tx1"/>
            </w14:solidFill>
          </w14:textFill>
        </w:rPr>
        <w:t>为了更加合理划分检测批，当其他条件相同时，可将灌浆时间间隔不大于3天的构件划分为同一检测批。</w:t>
      </w:r>
    </w:p>
    <w:p>
      <w:pPr>
        <w:pStyle w:val="74"/>
        <w:spacing w:line="360" w:lineRule="auto"/>
        <w:ind w:firstLine="0" w:firstLineChars="0"/>
        <w:jc w:val="both"/>
        <w:rPr>
          <w:rFonts w:eastAsiaTheme="minorEastAsia"/>
          <w:i w:val="0"/>
          <w:sz w:val="24"/>
          <w:szCs w:val="24"/>
        </w:rPr>
      </w:pPr>
      <w:r>
        <w:rPr>
          <w:rFonts w:eastAsiaTheme="minorEastAsia"/>
          <w:b/>
          <w:bCs/>
          <w:i w:val="0"/>
          <w:sz w:val="24"/>
          <w:szCs w:val="24"/>
        </w:rPr>
        <w:t xml:space="preserve">6.1.3 </w:t>
      </w:r>
      <w:r>
        <w:rPr>
          <w:rFonts w:eastAsiaTheme="minorEastAsia"/>
          <w:i w:val="0"/>
          <w:sz w:val="24"/>
          <w:szCs w:val="24"/>
        </w:rPr>
        <w:t xml:space="preserve"> 工程实践表明，装配式施工首层的质量问题更为突出，受现浇层标高控制精度和钢筋定位精度的影响，钢筋插入长度存在的问题比较多，故应加大首层装配的套筒抽检比例。</w:t>
      </w:r>
    </w:p>
    <w:p>
      <w:pPr>
        <w:spacing w:line="360" w:lineRule="auto"/>
        <w:rPr>
          <w:rFonts w:eastAsiaTheme="minorEastAsia"/>
          <w:iCs/>
          <w:sz w:val="24"/>
          <w:szCs w:val="24"/>
        </w:rPr>
      </w:pPr>
      <w:r>
        <w:rPr>
          <w:rFonts w:eastAsiaTheme="minorEastAsia"/>
          <w:b/>
          <w:bCs/>
          <w:sz w:val="24"/>
          <w:szCs w:val="24"/>
        </w:rPr>
        <w:t xml:space="preserve">6.1.4 </w:t>
      </w:r>
      <w:r>
        <w:rPr>
          <w:rFonts w:eastAsiaTheme="minorEastAsia"/>
          <w:iCs/>
          <w:sz w:val="24"/>
          <w:szCs w:val="24"/>
        </w:rPr>
        <w:t xml:space="preserve"> 当钢筋插入长度符合设计要求且灌浆饱满时，钢筋在套筒内的有效锚固长度才符合要求。当对同一个套筒既进行了饱满度检测，又进行了钢筋插入长度检测，且确认插入钢筋从下部构件连续伸入该套筒，可计算灌浆端套筒内钢筋被灌浆料包裹的长度，即钢筋有效锚固长度。</w:t>
      </w:r>
    </w:p>
    <w:p>
      <w:pPr>
        <w:spacing w:line="360" w:lineRule="auto"/>
        <w:rPr>
          <w:rFonts w:eastAsiaTheme="minorEastAsia"/>
          <w:iCs/>
          <w:sz w:val="24"/>
          <w:szCs w:val="24"/>
        </w:rPr>
      </w:pPr>
      <w:r>
        <w:rPr>
          <w:rFonts w:eastAsiaTheme="minorEastAsia"/>
          <w:b/>
          <w:iCs/>
          <w:sz w:val="24"/>
          <w:szCs w:val="24"/>
        </w:rPr>
        <w:t>6.1.5</w:t>
      </w:r>
      <w:r>
        <w:rPr>
          <w:rFonts w:eastAsiaTheme="minorEastAsia"/>
          <w:iCs/>
          <w:sz w:val="24"/>
          <w:szCs w:val="24"/>
        </w:rPr>
        <w:t xml:space="preserve">  本条规定属于破损性检验，一般不推荐采用，当采用无损检测手段无法实施时，或者对无损检测结果有争议时，或者需要对套筒产品质量进行检查时，可在结构实体上截取钢筋接头。截取的钢筋接头可先进行力学性能检验，再剖开检查内部灌浆饱满度和钢筋插入长度。当X射线透射路径的长度超过其适用范围时，为了检测套筒内钢筋埋置情况，可以采取剔除混凝土保护层直接透射套筒的方式进行检测，无须把接头截取出来，应尽量避免或减少对结构的损伤。</w:t>
      </w:r>
    </w:p>
    <w:p>
      <w:pPr>
        <w:pStyle w:val="90"/>
      </w:pPr>
      <w:bookmarkStart w:id="225" w:name="_Toc120020327"/>
      <w:bookmarkStart w:id="226" w:name="_Toc120020397"/>
      <w:bookmarkStart w:id="227" w:name="_Toc116397184"/>
      <w:r>
        <w:t>6.2  灌浆料实体强度</w:t>
      </w:r>
      <w:bookmarkEnd w:id="225"/>
      <w:bookmarkEnd w:id="226"/>
      <w:bookmarkEnd w:id="227"/>
    </w:p>
    <w:p>
      <w:pPr>
        <w:spacing w:line="360" w:lineRule="auto"/>
        <w:rPr>
          <w:rFonts w:eastAsiaTheme="minorEastAsia"/>
          <w:color w:val="FF0000"/>
          <w:sz w:val="24"/>
          <w:szCs w:val="24"/>
        </w:rPr>
      </w:pPr>
      <w:r>
        <w:rPr>
          <w:rFonts w:eastAsiaTheme="minorEastAsia"/>
          <w:b/>
          <w:iCs/>
          <w:sz w:val="24"/>
          <w:szCs w:val="24"/>
        </w:rPr>
        <w:t>6.2.1</w:t>
      </w:r>
      <w:r>
        <w:rPr>
          <w:rFonts w:eastAsiaTheme="minorEastAsia"/>
          <w:sz w:val="24"/>
          <w:szCs w:val="24"/>
        </w:rPr>
        <w:t xml:space="preserve">  在灌浆施工过程中留置灌浆料棱柱体试块，根据试块抗压强度试验结果判断是否满足设计要求。当留置试块抗压强度不满足要求或对套筒内灌浆料实体强度有怀疑时，可根据现场情况，选取本条所规定的取样法或回弹法对灌浆料实体强度进行检测。回弹法是通过测试灌浆料表面硬度再换算灌浆料抗压强度，不受套筒布置方式及灌浆孔道和出浆孔道的形状限制，但对回弹测试面的要求比较严格。外接延长管施工工艺是指为了确保灌浆饱满</w:t>
      </w:r>
      <w:r>
        <w:rPr>
          <w:rFonts w:hint="eastAsia" w:eastAsiaTheme="minorEastAsia"/>
          <w:sz w:val="24"/>
          <w:szCs w:val="24"/>
        </w:rPr>
        <w:t>而</w:t>
      </w:r>
      <w:r>
        <w:rPr>
          <w:rFonts w:eastAsiaTheme="minorEastAsia"/>
          <w:sz w:val="24"/>
          <w:szCs w:val="24"/>
        </w:rPr>
        <w:t>在出浆口处连接的饱满度监测器，一般呈“L”型。</w:t>
      </w:r>
    </w:p>
    <w:p>
      <w:pPr>
        <w:pStyle w:val="90"/>
      </w:pPr>
      <w:bookmarkStart w:id="228" w:name="_Toc116397185"/>
      <w:bookmarkStart w:id="229" w:name="_Toc120020328"/>
      <w:bookmarkStart w:id="230" w:name="_Toc120020398"/>
      <w:r>
        <w:t>6.3  灌浆</w:t>
      </w:r>
      <w:bookmarkEnd w:id="228"/>
      <w:bookmarkEnd w:id="229"/>
      <w:bookmarkEnd w:id="230"/>
      <w:r>
        <w:t>饱满度</w:t>
      </w:r>
    </w:p>
    <w:p>
      <w:pPr>
        <w:spacing w:line="360" w:lineRule="auto"/>
        <w:rPr>
          <w:rFonts w:eastAsiaTheme="minorEastAsia"/>
          <w:sz w:val="24"/>
          <w:szCs w:val="24"/>
        </w:rPr>
      </w:pPr>
      <w:r>
        <w:rPr>
          <w:rFonts w:eastAsiaTheme="minorEastAsia"/>
          <w:b/>
          <w:iCs/>
          <w:sz w:val="24"/>
          <w:szCs w:val="24"/>
        </w:rPr>
        <w:t xml:space="preserve">6.3.1 </w:t>
      </w:r>
      <w:r>
        <w:rPr>
          <w:rFonts w:eastAsiaTheme="minorEastAsia"/>
          <w:sz w:val="24"/>
          <w:szCs w:val="24"/>
        </w:rPr>
        <w:t xml:space="preserve"> X射线成像法是无损检测方法，但对可穿透的混凝土尺寸、人员资格和检测环境有特殊要求。钻孔内窥法的检测结果直观，基本不会发生错判或漏</w:t>
      </w:r>
      <w:r>
        <w:rPr>
          <w:rFonts w:eastAsiaTheme="minorEastAsia"/>
          <w:color w:val="000000" w:themeColor="text1"/>
          <w:sz w:val="24"/>
          <w:szCs w:val="24"/>
          <w14:textFill>
            <w14:solidFill>
              <w14:schemeClr w14:val="tx1"/>
            </w14:solidFill>
          </w14:textFill>
        </w:rPr>
        <w:t>判，故推荐采用钻孔内窥法。本条规定X射线在混凝土中透射路径的长度不宜大于250mm，是基于目前常见的便携式X射线机透射混凝土的成像试验结果，当有足够</w:t>
      </w:r>
      <w:r>
        <w:rPr>
          <w:rFonts w:eastAsiaTheme="minorEastAsia"/>
          <w:sz w:val="24"/>
          <w:szCs w:val="24"/>
        </w:rPr>
        <w:t>试验数据支撑或者经过现场测试验证的情况下，透射路径长度可不受此限制。当对其他方法的检测结果有怀疑时，应采用钻孔内窥法验证。</w:t>
      </w:r>
    </w:p>
    <w:p>
      <w:pPr>
        <w:spacing w:line="360" w:lineRule="auto"/>
        <w:rPr>
          <w:rFonts w:eastAsiaTheme="minorEastAsia"/>
          <w:bCs/>
          <w:sz w:val="24"/>
          <w:szCs w:val="24"/>
        </w:rPr>
      </w:pPr>
      <w:r>
        <w:rPr>
          <w:rFonts w:eastAsiaTheme="minorEastAsia"/>
          <w:b/>
          <w:iCs/>
          <w:sz w:val="24"/>
          <w:szCs w:val="24"/>
        </w:rPr>
        <w:t xml:space="preserve">6.3.2 </w:t>
      </w:r>
      <w:r>
        <w:rPr>
          <w:rFonts w:eastAsiaTheme="minorEastAsia"/>
          <w:bCs/>
          <w:sz w:val="24"/>
          <w:szCs w:val="24"/>
        </w:rPr>
        <w:t xml:space="preserve"> 在未灌满或者漏浆情况下，灌浆料的顶部界面会低于套筒出浆孔，根据这一特征，沿构件表面的出浆口钻取可供内窥镜进入的检测孔道，采用带测量功能的内窥镜可获得套筒顶部不饱满区域的图像，通过视觉测量技术可定量确定不饱满的高度范围。当套筒的出浆孔道为直线形时，可通过沿着出浆孔道钻孔形成检测孔道；当套筒的出浆孔道为非直线形时，可钻透混凝土保护层直接在套筒壁上钻孔形成检测孔道。</w:t>
      </w:r>
      <w:r>
        <w:rPr>
          <w:rFonts w:eastAsiaTheme="minorEastAsia"/>
          <w:sz w:val="24"/>
          <w:szCs w:val="24"/>
        </w:rPr>
        <w:t>套筒壁上直接钻孔对套筒有局部微损伤，故不应与套筒出浆孔在同一个横截面，钻孔直径不应大于8mm。</w:t>
      </w:r>
    </w:p>
    <w:p>
      <w:pPr>
        <w:spacing w:line="360" w:lineRule="auto"/>
        <w:rPr>
          <w:rFonts w:eastAsiaTheme="minorEastAsia"/>
          <w:bCs/>
          <w:sz w:val="24"/>
          <w:szCs w:val="24"/>
        </w:rPr>
      </w:pPr>
      <w:r>
        <w:rPr>
          <w:rFonts w:eastAsiaTheme="minorEastAsia"/>
          <w:b/>
          <w:iCs/>
          <w:sz w:val="24"/>
          <w:szCs w:val="24"/>
        </w:rPr>
        <w:t xml:space="preserve">6.3.4 </w:t>
      </w:r>
      <w:r>
        <w:rPr>
          <w:rFonts w:eastAsiaTheme="minorEastAsia"/>
          <w:bCs/>
          <w:sz w:val="24"/>
          <w:szCs w:val="24"/>
        </w:rPr>
        <w:t xml:space="preserve"> X射线成像法检测的关键是设置好管电压、管电流、曝光时间、射线源到胶片的距离等参数，需要事先通过试验确定，有时需结合现场实际情况进行调整。</w:t>
      </w:r>
    </w:p>
    <w:p>
      <w:pPr>
        <w:pStyle w:val="90"/>
      </w:pPr>
      <w:bookmarkStart w:id="231" w:name="_Toc116397186"/>
      <w:bookmarkStart w:id="232" w:name="_Toc120020329"/>
      <w:bookmarkStart w:id="233" w:name="_Toc120020399"/>
      <w:r>
        <w:t>6.4  钢筋插入长度</w:t>
      </w:r>
      <w:bookmarkEnd w:id="231"/>
      <w:bookmarkEnd w:id="232"/>
      <w:bookmarkEnd w:id="233"/>
    </w:p>
    <w:p>
      <w:pPr>
        <w:spacing w:line="360" w:lineRule="auto"/>
        <w:rPr>
          <w:rFonts w:eastAsiaTheme="minorEastAsia"/>
          <w:bCs/>
          <w:sz w:val="24"/>
          <w:szCs w:val="24"/>
        </w:rPr>
      </w:pPr>
      <w:r>
        <w:rPr>
          <w:rFonts w:eastAsiaTheme="minorEastAsia"/>
          <w:b/>
          <w:iCs/>
          <w:sz w:val="24"/>
          <w:szCs w:val="24"/>
        </w:rPr>
        <w:t xml:space="preserve">6.4.1 </w:t>
      </w:r>
      <w:r>
        <w:rPr>
          <w:rFonts w:eastAsiaTheme="minorEastAsia"/>
          <w:bCs/>
          <w:sz w:val="24"/>
          <w:szCs w:val="24"/>
        </w:rPr>
        <w:t xml:space="preserve"> 钢筋插入长度是指竖向连接钢筋在预制构件装配端插入套筒内的长度，钢筋套筒灌浆连接的钢筋锚固长度是由套筒内钢筋插入长度和灌浆饱满度共同决定，故钢筋插入长度也是影响钢筋套筒灌浆连接性能的重要因素。在竖向构件由现浇施工转换为装配施工的首层，由于现浇施工的尺寸偏差控制较难达到预制构件安装的精度要求，会因下部钢筋无法伸入套筒而被截断，构件安装时再将截断的钢筋放入套筒内。</w:t>
      </w:r>
    </w:p>
    <w:p>
      <w:pPr>
        <w:spacing w:line="360" w:lineRule="auto"/>
        <w:ind w:firstLine="480" w:firstLineChars="200"/>
        <w:rPr>
          <w:rFonts w:eastAsiaTheme="minorEastAsia"/>
          <w:bCs/>
          <w:sz w:val="24"/>
          <w:szCs w:val="24"/>
        </w:rPr>
      </w:pPr>
      <w:r>
        <w:rPr>
          <w:rFonts w:eastAsiaTheme="minorEastAsia"/>
          <w:bCs/>
          <w:sz w:val="24"/>
          <w:szCs w:val="24"/>
        </w:rPr>
        <w:t>预制构件现场拼接完成后，套筒内的钢筋插入长度已固定，在套筒灌浆施工前，可采用内窥镜从出浆孔道伸入套筒内进行检测。内窥镜检测套筒内钢筋插入长度是利用套筒内部构造尺寸，将测量钢筋插入长度转化为测量钢筋端部与套筒内已知参照点的相对距离，再结合套筒尺寸进而计算出钢筋插入长度，同时还可检查钢筋根部是否与下部结构锚固。</w:t>
      </w:r>
    </w:p>
    <w:p>
      <w:pPr>
        <w:spacing w:line="360" w:lineRule="auto"/>
        <w:ind w:firstLine="480" w:firstLineChars="200"/>
        <w:rPr>
          <w:rFonts w:eastAsiaTheme="minorEastAsia"/>
          <w:bCs/>
          <w:color w:val="000000" w:themeColor="text1"/>
          <w:sz w:val="24"/>
          <w:szCs w:val="24"/>
          <w14:textFill>
            <w14:solidFill>
              <w14:schemeClr w14:val="tx1"/>
            </w14:solidFill>
          </w14:textFill>
        </w:rPr>
      </w:pPr>
      <w:r>
        <w:rPr>
          <w:rFonts w:eastAsiaTheme="minorEastAsia"/>
          <w:bCs/>
          <w:sz w:val="24"/>
          <w:szCs w:val="24"/>
        </w:rPr>
        <w:t>灌浆施工完成后，可先采用从出浆口、灌浆口钻孔定性检查套筒内是否有钢筋，根据检查结果，再决定是否需要</w:t>
      </w:r>
      <w:r>
        <w:rPr>
          <w:rFonts w:eastAsiaTheme="minorEastAsia"/>
          <w:bCs/>
          <w:color w:val="000000" w:themeColor="text1"/>
          <w:sz w:val="24"/>
          <w:szCs w:val="24"/>
          <w14:textFill>
            <w14:solidFill>
              <w14:schemeClr w14:val="tx1"/>
            </w14:solidFill>
          </w14:textFill>
        </w:rPr>
        <w:t>采用X射线成像法进一步检测。当X射线透射路径长度不满足成像测试要求时，可剔除套筒周边的混凝土，将数字成像板或者胶片放置在套筒背面，X射线直接透射套筒，该方法可用于对混凝土柱中套筒内部钢筋插入情况进行检测。</w:t>
      </w:r>
    </w:p>
    <w:p>
      <w:pPr>
        <w:spacing w:line="360" w:lineRule="auto"/>
        <w:ind w:firstLine="480" w:firstLineChars="200"/>
        <w:rPr>
          <w:rFonts w:eastAsiaTheme="minorEastAsia"/>
          <w:bCs/>
          <w:sz w:val="24"/>
          <w:szCs w:val="24"/>
        </w:rPr>
      </w:pPr>
      <w:r>
        <w:rPr>
          <w:rFonts w:eastAsiaTheme="minorEastAsia"/>
          <w:bCs/>
          <w:sz w:val="24"/>
          <w:szCs w:val="24"/>
        </w:rPr>
        <w:t>若怀疑套筒装配端的钢筋</w:t>
      </w:r>
      <w:r>
        <w:rPr>
          <w:rFonts w:eastAsiaTheme="minorEastAsia"/>
          <w:bCs/>
          <w:color w:val="000000" w:themeColor="text1"/>
          <w:sz w:val="24"/>
          <w:szCs w:val="24"/>
          <w14:textFill>
            <w14:solidFill>
              <w14:schemeClr w14:val="tx1"/>
            </w14:solidFill>
          </w14:textFill>
        </w:rPr>
        <w:t>未与下部结构锚固时，应对插入钢筋与下部结构中对应钢筋的连续性进行检测，可采取局部剔除底部接缝部位的钢筋保护层进行检查，确保竖向钢筋有效连接</w:t>
      </w:r>
      <w:r>
        <w:rPr>
          <w:rFonts w:eastAsiaTheme="minorEastAsia"/>
          <w:bCs/>
          <w:sz w:val="24"/>
          <w:szCs w:val="24"/>
        </w:rPr>
        <w:t>。</w:t>
      </w:r>
    </w:p>
    <w:p>
      <w:pPr>
        <w:spacing w:line="300" w:lineRule="auto"/>
        <w:rPr>
          <w:rFonts w:eastAsiaTheme="minorEastAsia"/>
          <w:bCs/>
          <w:sz w:val="24"/>
          <w:szCs w:val="24"/>
        </w:rPr>
      </w:pPr>
    </w:p>
    <w:p>
      <w:pPr>
        <w:spacing w:line="300" w:lineRule="auto"/>
        <w:rPr>
          <w:rFonts w:eastAsiaTheme="minorEastAsia"/>
          <w:bCs/>
          <w:sz w:val="24"/>
          <w:szCs w:val="24"/>
        </w:rPr>
      </w:pPr>
      <w:r>
        <w:rPr>
          <w:bCs/>
          <w:sz w:val="24"/>
          <w:szCs w:val="24"/>
        </w:rPr>
        <w:br w:type="page"/>
      </w:r>
    </w:p>
    <w:p>
      <w:pPr>
        <w:pStyle w:val="89"/>
      </w:pPr>
      <w:bookmarkStart w:id="234" w:name="_Toc116397187"/>
      <w:bookmarkStart w:id="235" w:name="_Toc120020330"/>
      <w:bookmarkStart w:id="236" w:name="_Toc120020400"/>
      <w:r>
        <w:t>7  装配式混凝土外墙拼缝连接</w:t>
      </w:r>
      <w:bookmarkEnd w:id="234"/>
      <w:bookmarkEnd w:id="235"/>
      <w:bookmarkEnd w:id="236"/>
    </w:p>
    <w:p>
      <w:pPr>
        <w:pStyle w:val="90"/>
      </w:pPr>
      <w:bookmarkStart w:id="237" w:name="_Toc116397188"/>
      <w:bookmarkStart w:id="238" w:name="_Toc120020331"/>
      <w:bookmarkStart w:id="239" w:name="_Toc120020401"/>
      <w:r>
        <w:t>7.1  混凝土外墙拼缝的密封胶粘结质量</w:t>
      </w:r>
      <w:bookmarkEnd w:id="237"/>
      <w:bookmarkEnd w:id="238"/>
      <w:bookmarkEnd w:id="239"/>
    </w:p>
    <w:p>
      <w:pPr>
        <w:spacing w:line="360" w:lineRule="auto"/>
        <w:rPr>
          <w:rFonts w:eastAsiaTheme="minorEastAsia"/>
          <w:bCs/>
          <w:color w:val="000000" w:themeColor="text1"/>
          <w:sz w:val="24"/>
          <w:szCs w:val="24"/>
          <w14:textFill>
            <w14:solidFill>
              <w14:schemeClr w14:val="tx1"/>
            </w14:solidFill>
          </w14:textFill>
        </w:rPr>
      </w:pPr>
      <w:r>
        <w:rPr>
          <w:rFonts w:eastAsiaTheme="minorEastAsia"/>
          <w:b/>
          <w:iCs/>
          <w:color w:val="000000" w:themeColor="text1"/>
          <w:sz w:val="24"/>
          <w:szCs w:val="24"/>
          <w14:textFill>
            <w14:solidFill>
              <w14:schemeClr w14:val="tx1"/>
            </w14:solidFill>
          </w14:textFill>
        </w:rPr>
        <w:t xml:space="preserve">7.1.1 </w:t>
      </w:r>
      <w:r>
        <w:rPr>
          <w:rFonts w:eastAsiaTheme="minorEastAsia"/>
          <w:bCs/>
          <w:color w:val="000000" w:themeColor="text1"/>
          <w:sz w:val="24"/>
          <w:szCs w:val="24"/>
          <w14:textFill>
            <w14:solidFill>
              <w14:schemeClr w14:val="tx1"/>
            </w14:solidFill>
          </w14:textFill>
        </w:rPr>
        <w:t xml:space="preserve"> 密封胶完全固化后方能达到理想的粘结效果，固化时间与其组分和环境条件有关，完全固化通常需要7d～21d，在具体项目中，可以根据实际固化时间确定可以检测的时间。密封胶的性能受环境温度影响较大，为了保证检测结果的准确性，对检测环境的温度进行了限定。</w:t>
      </w:r>
    </w:p>
    <w:p>
      <w:pPr>
        <w:tabs>
          <w:tab w:val="left" w:pos="709"/>
          <w:tab w:val="left" w:pos="6020"/>
        </w:tabs>
        <w:spacing w:line="360" w:lineRule="auto"/>
        <w:rPr>
          <w:rFonts w:eastAsiaTheme="minorEastAsia"/>
          <w:color w:val="000000" w:themeColor="text1"/>
          <w:sz w:val="24"/>
          <w:szCs w:val="24"/>
          <w14:textFill>
            <w14:solidFill>
              <w14:schemeClr w14:val="tx1"/>
            </w14:solidFill>
          </w14:textFill>
        </w:rPr>
      </w:pPr>
      <w:r>
        <w:rPr>
          <w:rFonts w:eastAsiaTheme="minorEastAsia"/>
          <w:b/>
          <w:iCs/>
          <w:color w:val="000000" w:themeColor="text1"/>
          <w:sz w:val="24"/>
          <w:szCs w:val="24"/>
          <w14:textFill>
            <w14:solidFill>
              <w14:schemeClr w14:val="tx1"/>
            </w14:solidFill>
          </w14:textFill>
        </w:rPr>
        <w:t>7.1.3</w:t>
      </w:r>
      <w:r>
        <w:rPr>
          <w:rFonts w:eastAsiaTheme="minorEastAsia"/>
          <w:bCs/>
          <w:color w:val="000000" w:themeColor="text1"/>
          <w:sz w:val="24"/>
          <w:szCs w:val="24"/>
          <w14:textFill>
            <w14:solidFill>
              <w14:schemeClr w14:val="tx1"/>
            </w14:solidFill>
          </w14:textFill>
        </w:rPr>
        <w:t xml:space="preserve">  为了保证检测设备能有效夹持密封胶，对最小的切割长度进行了规定。在切割时，应选择密封胶外观良好的位置且不应对密封胶造成损伤，以免剥离过程中胶体在切割部位断裂。在剥离过程中，应采用位移控制，保证检测过程中位移速率恒定，并规定了最小剥离长度。粘结破坏形式包括内聚破坏和粘结破坏，内聚破坏是指胶体或基材混凝土发生破坏，表明密封胶与混凝土粘结良好；粘结破坏是指密封胶与混凝土脱粘，表明密封胶与混凝土粘结不良。考虑在胶缝深度范围内密封胶与两侧混凝土之间的粘结破坏面积及粘结破坏面积比，不考虑胶缝宽度范围内密封胶与底面混凝土或背衬材料的粘结破坏情况。</w:t>
      </w:r>
    </w:p>
    <w:p>
      <w:pPr>
        <w:pStyle w:val="52"/>
        <w:spacing w:line="360" w:lineRule="auto"/>
        <w:ind w:firstLine="0" w:firstLineChars="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
          <w:iCs/>
          <w:color w:val="000000" w:themeColor="text1"/>
          <w:sz w:val="24"/>
          <w:szCs w:val="24"/>
          <w14:textFill>
            <w14:solidFill>
              <w14:schemeClr w14:val="tx1"/>
            </w14:solidFill>
          </w14:textFill>
        </w:rPr>
        <w:t xml:space="preserve">7.1.4  </w:t>
      </w:r>
      <w:r>
        <w:rPr>
          <w:rFonts w:ascii="Times New Roman" w:hAnsi="Times New Roman" w:cs="Times New Roman"/>
          <w:bCs/>
          <w:color w:val="000000" w:themeColor="text1"/>
          <w:sz w:val="24"/>
          <w:szCs w:val="24"/>
          <w14:textFill>
            <w14:solidFill>
              <w14:schemeClr w14:val="tx1"/>
            </w14:solidFill>
          </w14:textFill>
        </w:rPr>
        <w:t>剥离试验主要考察密封胶与两侧混凝土基材的粘结质量，在胶体自身质量合格的情况下，</w:t>
      </w:r>
      <w:r>
        <w:rPr>
          <w:rFonts w:ascii="Times New Roman" w:hAnsi="Times New Roman" w:eastAsia="宋体" w:cs="Times New Roman"/>
          <w:color w:val="000000" w:themeColor="text1"/>
          <w:sz w:val="24"/>
          <w:szCs w:val="24"/>
          <w14:textFill>
            <w14:solidFill>
              <w14:schemeClr w14:val="tx1"/>
            </w14:solidFill>
          </w14:textFill>
        </w:rPr>
        <w:t>若在剥离过程中（即</w:t>
      </w:r>
      <w:r>
        <w:rPr>
          <w:rFonts w:ascii="Times New Roman" w:hAnsi="Times New Roman" w:cs="Times New Roman"/>
          <w:color w:val="000000" w:themeColor="text1"/>
          <w:sz w:val="24"/>
          <w:szCs w:val="24"/>
          <w14:textFill>
            <w14:solidFill>
              <w14:schemeClr w14:val="tx1"/>
            </w14:solidFill>
          </w14:textFill>
        </w:rPr>
        <w:t>沿缝剥离长度小于150mm时</w:t>
      </w:r>
      <w:r>
        <w:rPr>
          <w:rFonts w:ascii="Times New Roman" w:hAnsi="Times New Roman" w:eastAsia="宋体" w:cs="Times New Roman"/>
          <w:color w:val="000000" w:themeColor="text1"/>
          <w:sz w:val="24"/>
          <w:szCs w:val="24"/>
          <w14:textFill>
            <w14:solidFill>
              <w14:schemeClr w14:val="tx1"/>
            </w14:solidFill>
          </w14:textFill>
        </w:rPr>
        <w:t>）发生胶体断裂，说明密封胶与两侧基材的粘结良好，应判定粘结质量符合要求；若能判断胶体断裂属于密封胶自身质量问题，则该测点的检测结果不能用作粘结质量的判定</w:t>
      </w:r>
      <w:r>
        <w:rPr>
          <w:rFonts w:ascii="Times New Roman" w:hAnsi="Times New Roman" w:cs="Times New Roman"/>
          <w:bCs/>
          <w:color w:val="000000" w:themeColor="text1"/>
          <w:sz w:val="24"/>
          <w:szCs w:val="24"/>
          <w14:textFill>
            <w14:solidFill>
              <w14:schemeClr w14:val="tx1"/>
            </w14:solidFill>
          </w14:textFill>
        </w:rPr>
        <w:t>。当</w:t>
      </w:r>
      <w:r>
        <w:rPr>
          <w:rFonts w:ascii="Times New Roman" w:hAnsi="Times New Roman" w:cs="Times New Roman"/>
          <w:color w:val="000000" w:themeColor="text1"/>
          <w:sz w:val="24"/>
          <w:szCs w:val="24"/>
          <w14:textFill>
            <w14:solidFill>
              <w14:schemeClr w14:val="tx1"/>
            </w14:solidFill>
          </w14:textFill>
        </w:rPr>
        <w:t>沿缝剥离长度不小于150mm时，</w:t>
      </w:r>
      <w:r>
        <w:rPr>
          <w:rFonts w:ascii="Times New Roman" w:hAnsi="Times New Roman" w:cs="Times New Roman"/>
          <w:bCs/>
          <w:color w:val="000000" w:themeColor="text1"/>
          <w:sz w:val="24"/>
          <w:szCs w:val="24"/>
          <w14:textFill>
            <w14:solidFill>
              <w14:schemeClr w14:val="tx1"/>
            </w14:solidFill>
          </w14:textFill>
        </w:rPr>
        <w:t>参考国家标准《建筑用硅酮结构密封胶》GB 16776-2005的相关要求并结合实际工程应用经验，将密封胶与混凝土粘结破坏面积比不大于20%作为粘结质量符合要求的判定指标。当抽检的3处拼缝中有1处不符合要求时，允许在该检测批内再选取2处拼缝进行复测，如果复测的2处拼缝中仍出现不符合要求的情况，则判定该检测批粘结质量不符合要求。</w:t>
      </w:r>
    </w:p>
    <w:p>
      <w:pPr>
        <w:pStyle w:val="52"/>
        <w:spacing w:line="360" w:lineRule="auto"/>
        <w:ind w:firstLine="0" w:firstLineChars="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
          <w:iCs/>
          <w:color w:val="000000" w:themeColor="text1"/>
          <w:sz w:val="24"/>
          <w:szCs w:val="24"/>
          <w14:textFill>
            <w14:solidFill>
              <w14:schemeClr w14:val="tx1"/>
            </w14:solidFill>
          </w14:textFill>
        </w:rPr>
        <w:t xml:space="preserve">7.1.5  </w:t>
      </w:r>
      <w:r>
        <w:rPr>
          <w:rFonts w:ascii="Times New Roman" w:hAnsi="Times New Roman" w:cs="Times New Roman"/>
          <w:bCs/>
          <w:color w:val="000000" w:themeColor="text1"/>
          <w:sz w:val="24"/>
          <w:szCs w:val="24"/>
          <w14:textFill>
            <w14:solidFill>
              <w14:schemeClr w14:val="tx1"/>
            </w14:solidFill>
          </w14:textFill>
        </w:rPr>
        <w:t>为了获得好的粘结性，应采用与测试部位相同的密封胶并以相同的施胶方法进行修复处理，应确保原胶面清洁，修补的新胶应与原胶结面紧密贴合并填满接缝。</w:t>
      </w:r>
    </w:p>
    <w:p>
      <w:pPr>
        <w:pStyle w:val="90"/>
      </w:pPr>
      <w:bookmarkStart w:id="240" w:name="_Toc120020332"/>
      <w:bookmarkStart w:id="241" w:name="_Toc120020402"/>
      <w:bookmarkStart w:id="242" w:name="_Toc116397189"/>
      <w:r>
        <w:t>7.2  混凝土外墙拼缝的防水质量</w:t>
      </w:r>
      <w:bookmarkEnd w:id="240"/>
      <w:bookmarkEnd w:id="241"/>
      <w:bookmarkEnd w:id="242"/>
    </w:p>
    <w:p>
      <w:pPr>
        <w:pStyle w:val="52"/>
        <w:spacing w:line="360" w:lineRule="auto"/>
        <w:ind w:firstLine="0" w:firstLineChars="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
          <w:iCs/>
          <w:color w:val="000000" w:themeColor="text1"/>
          <w:sz w:val="24"/>
          <w:szCs w:val="24"/>
          <w14:textFill>
            <w14:solidFill>
              <w14:schemeClr w14:val="tx1"/>
            </w14:solidFill>
          </w14:textFill>
        </w:rPr>
        <w:t xml:space="preserve">7.2.1 </w:t>
      </w:r>
      <w:r>
        <w:rPr>
          <w:rFonts w:ascii="Times New Roman" w:hAnsi="Times New Roman" w:cs="Times New Roman"/>
          <w:bCs/>
          <w:color w:val="000000" w:themeColor="text1"/>
          <w:sz w:val="24"/>
          <w:szCs w:val="24"/>
          <w14:textFill>
            <w14:solidFill>
              <w14:schemeClr w14:val="tx1"/>
            </w14:solidFill>
          </w14:textFill>
        </w:rPr>
        <w:t xml:space="preserve"> 外墙拼缝防水质量检测主要针对拼缝，故检测批的划分不再按墙体面积进行划分，同时为便于现场操作实施，规定按楼层划分检测批。建筑物通常有四个外立面，按照每个外立面选取不少于3条拼缝，同一检测批内选取的拼缝数量将不少于12条。每个外立面的抽样部位均应覆盖到水平缝和竖向缝，防止出现只抽检竖向缝或者水平缝的情况。</w:t>
      </w:r>
    </w:p>
    <w:p>
      <w:pPr>
        <w:pStyle w:val="52"/>
        <w:spacing w:line="360" w:lineRule="auto"/>
        <w:ind w:firstLine="0" w:firstLineChars="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7.2.2</w:t>
      </w:r>
      <w:r>
        <w:rPr>
          <w:rFonts w:ascii="Times New Roman" w:hAnsi="Times New Roman" w:cs="Times New Roman"/>
          <w:bCs/>
          <w:color w:val="000000" w:themeColor="text1"/>
          <w:sz w:val="24"/>
          <w:szCs w:val="24"/>
          <w14:textFill>
            <w14:solidFill>
              <w14:schemeClr w14:val="tx1"/>
            </w14:solidFill>
          </w14:textFill>
        </w:rPr>
        <w:t xml:space="preserve">  参考国家标准《建筑幕墙》GB/T 21086-2007附录D的现场淋水试验方法，对喷嘴尺寸、水管直径、喷水压力、喷水距离、拼缝长度、喷水时间等技术要求进行规定。其中，</w:t>
      </w:r>
      <w:r>
        <w:rPr>
          <w:rFonts w:ascii="Times New Roman" w:hAnsi="Times New Roman" w:cs="Times New Roman"/>
          <w:sz w:val="24"/>
          <w:szCs w:val="24"/>
        </w:rPr>
        <w:t>淋水试验所用喷嘴的相关要求是根据Monarch生产的Type B-25 #6.030喷嘴参数确定。</w:t>
      </w:r>
      <w:r>
        <w:rPr>
          <w:rFonts w:ascii="Times New Roman" w:hAnsi="Times New Roman" w:cs="Times New Roman"/>
          <w:bCs/>
          <w:color w:val="000000" w:themeColor="text1"/>
          <w:sz w:val="24"/>
          <w:szCs w:val="24"/>
          <w14:textFill>
            <w14:solidFill>
              <w14:schemeClr w14:val="tx1"/>
            </w14:solidFill>
          </w14:textFill>
        </w:rPr>
        <w:t>喷水结束后，应及时检查室内侧是否有渗漏现象，并做好记录。</w:t>
      </w:r>
      <w:r>
        <w:rPr>
          <w:rFonts w:ascii="Times New Roman" w:hAnsi="Times New Roman" w:cs="Times New Roman"/>
          <w:sz w:val="24"/>
          <w:szCs w:val="24"/>
        </w:rPr>
        <w:t>当需要准确判断漏水区域时，建议可按由低到高的顺序依次进行喷水试验。</w:t>
      </w:r>
    </w:p>
    <w:p>
      <w:pPr>
        <w:pStyle w:val="52"/>
        <w:spacing w:line="360" w:lineRule="auto"/>
        <w:ind w:firstLine="0" w:firstLineChars="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7.2.4</w:t>
      </w:r>
      <w:r>
        <w:rPr>
          <w:rFonts w:ascii="Times New Roman" w:hAnsi="Times New Roman" w:cs="Times New Roman"/>
          <w:bCs/>
          <w:color w:val="000000" w:themeColor="text1"/>
          <w:sz w:val="24"/>
          <w:szCs w:val="24"/>
          <w14:textFill>
            <w14:solidFill>
              <w14:schemeClr w14:val="tx1"/>
            </w14:solidFill>
          </w14:textFill>
        </w:rPr>
        <w:t xml:space="preserve">  综合淋水试验后密封胶的脱胶情况、排水状况和渗漏情况对防水质量进行判定，四条要求同时满足，方可判定防水质量符合要求。</w:t>
      </w:r>
    </w:p>
    <w:p>
      <w:pPr>
        <w:pStyle w:val="52"/>
        <w:spacing w:line="360" w:lineRule="auto"/>
        <w:ind w:firstLine="0" w:firstLineChars="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7.2.5</w:t>
      </w:r>
      <w:r>
        <w:rPr>
          <w:rFonts w:ascii="Times New Roman" w:hAnsi="Times New Roman" w:cs="Times New Roman"/>
          <w:bCs/>
          <w:color w:val="000000" w:themeColor="text1"/>
          <w:sz w:val="24"/>
          <w:szCs w:val="24"/>
          <w14:textFill>
            <w14:solidFill>
              <w14:schemeClr w14:val="tx1"/>
            </w14:solidFill>
          </w14:textFill>
        </w:rPr>
        <w:t xml:space="preserve">  由于防水质量影响建筑的使用功能，严重时还会影响到建筑安全，同一检测批内各测点均满足要求时，才能判定该检测批防水质量合格。</w:t>
      </w:r>
    </w:p>
    <w:p>
      <w:pPr>
        <w:pStyle w:val="52"/>
        <w:spacing w:line="300" w:lineRule="auto"/>
        <w:ind w:firstLine="0" w:firstLineChars="0"/>
        <w:rPr>
          <w:rFonts w:ascii="Times New Roman" w:hAnsi="Times New Roman" w:cs="Times New Roman"/>
          <w:bCs/>
          <w:sz w:val="24"/>
          <w:szCs w:val="24"/>
        </w:rPr>
      </w:pPr>
      <w:r>
        <w:rPr>
          <w:rFonts w:ascii="Times New Roman" w:hAnsi="Times New Roman" w:cs="Times New Roman"/>
          <w:bCs/>
          <w:sz w:val="24"/>
          <w:szCs w:val="24"/>
        </w:rPr>
        <w:br w:type="page"/>
      </w:r>
    </w:p>
    <w:p>
      <w:pPr>
        <w:pStyle w:val="89"/>
      </w:pPr>
      <w:bookmarkStart w:id="243" w:name="_Toc116397190"/>
      <w:bookmarkStart w:id="244" w:name="_Toc120020333"/>
      <w:bookmarkStart w:id="245" w:name="_Toc120020403"/>
      <w:r>
        <w:t>附录A  直径50mm芯样钻芯法检测混凝土抗压强度</w:t>
      </w:r>
      <w:bookmarkEnd w:id="243"/>
      <w:bookmarkEnd w:id="244"/>
      <w:bookmarkEnd w:id="245"/>
    </w:p>
    <w:p>
      <w:pPr>
        <w:pStyle w:val="52"/>
        <w:spacing w:line="360" w:lineRule="auto"/>
        <w:ind w:firstLine="0" w:firstLineChars="0"/>
        <w:rPr>
          <w:rFonts w:ascii="Times New Roman" w:hAnsi="Times New Roman" w:cs="Times New Roman"/>
          <w:bCs/>
          <w:sz w:val="24"/>
          <w:szCs w:val="24"/>
        </w:rPr>
      </w:pPr>
      <w:r>
        <w:rPr>
          <w:rFonts w:ascii="Times New Roman" w:hAnsi="Times New Roman" w:cs="Times New Roman"/>
          <w:b/>
          <w:iCs/>
          <w:sz w:val="24"/>
          <w:szCs w:val="24"/>
        </w:rPr>
        <w:t xml:space="preserve">A.0.1 </w:t>
      </w:r>
      <w:r>
        <w:rPr>
          <w:rFonts w:ascii="Times New Roman" w:hAnsi="Times New Roman" w:cs="Times New Roman"/>
          <w:bCs/>
          <w:sz w:val="24"/>
          <w:szCs w:val="24"/>
        </w:rPr>
        <w:t xml:space="preserve"> 根据行业标准《钻芯法检测混凝土强度技术规程》JGJ/T 384-2016，混凝土抗压强度检测的芯样试件宜使用直径为100mm的芯样，且其直径不宜小于骨料最大粒径的3倍，也可以采用小直径芯样，但其直径不应小于70mm且不得大于骨料最大粒径的2倍，混凝土芯样试件的高径比宜为1。根据上述规定，混凝土芯样试件的直径和高度均不应小于70mm且不得小于骨料最大粒径的2倍。对于装配式混凝土结构用叠合楼板的预制底板、叠合剪力墙的两侧预制部分，其厚度通常均不大于60mm，无法满足行业标准《钻芯法检测混凝土强度技术规程》JGJ/T 384-2016对芯样尺寸的要求。据调研统计，预制薄壁或小尺寸构件混凝土的粗骨料最大粒径通常在20mm~25mm范围内，按照芯样尺寸不小于骨料最大粒径2倍的要求，混凝土芯样试件直径范围可在40mm~50mm之间。本附录直径50mm是指公称直径，芯样实际直径会有一定的偏差，因此限定实际直径应在45mm～55mm之间；芯样加工时，按高径比1:1原则对芯样的高度进行控制</w:t>
      </w:r>
      <w:r>
        <w:rPr>
          <w:rFonts w:ascii="Times New Roman" w:hAnsi="Times New Roman" w:cs="Times New Roman"/>
          <w:sz w:val="24"/>
          <w:szCs w:val="24"/>
        </w:rPr>
        <w:t>。</w:t>
      </w:r>
      <w:r>
        <w:rPr>
          <w:rFonts w:ascii="Times New Roman" w:hAnsi="Times New Roman" w:cs="Times New Roman"/>
          <w:bCs/>
          <w:sz w:val="24"/>
          <w:szCs w:val="24"/>
        </w:rPr>
        <w:t>根据目前预制构件生产的实际情况，编制组开展了混凝土设计强度等级范围在C20~C60之间的直径50mm芯样与直径100mm芯样的抗压强度换算关系试验研究。</w:t>
      </w:r>
    </w:p>
    <w:p>
      <w:pPr>
        <w:pStyle w:val="52"/>
        <w:spacing w:line="360" w:lineRule="auto"/>
        <w:ind w:firstLine="0" w:firstLineChars="0"/>
        <w:rPr>
          <w:rFonts w:ascii="Times New Roman" w:hAnsi="Times New Roman" w:cs="Times New Roman"/>
          <w:bCs/>
          <w:sz w:val="24"/>
          <w:szCs w:val="24"/>
        </w:rPr>
      </w:pPr>
      <w:r>
        <w:rPr>
          <w:rFonts w:ascii="Times New Roman" w:hAnsi="Times New Roman" w:cs="Times New Roman"/>
          <w:b/>
          <w:iCs/>
          <w:sz w:val="24"/>
          <w:szCs w:val="24"/>
        </w:rPr>
        <w:t xml:space="preserve">A.0.2  </w:t>
      </w:r>
      <w:r>
        <w:rPr>
          <w:rFonts w:ascii="Times New Roman" w:hAnsi="Times New Roman" w:cs="Times New Roman"/>
          <w:bCs/>
          <w:sz w:val="24"/>
          <w:szCs w:val="24"/>
        </w:rPr>
        <w:t>直径50mm芯样的钻取、加工、试件尺寸偏差和外观质量、抗压强度试验等方面均应符合现行行业标准《钻芯法检测混凝土强度技术规程》JGJ/T 384的规定，但由于直径50mm芯样的尺寸更小，因此本条对芯样的钻取、加工提出了补充要求。</w:t>
      </w:r>
    </w:p>
    <w:p>
      <w:pPr>
        <w:pStyle w:val="52"/>
        <w:spacing w:line="360" w:lineRule="auto"/>
        <w:ind w:firstLine="0" w:firstLineChars="0"/>
        <w:rPr>
          <w:rFonts w:ascii="Times New Roman" w:hAnsi="Times New Roman" w:cs="Times New Roman"/>
          <w:bCs/>
          <w:sz w:val="24"/>
          <w:szCs w:val="24"/>
        </w:rPr>
      </w:pPr>
      <w:r>
        <w:rPr>
          <w:rFonts w:ascii="Times New Roman" w:hAnsi="Times New Roman" w:cs="Times New Roman"/>
          <w:b/>
          <w:iCs/>
          <w:sz w:val="24"/>
          <w:szCs w:val="24"/>
        </w:rPr>
        <w:t xml:space="preserve">A.0.3 </w:t>
      </w:r>
      <w:r>
        <w:rPr>
          <w:rFonts w:ascii="Times New Roman" w:hAnsi="Times New Roman" w:cs="Times New Roman"/>
          <w:bCs/>
          <w:sz w:val="24"/>
          <w:szCs w:val="24"/>
        </w:rPr>
        <w:t xml:space="preserve"> 编制组选取了北京、四川、安徽、广东、陕西、上海、广西等7个地区预制构件生产厂家，按照正常生产时所采用的混凝土原材料、配合比，对设计强度等级在C20~C60范围的混凝土构件开展了直径50mm混凝土芯样试件和直径100mm混凝土芯样试件</w:t>
      </w:r>
      <w:r>
        <w:rPr>
          <w:rFonts w:ascii="Times New Roman" w:hAnsi="Times New Roman" w:cs="Times New Roman"/>
          <w:bCs/>
          <w:color w:val="000000" w:themeColor="text1"/>
          <w:sz w:val="24"/>
          <w:szCs w:val="24"/>
          <w14:textFill>
            <w14:solidFill>
              <w14:schemeClr w14:val="tx1"/>
            </w14:solidFill>
          </w14:textFill>
        </w:rPr>
        <w:t>的抗压强度试验研究。混凝土粗骨料最大粒径均在15mm~25mm范围内，所钻取的小芯样直径在45mm~55mm范围内，标准芯样直径在95mm~105mm范围内。通过对41组试验结果的统计分析，直径50mm芯样试件与直径100mm芯样试件的抗压强度换算系数平均值为1.07，即直径50mm芯样试件的抗压强度略低于直径100mm芯样试件；采用最小二乘法对7个地区的试验结果分别进行拟合，换算系数拟合值主要在1.05～1.10之间。考虑到小直径芯样强度试验值离散性偏大以及芯样加工精度和试件加载对中难度，且这些因素均会降低芯样抗压强度推定结果，故本标准略偏保守地取直径50mm芯样试件抗压强度换算系数为1.10。当芯样试件</w:t>
      </w:r>
      <w:r>
        <w:rPr>
          <w:rFonts w:ascii="Times New Roman" w:hAnsi="Times New Roman" w:cs="Times New Roman"/>
          <w:bCs/>
          <w:sz w:val="24"/>
          <w:szCs w:val="24"/>
        </w:rPr>
        <w:t>的高径比、混凝土设计强度等级不符合本标准第A.0.1条规定时，需要补充开展试验研究，</w:t>
      </w:r>
      <w:r>
        <w:rPr>
          <w:rFonts w:hint="eastAsia" w:ascii="Times New Roman" w:hAnsi="Times New Roman" w:cs="Times New Roman"/>
          <w:bCs/>
          <w:sz w:val="24"/>
          <w:szCs w:val="24"/>
        </w:rPr>
        <w:t>应</w:t>
      </w:r>
      <w:r>
        <w:rPr>
          <w:rFonts w:ascii="Times New Roman" w:hAnsi="Times New Roman" w:cs="Times New Roman"/>
          <w:bCs/>
          <w:sz w:val="24"/>
          <w:szCs w:val="24"/>
        </w:rPr>
        <w:t>建立抗压强度专用换算系数。</w:t>
      </w:r>
    </w:p>
    <w:p>
      <w:pPr>
        <w:pStyle w:val="52"/>
        <w:spacing w:line="360" w:lineRule="auto"/>
        <w:ind w:firstLine="0" w:firstLineChars="0"/>
        <w:rPr>
          <w:rFonts w:ascii="Times New Roman" w:hAnsi="Times New Roman" w:cs="Times New Roman"/>
          <w:bCs/>
          <w:sz w:val="24"/>
          <w:szCs w:val="24"/>
        </w:rPr>
      </w:pPr>
      <w:r>
        <w:rPr>
          <w:rFonts w:ascii="Times New Roman" w:hAnsi="Times New Roman" w:cs="Times New Roman"/>
          <w:b/>
          <w:iCs/>
          <w:sz w:val="24"/>
          <w:szCs w:val="24"/>
        </w:rPr>
        <w:t xml:space="preserve">A.0.4  </w:t>
      </w:r>
      <w:r>
        <w:rPr>
          <w:rFonts w:ascii="Times New Roman" w:hAnsi="Times New Roman" w:cs="Times New Roman"/>
          <w:bCs/>
          <w:sz w:val="24"/>
          <w:szCs w:val="24"/>
        </w:rPr>
        <w:t>根据编制组的大量试验研究，提出了直径50mm芯样试件的最小样本容量建议值。由于芯样直径较小，抗压强度试验结果离散性较直径100mm芯样增大，合理划分检测批并确定合适的芯样试件数量是满足批量推定要求的重要保证。抽样检测是基于概率统计理论，试验结果随样本容量大小、操作的规范程度等因素在其真值附近波动，故按照检测批给出推定区间进行检测结果推定更为合理。为了保证推定结果准确合理，参照行业标准《钻芯法检测混凝土强度技术规程》JGJ/T 384-2016的要求，对推定区间的置信度和区间差值进行了控制。</w:t>
      </w:r>
    </w:p>
    <w:p>
      <w:pPr>
        <w:pStyle w:val="52"/>
        <w:spacing w:line="300" w:lineRule="auto"/>
        <w:ind w:firstLine="0" w:firstLineChars="0"/>
        <w:rPr>
          <w:rFonts w:ascii="Times New Roman" w:hAnsi="Times New Roman" w:cs="Times New Roman"/>
          <w:bCs/>
          <w:sz w:val="24"/>
          <w:szCs w:val="24"/>
        </w:rPr>
      </w:pPr>
      <w:r>
        <w:rPr>
          <w:rFonts w:ascii="Times New Roman" w:hAnsi="Times New Roman" w:cs="Times New Roman"/>
          <w:bCs/>
          <w:sz w:val="24"/>
          <w:szCs w:val="24"/>
        </w:rPr>
        <w:br w:type="page"/>
      </w:r>
    </w:p>
    <w:p>
      <w:pPr>
        <w:pStyle w:val="89"/>
      </w:pPr>
      <w:bookmarkStart w:id="246" w:name="_Toc120020334"/>
      <w:bookmarkStart w:id="247" w:name="_Toc120020404"/>
      <w:bookmarkStart w:id="248" w:name="_Toc116397191"/>
      <w:r>
        <w:rPr>
          <w:rFonts w:hint="eastAsia"/>
        </w:rPr>
        <w:t>附录B</w:t>
      </w:r>
      <w:r>
        <w:t xml:space="preserve">  </w:t>
      </w:r>
      <w:r>
        <w:rPr>
          <w:rFonts w:hint="eastAsia"/>
        </w:rPr>
        <w:t>推定系数</w:t>
      </w:r>
      <w:bookmarkEnd w:id="246"/>
      <w:bookmarkEnd w:id="247"/>
    </w:p>
    <w:p>
      <w:pPr>
        <w:pStyle w:val="52"/>
        <w:spacing w:line="360" w:lineRule="auto"/>
        <w:ind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kern w:val="0"/>
          <w:sz w:val="24"/>
          <w:szCs w:val="24"/>
          <w14:textFill>
            <w14:solidFill>
              <w14:schemeClr w14:val="tx1"/>
            </w14:solidFill>
          </w14:textFill>
        </w:rPr>
        <w:t xml:space="preserve">B.0.1 </w:t>
      </w:r>
      <w:r>
        <w:rPr>
          <w:rFonts w:ascii="Times New Roman" w:hAnsi="Times New Roman" w:cs="Times New Roman"/>
          <w:bCs/>
          <w:color w:val="000000" w:themeColor="text1"/>
          <w:kern w:val="0"/>
          <w:sz w:val="24"/>
          <w:szCs w:val="24"/>
          <w14:textFill>
            <w14:solidFill>
              <w14:schemeClr w14:val="tx1"/>
            </w14:solidFill>
          </w14:textFill>
        </w:rPr>
        <w:t>正态分布的随机变量具有95%保证率的标准值就是0.05分位值</w:t>
      </w:r>
      <w:r>
        <w:rPr>
          <w:rFonts w:ascii="Times New Roman" w:hAnsi="Times New Roman" w:cs="Times New Roman"/>
          <w:bCs/>
          <w:color w:val="000000" w:themeColor="text1"/>
          <w:sz w:val="24"/>
          <w:szCs w:val="24"/>
          <w14:textFill>
            <w14:solidFill>
              <w14:schemeClr w14:val="tx1"/>
            </w14:solidFill>
          </w14:textFill>
        </w:rPr>
        <w:t>，</w:t>
      </w:r>
      <w:r>
        <w:rPr>
          <w:rFonts w:ascii="Times New Roman" w:hAnsi="Times New Roman" w:cs="Times New Roman"/>
          <w:bCs/>
          <w:color w:val="000000" w:themeColor="text1"/>
          <w:sz w:val="24"/>
          <w14:textFill>
            <w14:solidFill>
              <w14:schemeClr w14:val="tx1"/>
            </w14:solidFill>
          </w14:textFill>
        </w:rPr>
        <w:t>表</w:t>
      </w:r>
      <w:r>
        <w:rPr>
          <w:rFonts w:ascii="Times New Roman" w:hAnsi="Times New Roman" w:cs="Times New Roman"/>
          <w:bCs/>
          <w:color w:val="000000" w:themeColor="text1"/>
          <w:kern w:val="0"/>
          <w:sz w:val="24"/>
          <w:szCs w:val="24"/>
          <w14:textFill>
            <w14:solidFill>
              <w14:schemeClr w14:val="tx1"/>
            </w14:solidFill>
          </w14:textFill>
        </w:rPr>
        <w:t>B.0.1选自现行国家标准《正态分布完全样本可靠度置信下限》GB/T 4885。区间</w:t>
      </w:r>
      <w:r>
        <w:rPr>
          <w:rFonts w:ascii="Times New Roman" w:hAnsi="Times New Roman" w:cs="Times New Roman"/>
          <w:bCs/>
          <w:color w:val="000000" w:themeColor="text1"/>
          <w:sz w:val="24"/>
          <w:szCs w:val="24"/>
          <w14:textFill>
            <w14:solidFill>
              <w14:schemeClr w14:val="tx1"/>
            </w14:solidFill>
          </w14:textFill>
        </w:rPr>
        <w:t>上限值存在错判的概率，区间下限值存在漏判的概率</w:t>
      </w:r>
      <w:r>
        <w:rPr>
          <w:rFonts w:hint="eastAsia" w:ascii="Times New Roman" w:hAnsi="Times New Roman" w:cs="Times New Roman"/>
          <w:bCs/>
          <w:color w:val="000000" w:themeColor="text1"/>
          <w:sz w:val="24"/>
          <w:szCs w:val="24"/>
          <w14:textFill>
            <w14:solidFill>
              <w14:schemeClr w14:val="tx1"/>
            </w14:solidFill>
          </w14:textFill>
        </w:rPr>
        <w:t>，</w:t>
      </w:r>
      <w:r>
        <w:rPr>
          <w:rFonts w:ascii="Times New Roman" w:hAnsi="Times New Roman" w:cs="Times New Roman"/>
          <w:bCs/>
          <w:color w:val="000000" w:themeColor="text1"/>
          <w:kern w:val="0"/>
          <w:sz w:val="24"/>
          <w:szCs w:val="24"/>
          <w14:textFill>
            <w14:solidFill>
              <w14:schemeClr w14:val="tx1"/>
            </w14:solidFill>
          </w14:textFill>
        </w:rPr>
        <w:t>当推定区间的置信度为0.90且错判概率和漏判概率均为0.05时，区间上限值和区间下限值的推定系数</w:t>
      </w:r>
      <w:r>
        <w:rPr>
          <w:rFonts w:ascii="Times New Roman" w:hAnsi="Times New Roman" w:cs="Times New Roman"/>
          <w:color w:val="000000" w:themeColor="text1"/>
          <w:kern w:val="0"/>
          <w:sz w:val="24"/>
          <w:szCs w:val="24"/>
          <w14:textFill>
            <w14:solidFill>
              <w14:schemeClr w14:val="tx1"/>
            </w14:solidFill>
          </w14:textFill>
        </w:rPr>
        <w:t>选取</w:t>
      </w:r>
      <w:r>
        <w:rPr>
          <w:rFonts w:ascii="Times New Roman" w:hAnsi="Times New Roman" w:cs="Times New Roman"/>
          <w:bCs/>
          <w:color w:val="000000" w:themeColor="text1"/>
          <w:kern w:val="0"/>
          <w:sz w:val="24"/>
          <w:szCs w:val="24"/>
          <w14:textFill>
            <w14:solidFill>
              <w14:schemeClr w14:val="tx1"/>
            </w14:solidFill>
          </w14:textFill>
        </w:rPr>
        <w:t>表B.0.1中0.05栏</w:t>
      </w:r>
      <w:r>
        <w:rPr>
          <w:rFonts w:ascii="Times New Roman" w:hAnsi="Times New Roman" w:cs="Times New Roman"/>
          <w:color w:val="000000" w:themeColor="text1"/>
          <w:sz w:val="24"/>
          <w:szCs w:val="24"/>
          <w14:textFill>
            <w14:solidFill>
              <w14:schemeClr w14:val="tx1"/>
            </w14:solidFill>
          </w14:textFill>
        </w:rPr>
        <w:t>对应的数值</w:t>
      </w:r>
      <w:r>
        <w:rPr>
          <w:rFonts w:ascii="Times New Roman" w:hAnsi="Times New Roman" w:cs="Times New Roman"/>
          <w:bCs/>
          <w:color w:val="000000" w:themeColor="text1"/>
          <w:kern w:val="0"/>
          <w:sz w:val="24"/>
          <w:szCs w:val="24"/>
          <w14:textFill>
            <w14:solidFill>
              <w14:schemeClr w14:val="tx1"/>
            </w14:solidFill>
          </w14:textFill>
        </w:rPr>
        <w:t>；当推定区间的置信度为0.85且错判概率为0.05、漏判概率为0.10时，区间上限值推定系数选取表B.0.1中0.05栏对应的数值，区间下限值推定系数选取表B.0.1中0.10栏对应的数值；其他情况，以此类推。当试件数量大于50时，可根据相邻系数进行插值确定。</w:t>
      </w:r>
    </w:p>
    <w:p>
      <w:pPr>
        <w:pStyle w:val="52"/>
        <w:spacing w:line="360" w:lineRule="auto"/>
        <w:ind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kern w:val="0"/>
          <w:sz w:val="24"/>
          <w:szCs w:val="24"/>
          <w14:textFill>
            <w14:solidFill>
              <w14:schemeClr w14:val="tx1"/>
            </w14:solidFill>
          </w14:textFill>
        </w:rPr>
        <w:t xml:space="preserve">B.0.2  </w:t>
      </w:r>
      <w:r>
        <w:rPr>
          <w:rFonts w:ascii="Times New Roman" w:hAnsi="Times New Roman" w:cs="Times New Roman"/>
          <w:bCs/>
          <w:color w:val="000000" w:themeColor="text1"/>
          <w:sz w:val="24"/>
          <w:szCs w:val="24"/>
          <w14:textFill>
            <w14:solidFill>
              <w14:schemeClr w14:val="tx1"/>
            </w14:solidFill>
          </w14:textFill>
        </w:rPr>
        <w:t>0.5分位值对应于样本的总体均值，表</w:t>
      </w:r>
      <w:r>
        <w:rPr>
          <w:rFonts w:ascii="Times New Roman" w:hAnsi="Times New Roman" w:cs="Times New Roman"/>
          <w:bCs/>
          <w:color w:val="000000" w:themeColor="text1"/>
          <w:kern w:val="0"/>
          <w:sz w:val="24"/>
          <w:szCs w:val="24"/>
          <w14:textFill>
            <w14:solidFill>
              <w14:schemeClr w14:val="tx1"/>
            </w14:solidFill>
          </w14:textFill>
        </w:rPr>
        <w:t>B.0.2选自现行国家标准《正态分布完全样本可靠度置信下限》GB/T 4885。当错判概率和漏判概率均为0.05时，推定系数选取表B.0.2中</w:t>
      </w:r>
      <w:r>
        <w:rPr>
          <w:rFonts w:ascii="Times New Roman" w:hAnsi="Times New Roman" w:cs="Times New Roman"/>
          <w:bCs/>
          <w:color w:val="000000" w:themeColor="text1"/>
          <w:sz w:val="24"/>
          <w:szCs w:val="24"/>
          <w14:textFill>
            <w14:solidFill>
              <w14:schemeClr w14:val="tx1"/>
            </w14:solidFill>
          </w14:textFill>
        </w:rPr>
        <w:t>0.05一栏对应的数值，此时推定区间的置信度为0.90；</w:t>
      </w:r>
      <w:r>
        <w:rPr>
          <w:rFonts w:ascii="Times New Roman" w:hAnsi="Times New Roman" w:cs="Times New Roman"/>
          <w:bCs/>
          <w:color w:val="000000" w:themeColor="text1"/>
          <w:kern w:val="0"/>
          <w:sz w:val="24"/>
          <w:szCs w:val="24"/>
          <w14:textFill>
            <w14:solidFill>
              <w14:schemeClr w14:val="tx1"/>
            </w14:solidFill>
          </w14:textFill>
        </w:rPr>
        <w:t>当错判概率和漏判概率均为0.10时，推定系数选取表B.</w:t>
      </w:r>
      <w:r>
        <w:rPr>
          <w:rFonts w:ascii="Times New Roman" w:hAnsi="Times New Roman" w:cs="Times New Roman"/>
          <w:color w:val="000000" w:themeColor="text1"/>
          <w:kern w:val="0"/>
          <w:sz w:val="24"/>
          <w:szCs w:val="24"/>
          <w14:textFill>
            <w14:solidFill>
              <w14:schemeClr w14:val="tx1"/>
            </w14:solidFill>
          </w14:textFill>
        </w:rPr>
        <w:t>0.2中</w:t>
      </w:r>
      <w:r>
        <w:rPr>
          <w:rFonts w:ascii="Times New Roman" w:hAnsi="Times New Roman" w:cs="Times New Roman"/>
          <w:color w:val="000000" w:themeColor="text1"/>
          <w:sz w:val="24"/>
          <w:szCs w:val="24"/>
          <w14:textFill>
            <w14:solidFill>
              <w14:schemeClr w14:val="tx1"/>
            </w14:solidFill>
          </w14:textFill>
        </w:rPr>
        <w:t>0.10一栏对应的数值，此时推定区间的置信度为0.80。</w:t>
      </w:r>
      <w:r>
        <w:rPr>
          <w:rFonts w:ascii="Times New Roman" w:hAnsi="Times New Roman" w:cs="Times New Roman"/>
          <w:bCs/>
          <w:color w:val="000000" w:themeColor="text1"/>
          <w:kern w:val="0"/>
          <w:sz w:val="24"/>
          <w:szCs w:val="24"/>
          <w14:textFill>
            <w14:solidFill>
              <w14:schemeClr w14:val="tx1"/>
            </w14:solidFill>
          </w14:textFill>
        </w:rPr>
        <w:t>当试件数量大于50时，可根据相邻系数进行插值确定。</w:t>
      </w:r>
    </w:p>
    <w:p>
      <w:pPr>
        <w:pStyle w:val="52"/>
        <w:spacing w:line="360" w:lineRule="auto"/>
        <w:ind w:firstLine="0" w:firstLineChars="0"/>
      </w:pPr>
    </w:p>
    <w:p>
      <w:pPr>
        <w:widowControl/>
        <w:jc w:val="left"/>
        <w:rPr>
          <w:rFonts w:eastAsiaTheme="minorEastAsia"/>
          <w:b/>
          <w:kern w:val="44"/>
          <w:sz w:val="28"/>
          <w:szCs w:val="28"/>
        </w:rPr>
      </w:pPr>
      <w:r>
        <w:br w:type="page"/>
      </w:r>
    </w:p>
    <w:p>
      <w:pPr>
        <w:pStyle w:val="89"/>
      </w:pPr>
      <w:bookmarkStart w:id="249" w:name="_Toc120020335"/>
      <w:bookmarkStart w:id="250" w:name="_Toc120020405"/>
      <w:r>
        <w:rPr>
          <w:color w:val="000000" w:themeColor="text1"/>
          <w14:textFill>
            <w14:solidFill>
              <w14:schemeClr w14:val="tx1"/>
            </w14:solidFill>
          </w14:textFill>
        </w:rPr>
        <w:t xml:space="preserve">附录C </w:t>
      </w:r>
      <w:r>
        <w:t xml:space="preserve"> 阵列超声法检测混凝土内部缺陷</w:t>
      </w:r>
      <w:bookmarkEnd w:id="248"/>
      <w:bookmarkEnd w:id="249"/>
      <w:bookmarkEnd w:id="250"/>
    </w:p>
    <w:p>
      <w:pPr>
        <w:pStyle w:val="52"/>
        <w:spacing w:line="360" w:lineRule="auto"/>
        <w:ind w:firstLine="0" w:firstLineChars="0"/>
        <w:rPr>
          <w:rFonts w:ascii="Times New Roman" w:hAnsi="Times New Roman" w:cs="Times New Roman"/>
          <w:bCs/>
          <w:sz w:val="24"/>
          <w:szCs w:val="24"/>
        </w:rPr>
      </w:pPr>
      <w:r>
        <w:rPr>
          <w:rFonts w:ascii="Times New Roman" w:hAnsi="Times New Roman" w:cs="Times New Roman"/>
          <w:b/>
          <w:iCs/>
          <w:sz w:val="24"/>
          <w:szCs w:val="24"/>
        </w:rPr>
        <w:t xml:space="preserve">C.0.1 </w:t>
      </w:r>
      <w:r>
        <w:rPr>
          <w:rFonts w:ascii="Times New Roman" w:hAnsi="Times New Roman" w:cs="Times New Roman"/>
          <w:bCs/>
          <w:sz w:val="24"/>
          <w:szCs w:val="24"/>
        </w:rPr>
        <w:t xml:space="preserve"> 阵列超声法检测混凝土内部缺陷原</w:t>
      </w:r>
      <w:r>
        <w:rPr>
          <w:rFonts w:ascii="Times New Roman" w:hAnsi="Times New Roman" w:cs="Times New Roman"/>
          <w:bCs/>
          <w:color w:val="000000" w:themeColor="text1"/>
          <w:sz w:val="24"/>
          <w:szCs w:val="24"/>
          <w14:textFill>
            <w14:solidFill>
              <w14:schemeClr w14:val="tx1"/>
            </w14:solidFill>
          </w14:textFill>
        </w:rPr>
        <w:t>理如</w:t>
      </w:r>
      <w:r>
        <w:fldChar w:fldCharType="begin"/>
      </w:r>
      <w:r>
        <w:instrText xml:space="preserve"> REF _Ref95509059 \h  \* MERGEFORMAT </w:instrText>
      </w:r>
      <w:r>
        <w:fldChar w:fldCharType="separate"/>
      </w:r>
      <w:r>
        <w:rPr>
          <w:rFonts w:ascii="Times New Roman" w:hAnsi="Times New Roman" w:cs="Times New Roman"/>
          <w:color w:val="000000" w:themeColor="text1"/>
          <w:sz w:val="24"/>
          <w:szCs w:val="24"/>
          <w14:textFill>
            <w14:solidFill>
              <w14:schemeClr w14:val="tx1"/>
            </w14:solidFill>
          </w14:textFill>
        </w:rPr>
        <w:t>图4</w:t>
      </w:r>
      <w:r>
        <w:fldChar w:fldCharType="end"/>
      </w:r>
      <w:r>
        <w:rPr>
          <w:rFonts w:ascii="Times New Roman" w:hAnsi="Times New Roman" w:cs="Times New Roman"/>
          <w:bCs/>
          <w:color w:val="000000" w:themeColor="text1"/>
          <w:sz w:val="24"/>
          <w:szCs w:val="24"/>
          <w14:textFill>
            <w14:solidFill>
              <w14:schemeClr w14:val="tx1"/>
            </w14:solidFill>
          </w14:textFill>
        </w:rPr>
        <w:t>所示。</w:t>
      </w:r>
      <w:r>
        <w:rPr>
          <w:rFonts w:ascii="Times New Roman" w:hAnsi="Times New Roman" w:cs="Times New Roman"/>
          <w:bCs/>
          <w:sz w:val="24"/>
          <w:szCs w:val="24"/>
        </w:rPr>
        <w:t>通过阵列式排布的换能器产生和接收超声波束，并控制换能器阵列中各阵元发射（或接收）脉冲的不同延迟时间，改变声波到达（或来自）混凝土结构内某处时的相位关系，实现焦点和声束方向的变化，在短时间内便能获得多点超声波数据，再结合合成孔径聚焦技术实现被测混凝土的二维断面和三维仿真虚拟成像，以直观显示缺陷在混凝土中的位置和大小。</w:t>
      </w:r>
    </w:p>
    <w:p>
      <w:pPr>
        <w:jc w:val="center"/>
      </w:pPr>
      <w:r>
        <w:drawing>
          <wp:inline distT="0" distB="0" distL="0" distR="0">
            <wp:extent cx="3454400" cy="2920365"/>
            <wp:effectExtent l="0" t="0" r="0" b="0"/>
            <wp:docPr id="2"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true" noChangeArrowheads="true"/>
                    </pic:cNvPicPr>
                  </pic:nvPicPr>
                  <pic:blipFill>
                    <a:blip r:embed="rId266" cstate="print">
                      <a:extLst>
                        <a:ext uri="{28A0092B-C50C-407E-A947-70E740481C1C}">
                          <a14:useLocalDpi xmlns:a14="http://schemas.microsoft.com/office/drawing/2010/main" val="false"/>
                        </a:ext>
                      </a:extLst>
                    </a:blip>
                    <a:srcRect/>
                    <a:stretch>
                      <a:fillRect/>
                    </a:stretch>
                  </pic:blipFill>
                  <pic:spPr>
                    <a:xfrm>
                      <a:off x="0" y="0"/>
                      <a:ext cx="3461038" cy="2926216"/>
                    </a:xfrm>
                    <a:prstGeom prst="rect">
                      <a:avLst/>
                    </a:prstGeom>
                    <a:noFill/>
                    <a:ln>
                      <a:noFill/>
                    </a:ln>
                  </pic:spPr>
                </pic:pic>
              </a:graphicData>
            </a:graphic>
          </wp:inline>
        </w:drawing>
      </w:r>
    </w:p>
    <w:p>
      <w:pPr>
        <w:jc w:val="center"/>
        <w:rPr>
          <w:sz w:val="18"/>
        </w:rPr>
      </w:pPr>
      <w:r>
        <w:rPr>
          <w:sz w:val="18"/>
        </w:rPr>
        <w:t>1—超声采集与分析装置；2—第</w:t>
      </w:r>
      <w:r>
        <w:rPr>
          <w:i/>
          <w:sz w:val="18"/>
        </w:rPr>
        <w:t>i</w:t>
      </w:r>
      <w:r>
        <w:rPr>
          <w:sz w:val="18"/>
        </w:rPr>
        <w:t>个超声发射换能器；3—第</w:t>
      </w:r>
      <w:r>
        <w:rPr>
          <w:i/>
          <w:sz w:val="18"/>
        </w:rPr>
        <w:t>j</w:t>
      </w:r>
      <w:r>
        <w:rPr>
          <w:sz w:val="18"/>
        </w:rPr>
        <w:t>个超声接收换能器；</w:t>
      </w:r>
    </w:p>
    <w:p>
      <w:pPr>
        <w:jc w:val="center"/>
        <w:rPr>
          <w:sz w:val="18"/>
        </w:rPr>
      </w:pPr>
      <w:r>
        <w:rPr>
          <w:sz w:val="18"/>
        </w:rPr>
        <w:t>4—第</w:t>
      </w:r>
      <w:r>
        <w:rPr>
          <w:i/>
          <w:sz w:val="18"/>
        </w:rPr>
        <w:t>j</w:t>
      </w:r>
      <w:r>
        <w:rPr>
          <w:sz w:val="18"/>
        </w:rPr>
        <w:t>+1个超声接收换能器；5—内部缺陷；6—钢筋混凝土；</w:t>
      </w:r>
    </w:p>
    <w:p>
      <w:pPr>
        <w:spacing w:after="120" w:afterLines="50"/>
        <w:jc w:val="center"/>
        <w:rPr>
          <w:sz w:val="18"/>
        </w:rPr>
      </w:pPr>
      <w:r>
        <w:rPr>
          <w:i/>
          <w:sz w:val="18"/>
        </w:rPr>
        <w:t>d</w:t>
      </w:r>
      <w:r>
        <w:rPr>
          <w:sz w:val="18"/>
          <w:vertAlign w:val="subscript"/>
        </w:rPr>
        <w:t>ij</w:t>
      </w:r>
      <w:r>
        <w:rPr>
          <w:sz w:val="18"/>
        </w:rPr>
        <w:t>—第</w:t>
      </w:r>
      <w:r>
        <w:rPr>
          <w:i/>
          <w:sz w:val="18"/>
        </w:rPr>
        <w:t>i</w:t>
      </w:r>
      <w:r>
        <w:rPr>
          <w:sz w:val="18"/>
        </w:rPr>
        <w:t>个与第</w:t>
      </w:r>
      <w:r>
        <w:rPr>
          <w:i/>
          <w:sz w:val="18"/>
        </w:rPr>
        <w:t>j</w:t>
      </w:r>
      <w:r>
        <w:rPr>
          <w:sz w:val="18"/>
        </w:rPr>
        <w:t>个换能器的间距；</w:t>
      </w:r>
      <w:r>
        <w:rPr>
          <w:i/>
          <w:sz w:val="18"/>
        </w:rPr>
        <w:t>L</w:t>
      </w:r>
      <w:r>
        <w:rPr>
          <w:sz w:val="18"/>
        </w:rPr>
        <w:t>—缺陷深度</w:t>
      </w:r>
    </w:p>
    <w:p>
      <w:pPr>
        <w:pStyle w:val="6"/>
        <w:spacing w:after="240" w:afterLines="100"/>
        <w:jc w:val="center"/>
        <w:rPr>
          <w:rFonts w:ascii="Times New Roman" w:hAnsi="Times New Roman" w:cs="Times New Roman" w:eastAsiaTheme="minorEastAsia"/>
          <w:b/>
          <w:color w:val="000000" w:themeColor="text1"/>
          <w:sz w:val="21"/>
          <w:szCs w:val="21"/>
          <w14:textFill>
            <w14:solidFill>
              <w14:schemeClr w14:val="tx1"/>
            </w14:solidFill>
          </w14:textFill>
        </w:rPr>
      </w:pPr>
      <w:bookmarkStart w:id="251" w:name="_Ref95509059"/>
      <w:r>
        <w:rPr>
          <w:rFonts w:ascii="Times New Roman" w:hAnsi="Times New Roman" w:cs="Times New Roman" w:eastAsiaTheme="minorEastAsia"/>
          <w:b/>
          <w:color w:val="000000" w:themeColor="text1"/>
          <w:szCs w:val="21"/>
          <w14:textFill>
            <w14:solidFill>
              <w14:schemeClr w14:val="tx1"/>
            </w14:solidFill>
          </w14:textFill>
        </w:rPr>
        <w:t>图</w:t>
      </w:r>
      <w:r>
        <w:rPr>
          <w:rFonts w:ascii="Times New Roman" w:hAnsi="Times New Roman" w:cs="Times New Roman" w:eastAsiaTheme="minorEastAsia"/>
          <w:b/>
          <w:color w:val="000000" w:themeColor="text1"/>
          <w:szCs w:val="21"/>
          <w14:textFill>
            <w14:solidFill>
              <w14:schemeClr w14:val="tx1"/>
            </w14:solidFill>
          </w14:textFill>
        </w:rPr>
        <w:fldChar w:fldCharType="begin"/>
      </w:r>
      <w:r>
        <w:rPr>
          <w:rFonts w:ascii="Times New Roman" w:hAnsi="Times New Roman" w:cs="Times New Roman" w:eastAsiaTheme="minorEastAsia"/>
          <w:b/>
          <w:color w:val="000000" w:themeColor="text1"/>
          <w:szCs w:val="21"/>
          <w14:textFill>
            <w14:solidFill>
              <w14:schemeClr w14:val="tx1"/>
            </w14:solidFill>
          </w14:textFill>
        </w:rPr>
        <w:instrText xml:space="preserve"> SEQ 图 \* ARABIC </w:instrText>
      </w:r>
      <w:r>
        <w:rPr>
          <w:rFonts w:ascii="Times New Roman" w:hAnsi="Times New Roman" w:cs="Times New Roman" w:eastAsiaTheme="minorEastAsia"/>
          <w:b/>
          <w:color w:val="000000" w:themeColor="text1"/>
          <w:szCs w:val="21"/>
          <w14:textFill>
            <w14:solidFill>
              <w14:schemeClr w14:val="tx1"/>
            </w14:solidFill>
          </w14:textFill>
        </w:rPr>
        <w:fldChar w:fldCharType="separate"/>
      </w:r>
      <w:r>
        <w:rPr>
          <w:rFonts w:ascii="Times New Roman" w:hAnsi="Times New Roman" w:cs="Times New Roman" w:eastAsiaTheme="minorEastAsia"/>
          <w:b/>
          <w:color w:val="000000" w:themeColor="text1"/>
          <w:szCs w:val="21"/>
          <w14:textFill>
            <w14:solidFill>
              <w14:schemeClr w14:val="tx1"/>
            </w14:solidFill>
          </w14:textFill>
        </w:rPr>
        <w:t>4</w:t>
      </w:r>
      <w:r>
        <w:rPr>
          <w:rFonts w:ascii="Times New Roman" w:hAnsi="Times New Roman" w:cs="Times New Roman" w:eastAsiaTheme="minorEastAsia"/>
          <w:b/>
          <w:color w:val="000000" w:themeColor="text1"/>
          <w:szCs w:val="21"/>
          <w14:textFill>
            <w14:solidFill>
              <w14:schemeClr w14:val="tx1"/>
            </w14:solidFill>
          </w14:textFill>
        </w:rPr>
        <w:fldChar w:fldCharType="end"/>
      </w:r>
      <w:bookmarkEnd w:id="251"/>
      <w:r>
        <w:rPr>
          <w:rFonts w:ascii="Times New Roman" w:hAnsi="Times New Roman" w:cs="Times New Roman" w:eastAsiaTheme="minorEastAsia"/>
          <w:b/>
          <w:bCs/>
          <w:color w:val="000000" w:themeColor="text1"/>
          <w:sz w:val="21"/>
          <w:szCs w:val="21"/>
          <w14:textFill>
            <w14:solidFill>
              <w14:schemeClr w14:val="tx1"/>
            </w14:solidFill>
          </w14:textFill>
        </w:rPr>
        <w:t xml:space="preserve">  阵列超声法检测混凝土内部缺陷原理示意图</w:t>
      </w:r>
    </w:p>
    <w:p>
      <w:pPr>
        <w:spacing w:line="360" w:lineRule="auto"/>
        <w:rPr>
          <w:rFonts w:eastAsiaTheme="minorEastAsia"/>
          <w:bCs/>
          <w:sz w:val="24"/>
          <w:szCs w:val="24"/>
        </w:rPr>
      </w:pPr>
      <w:r>
        <w:rPr>
          <w:rFonts w:eastAsiaTheme="minorEastAsia"/>
          <w:b/>
          <w:iCs/>
          <w:sz w:val="24"/>
          <w:szCs w:val="24"/>
        </w:rPr>
        <w:t xml:space="preserve">C.0.2 </w:t>
      </w:r>
      <w:r>
        <w:rPr>
          <w:rFonts w:eastAsiaTheme="minorEastAsia"/>
          <w:bCs/>
          <w:sz w:val="24"/>
          <w:szCs w:val="24"/>
        </w:rPr>
        <w:t xml:space="preserve"> 基于试验研究结果，本条主要从接收器、传感器、通道、扫描结果显示等方面对阵列式多探头超声设备的主要性能指标做出规定，以更好的适应实际工程的检测需要。</w:t>
      </w:r>
    </w:p>
    <w:p>
      <w:pPr>
        <w:pStyle w:val="52"/>
        <w:spacing w:line="360" w:lineRule="auto"/>
        <w:ind w:firstLine="0" w:firstLineChars="0"/>
        <w:rPr>
          <w:rFonts w:ascii="Times New Roman" w:hAnsi="Times New Roman" w:cs="Times New Roman"/>
          <w:bCs/>
          <w:sz w:val="24"/>
          <w:szCs w:val="24"/>
        </w:rPr>
      </w:pPr>
      <w:r>
        <w:rPr>
          <w:rFonts w:ascii="Times New Roman" w:hAnsi="Times New Roman" w:cs="Times New Roman"/>
          <w:b/>
          <w:iCs/>
          <w:sz w:val="24"/>
          <w:szCs w:val="24"/>
        </w:rPr>
        <w:t xml:space="preserve">C.0.3 </w:t>
      </w:r>
      <w:r>
        <w:rPr>
          <w:rFonts w:ascii="Times New Roman" w:hAnsi="Times New Roman" w:cs="Times New Roman"/>
          <w:bCs/>
          <w:sz w:val="24"/>
          <w:szCs w:val="24"/>
        </w:rPr>
        <w:t xml:space="preserve"> 由于超声波是从表面传播至混凝土内部，故构件表面应为混凝土原浆面且避开有外观缺陷的区域。当表面存在不平整时，可用砂轮磨平，但不适宜用其它材料抹平处理，以免存在缝隙干扰超声波的传播，影响检测结果的准确性。与传统的单点超声设备不同，阵列超声检测仪单次检测可以覆盖较大的检测面积，为了保证能覆盖整个检测区域，可根据所用阵列式多探头超声设备的探头区尺寸来确定测线的最大间距。</w:t>
      </w:r>
    </w:p>
    <w:p>
      <w:pPr>
        <w:pStyle w:val="52"/>
        <w:spacing w:line="360" w:lineRule="auto"/>
        <w:ind w:firstLine="0" w:firstLineChars="0"/>
        <w:rPr>
          <w:rFonts w:ascii="Times New Roman" w:hAnsi="Times New Roman" w:cs="Times New Roman"/>
          <w:bCs/>
          <w:sz w:val="24"/>
          <w:szCs w:val="24"/>
        </w:rPr>
      </w:pPr>
      <w:r>
        <w:rPr>
          <w:rFonts w:ascii="Times New Roman" w:hAnsi="Times New Roman" w:cs="Times New Roman"/>
          <w:b/>
          <w:iCs/>
          <w:color w:val="000000" w:themeColor="text1"/>
          <w:sz w:val="24"/>
          <w:szCs w:val="24"/>
          <w14:textFill>
            <w14:solidFill>
              <w14:schemeClr w14:val="tx1"/>
            </w14:solidFill>
          </w14:textFill>
        </w:rPr>
        <w:t xml:space="preserve">C.0.5 </w:t>
      </w:r>
      <w:r>
        <w:rPr>
          <w:rFonts w:ascii="Times New Roman" w:hAnsi="Times New Roman" w:cs="Times New Roman"/>
          <w:bCs/>
          <w:color w:val="000000" w:themeColor="text1"/>
          <w:sz w:val="24"/>
          <w:szCs w:val="24"/>
          <w14:textFill>
            <w14:solidFill>
              <w14:schemeClr w14:val="tx1"/>
            </w14:solidFill>
          </w14:textFill>
        </w:rPr>
        <w:t xml:space="preserve"> 根据阵列超声法的检测原理，基于内部缺陷与混凝土材料的超声波阻抗特性差异，通过计算分析反射信号的位置，确定缺陷的位置。当混凝土内部无其他介质存在时，超声波只会在与构件测试面相对应的底面发生反射。但在结构实体中，除了缺陷外，混凝土内部预埋的钢材、管线等其他材料，其阻抗特性与混凝土差异较大，也会形成反射信号，因此，不能仅根据反射信号与底面反射信号的位置关系判定是否存在缺陷，还应结合设计图纸或经现场核查验证，以排除其他界面干扰的可能，才能判定该位置存在缺陷</w:t>
      </w:r>
      <w:r>
        <w:rPr>
          <w:rFonts w:ascii="Times New Roman" w:hAnsi="Times New Roman" w:cs="Times New Roman"/>
          <w:bCs/>
          <w:sz w:val="24"/>
          <w:szCs w:val="24"/>
        </w:rPr>
        <w:t>。</w:t>
      </w:r>
    </w:p>
    <w:p>
      <w:pPr>
        <w:pStyle w:val="52"/>
        <w:spacing w:line="360" w:lineRule="auto"/>
        <w:ind w:firstLine="48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当超声波在混凝土中遇到较大面积的缺陷时会发生全反射，此时无法进一步检测到此缺陷背后的内部情况，因此，在具备双面检测的条件时，应在另一侧面的相同位置再次进行检测。</w:t>
      </w:r>
      <w:r>
        <w:rPr>
          <w:rFonts w:ascii="Times New Roman" w:hAnsi="Times New Roman" w:cs="Times New Roman"/>
          <w:bCs/>
          <w:color w:val="000000" w:themeColor="text1"/>
          <w:sz w:val="24"/>
          <w:szCs w:val="24"/>
          <w14:textFill>
            <w14:solidFill>
              <w14:schemeClr w14:val="tx1"/>
            </w14:solidFill>
          </w14:textFill>
        </w:rPr>
        <w:br w:type="page"/>
      </w:r>
    </w:p>
    <w:p>
      <w:pPr>
        <w:pStyle w:val="89"/>
      </w:pPr>
      <w:bookmarkStart w:id="252" w:name="_Toc120020406"/>
      <w:bookmarkStart w:id="253" w:name="_Toc120020336"/>
      <w:bookmarkStart w:id="254" w:name="_Toc116397192"/>
      <w:r>
        <w:t>附录D  现场实体取样检测钢筋套筒灌浆连接质量</w:t>
      </w:r>
      <w:bookmarkEnd w:id="252"/>
      <w:bookmarkEnd w:id="253"/>
      <w:bookmarkEnd w:id="254"/>
    </w:p>
    <w:p>
      <w:pPr>
        <w:spacing w:line="360" w:lineRule="auto"/>
        <w:rPr>
          <w:rFonts w:eastAsiaTheme="minorEastAsia"/>
          <w:bCs/>
          <w:sz w:val="24"/>
          <w:szCs w:val="24"/>
        </w:rPr>
      </w:pPr>
      <w:r>
        <w:rPr>
          <w:rFonts w:eastAsiaTheme="minorEastAsia"/>
          <w:b/>
          <w:iCs/>
          <w:sz w:val="24"/>
          <w:szCs w:val="24"/>
        </w:rPr>
        <w:t xml:space="preserve">D.0.1 </w:t>
      </w:r>
      <w:r>
        <w:rPr>
          <w:rFonts w:eastAsiaTheme="minorEastAsia"/>
          <w:bCs/>
          <w:sz w:val="24"/>
          <w:szCs w:val="24"/>
        </w:rPr>
        <w:t xml:space="preserve"> 现场实体取样属于破损性检测，一般不采用，只有当无损检测或者微破损检测无法实现时才考虑使用，例如，采用X射线无法实现检测目的时，对灌浆套筒产品质量、半灌浆套筒机械端连接质量进行检测时，或者对无损检测结果有争议时。若取样用于接头力学性能检验，则接头的取样长度应满足现行行业标准《钢筋套筒灌浆连接应用技术规程》JGJ 355对试件尺寸的要求。</w:t>
      </w:r>
    </w:p>
    <w:p>
      <w:pPr>
        <w:widowControl/>
        <w:jc w:val="left"/>
        <w:rPr>
          <w:rFonts w:eastAsiaTheme="minorEastAsia"/>
          <w:bCs/>
          <w:sz w:val="24"/>
          <w:szCs w:val="24"/>
        </w:rPr>
      </w:pPr>
      <w:r>
        <w:rPr>
          <w:rFonts w:eastAsiaTheme="minorEastAsia"/>
          <w:bCs/>
          <w:sz w:val="24"/>
          <w:szCs w:val="24"/>
        </w:rPr>
        <w:br w:type="page"/>
      </w:r>
    </w:p>
    <w:p>
      <w:pPr>
        <w:pStyle w:val="89"/>
      </w:pPr>
      <w:bookmarkStart w:id="255" w:name="_Toc120020407"/>
      <w:bookmarkStart w:id="256" w:name="_Toc120020337"/>
      <w:r>
        <w:t>附录</w:t>
      </w:r>
      <w:r>
        <w:rPr>
          <w:rFonts w:hint="eastAsia"/>
        </w:rPr>
        <w:t>E</w:t>
      </w:r>
      <w:r>
        <w:t xml:space="preserve">  </w:t>
      </w:r>
      <w:r>
        <w:rPr>
          <w:rFonts w:hint="eastAsia"/>
        </w:rPr>
        <w:t>取样</w:t>
      </w:r>
      <w:r>
        <w:t>法检测套筒灌浆料抗压强度</w:t>
      </w:r>
      <w:bookmarkEnd w:id="255"/>
      <w:bookmarkEnd w:id="256"/>
    </w:p>
    <w:p>
      <w:pPr>
        <w:keepNext/>
        <w:keepLines/>
        <w:spacing w:line="360" w:lineRule="auto"/>
        <w:jc w:val="center"/>
        <w:rPr>
          <w:rFonts w:eastAsiaTheme="minorEastAsia"/>
          <w:b/>
          <w:kern w:val="0"/>
          <w:sz w:val="24"/>
          <w:szCs w:val="24"/>
        </w:rPr>
      </w:pPr>
      <w:r>
        <w:rPr>
          <w:rFonts w:hint="eastAsia" w:eastAsiaTheme="minorEastAsia"/>
          <w:b/>
          <w:kern w:val="0"/>
          <w:sz w:val="24"/>
          <w:szCs w:val="24"/>
        </w:rPr>
        <w:t>E</w:t>
      </w:r>
      <w:r>
        <w:rPr>
          <w:rFonts w:eastAsiaTheme="minorEastAsia"/>
          <w:b/>
          <w:kern w:val="0"/>
          <w:sz w:val="24"/>
          <w:szCs w:val="24"/>
        </w:rPr>
        <w:t>.1  一般规定</w:t>
      </w:r>
    </w:p>
    <w:p>
      <w:pPr>
        <w:spacing w:line="360" w:lineRule="auto"/>
        <w:rPr>
          <w:color w:val="000000" w:themeColor="text1"/>
          <w14:textFill>
            <w14:solidFill>
              <w14:schemeClr w14:val="tx1"/>
            </w14:solidFill>
          </w14:textFill>
        </w:rPr>
      </w:pPr>
      <w:r>
        <w:rPr>
          <w:rFonts w:eastAsiaTheme="minorEastAsia"/>
          <w:b/>
          <w:iCs/>
          <w:color w:val="000000" w:themeColor="text1"/>
          <w:sz w:val="24"/>
          <w:szCs w:val="24"/>
          <w14:textFill>
            <w14:solidFill>
              <w14:schemeClr w14:val="tx1"/>
            </w14:solidFill>
          </w14:textFill>
        </w:rPr>
        <w:t xml:space="preserve">E.1.1  </w:t>
      </w:r>
      <w:r>
        <w:rPr>
          <w:color w:val="000000" w:themeColor="text1"/>
          <w:sz w:val="24"/>
          <w14:textFill>
            <w14:solidFill>
              <w14:schemeClr w14:val="tx1"/>
            </w14:solidFill>
          </w14:textFill>
        </w:rPr>
        <w:t>考虑到直径20mm规格的灌浆管和排浆管的内径约为18mm，竖向构件底部接缝设计厚度为20mm，故规定灌浆料圆柱体试件的直径不宜小于17mm。直径太小，离散性更大，确定抗压强度推定值的难度更大。</w:t>
      </w:r>
    </w:p>
    <w:p>
      <w:pPr>
        <w:spacing w:line="360" w:lineRule="auto"/>
        <w:rPr>
          <w:color w:val="000000" w:themeColor="text1"/>
          <w14:textFill>
            <w14:solidFill>
              <w14:schemeClr w14:val="tx1"/>
            </w14:solidFill>
          </w14:textFill>
        </w:rPr>
      </w:pPr>
      <w:r>
        <w:rPr>
          <w:rFonts w:eastAsiaTheme="minorEastAsia"/>
          <w:b/>
          <w:iCs/>
          <w:color w:val="000000" w:themeColor="text1"/>
          <w:sz w:val="24"/>
          <w:szCs w:val="24"/>
          <w14:textFill>
            <w14:solidFill>
              <w14:schemeClr w14:val="tx1"/>
            </w14:solidFill>
          </w14:textFill>
        </w:rPr>
        <w:t xml:space="preserve">E.1.2  </w:t>
      </w:r>
      <w:r>
        <w:rPr>
          <w:color w:val="000000" w:themeColor="text1"/>
          <w:sz w:val="24"/>
          <w14:textFill>
            <w14:solidFill>
              <w14:schemeClr w14:val="tx1"/>
            </w14:solidFill>
          </w14:textFill>
        </w:rPr>
        <w:t>考虑到灌浆料圆柱体试件抗压强度数据的离散性，在做检测批的抗压强度值推定时，建议有效圆柱体试件抗压强度换算值的数量不少于21个。</w:t>
      </w:r>
    </w:p>
    <w:p>
      <w:pPr>
        <w:spacing w:line="360" w:lineRule="auto"/>
        <w:rPr>
          <w:color w:val="000000" w:themeColor="text1"/>
          <w:sz w:val="24"/>
          <w14:textFill>
            <w14:solidFill>
              <w14:schemeClr w14:val="tx1"/>
            </w14:solidFill>
          </w14:textFill>
        </w:rPr>
      </w:pPr>
      <w:r>
        <w:rPr>
          <w:rFonts w:eastAsiaTheme="minorEastAsia"/>
          <w:b/>
          <w:iCs/>
          <w:color w:val="000000" w:themeColor="text1"/>
          <w:sz w:val="24"/>
          <w:szCs w:val="24"/>
          <w14:textFill>
            <w14:solidFill>
              <w14:schemeClr w14:val="tx1"/>
            </w14:solidFill>
          </w14:textFill>
        </w:rPr>
        <w:t xml:space="preserve">E.1.3  </w:t>
      </w:r>
      <w:r>
        <w:rPr>
          <w:color w:val="000000" w:themeColor="text1"/>
          <w:sz w:val="24"/>
          <w14:textFill>
            <w14:solidFill>
              <w14:schemeClr w14:val="tx1"/>
            </w14:solidFill>
          </w14:textFill>
        </w:rPr>
        <w:t>除了记录灌浆料样品所在的构件编号，还应标注是取自排浆管、灌浆管、外接延长管还是底部接缝。由于同一个构件的灌浆管和排浆管比较多，宜画图示意灌浆料样品所在排浆管或灌浆管的位置，为后期的强度推定提供方便。</w:t>
      </w:r>
    </w:p>
    <w:p>
      <w:pPr>
        <w:keepNext/>
        <w:keepLines/>
        <w:spacing w:line="360" w:lineRule="auto"/>
        <w:jc w:val="center"/>
        <w:rPr>
          <w:rFonts w:eastAsiaTheme="minorEastAsia"/>
          <w:b/>
          <w:kern w:val="0"/>
          <w:sz w:val="24"/>
          <w:szCs w:val="24"/>
        </w:rPr>
      </w:pPr>
      <w:r>
        <w:rPr>
          <w:rFonts w:hint="eastAsia" w:eastAsiaTheme="minorEastAsia"/>
          <w:b/>
          <w:kern w:val="0"/>
          <w:sz w:val="24"/>
          <w:szCs w:val="24"/>
        </w:rPr>
        <w:t>E</w:t>
      </w:r>
      <w:r>
        <w:rPr>
          <w:rFonts w:eastAsiaTheme="minorEastAsia"/>
          <w:b/>
          <w:kern w:val="0"/>
          <w:sz w:val="24"/>
          <w:szCs w:val="24"/>
        </w:rPr>
        <w:t>.</w:t>
      </w:r>
      <w:r>
        <w:rPr>
          <w:rFonts w:hint="eastAsia" w:eastAsiaTheme="minorEastAsia"/>
          <w:b/>
          <w:kern w:val="0"/>
          <w:sz w:val="24"/>
          <w:szCs w:val="24"/>
        </w:rPr>
        <w:t>2</w:t>
      </w:r>
      <w:r>
        <w:rPr>
          <w:rFonts w:eastAsiaTheme="minorEastAsia"/>
          <w:b/>
          <w:kern w:val="0"/>
          <w:sz w:val="24"/>
          <w:szCs w:val="24"/>
        </w:rPr>
        <w:t xml:space="preserve">  </w:t>
      </w:r>
      <w:r>
        <w:rPr>
          <w:b/>
          <w:sz w:val="24"/>
          <w:szCs w:val="24"/>
        </w:rPr>
        <w:t>取样与试件加工</w:t>
      </w:r>
    </w:p>
    <w:p>
      <w:pPr>
        <w:spacing w:line="360" w:lineRule="auto"/>
        <w:rPr>
          <w:rFonts w:eastAsiaTheme="minorEastAsia"/>
          <w:b/>
          <w:color w:val="000000" w:themeColor="text1"/>
          <w:sz w:val="24"/>
          <w:szCs w:val="24"/>
          <w14:textFill>
            <w14:solidFill>
              <w14:schemeClr w14:val="tx1"/>
            </w14:solidFill>
          </w14:textFill>
        </w:rPr>
      </w:pPr>
      <w:r>
        <w:rPr>
          <w:rFonts w:eastAsiaTheme="minorEastAsia"/>
          <w:b/>
          <w:iCs/>
          <w:color w:val="000000" w:themeColor="text1"/>
          <w:sz w:val="24"/>
          <w:szCs w:val="24"/>
          <w14:textFill>
            <w14:solidFill>
              <w14:schemeClr w14:val="tx1"/>
            </w14:solidFill>
          </w14:textFill>
        </w:rPr>
        <w:t xml:space="preserve">E.2.1  </w:t>
      </w:r>
      <w:r>
        <w:rPr>
          <w:rFonts w:hint="eastAsia" w:eastAsiaTheme="minorEastAsia"/>
          <w:bCs/>
          <w:iCs/>
          <w:color w:val="000000" w:themeColor="text1"/>
          <w:sz w:val="24"/>
          <w:szCs w:val="24"/>
          <w14:textFill>
            <w14:solidFill>
              <w14:schemeClr w14:val="tx1"/>
            </w14:solidFill>
          </w14:textFill>
        </w:rPr>
        <w:t>当在灌浆工艺中采用饱满度监测器时，可通过外接延长管进行取样，</w:t>
      </w:r>
      <w:r>
        <w:rPr>
          <w:rFonts w:hAnsiTheme="minorEastAsia" w:eastAsiaTheme="minorEastAsia"/>
          <w:color w:val="000000" w:themeColor="text1"/>
          <w:sz w:val="24"/>
          <w:szCs w:val="24"/>
          <w14:textFill>
            <w14:solidFill>
              <w14:schemeClr w14:val="tx1"/>
            </w14:solidFill>
          </w14:textFill>
        </w:rPr>
        <w:t>因取样对象是</w:t>
      </w:r>
      <w:r>
        <w:rPr>
          <w:rFonts w:eastAsiaTheme="minorEastAsia"/>
          <w:color w:val="000000" w:themeColor="text1"/>
          <w:sz w:val="24"/>
          <w:szCs w:val="24"/>
          <w14:textFill>
            <w14:solidFill>
              <w14:schemeClr w14:val="tx1"/>
            </w14:solidFill>
          </w14:textFill>
        </w:rPr>
        <w:t>L</w:t>
      </w:r>
      <w:r>
        <w:rPr>
          <w:rFonts w:hAnsiTheme="minorEastAsia" w:eastAsiaTheme="minorEastAsia"/>
          <w:color w:val="000000" w:themeColor="text1"/>
          <w:sz w:val="24"/>
          <w:szCs w:val="24"/>
          <w14:textFill>
            <w14:solidFill>
              <w14:schemeClr w14:val="tx1"/>
            </w14:solidFill>
          </w14:textFill>
        </w:rPr>
        <w:t>形管的直线段，考虑到微重力补浆后，出浆口的浆液面会有一定的下降，结合工程实践情况，当取</w:t>
      </w:r>
      <w:r>
        <w:rPr>
          <w:rFonts w:eastAsiaTheme="minorEastAsia"/>
          <w:color w:val="000000" w:themeColor="text1"/>
          <w:sz w:val="24"/>
          <w:szCs w:val="24"/>
          <w14:textFill>
            <w14:solidFill>
              <w14:schemeClr w14:val="tx1"/>
            </w14:solidFill>
          </w14:textFill>
        </w:rPr>
        <w:t>L</w:t>
      </w:r>
      <w:r>
        <w:rPr>
          <w:rFonts w:hAnsiTheme="minorEastAsia" w:eastAsiaTheme="minorEastAsia"/>
          <w:color w:val="000000" w:themeColor="text1"/>
          <w:sz w:val="24"/>
          <w:szCs w:val="24"/>
          <w14:textFill>
            <w14:solidFill>
              <w14:schemeClr w14:val="tx1"/>
            </w14:solidFill>
          </w14:textFill>
        </w:rPr>
        <w:t>形管的竖向段时，竖向管直线段长度不宜小于</w:t>
      </w:r>
      <w:r>
        <w:rPr>
          <w:rFonts w:eastAsiaTheme="minorEastAsia"/>
          <w:color w:val="000000" w:themeColor="text1"/>
          <w:sz w:val="24"/>
          <w:szCs w:val="24"/>
          <w14:textFill>
            <w14:solidFill>
              <w14:schemeClr w14:val="tx1"/>
            </w14:solidFill>
          </w14:textFill>
        </w:rPr>
        <w:t>100mm</w:t>
      </w:r>
      <w:r>
        <w:rPr>
          <w:rFonts w:hAnsiTheme="minorEastAsia" w:eastAsiaTheme="minorEastAsia"/>
          <w:color w:val="000000" w:themeColor="text1"/>
          <w:sz w:val="24"/>
          <w:szCs w:val="24"/>
          <w14:textFill>
            <w14:solidFill>
              <w14:schemeClr w14:val="tx1"/>
            </w14:solidFill>
          </w14:textFill>
        </w:rPr>
        <w:t>；因水平管一般均能充满灌浆料，故当取</w:t>
      </w:r>
      <w:r>
        <w:rPr>
          <w:rFonts w:eastAsiaTheme="minorEastAsia"/>
          <w:color w:val="000000" w:themeColor="text1"/>
          <w:sz w:val="24"/>
          <w:szCs w:val="24"/>
          <w14:textFill>
            <w14:solidFill>
              <w14:schemeClr w14:val="tx1"/>
            </w14:solidFill>
          </w14:textFill>
        </w:rPr>
        <w:t>L</w:t>
      </w:r>
      <w:r>
        <w:rPr>
          <w:rFonts w:hAnsiTheme="minorEastAsia" w:eastAsiaTheme="minorEastAsia"/>
          <w:color w:val="000000" w:themeColor="text1"/>
          <w:sz w:val="24"/>
          <w:szCs w:val="24"/>
          <w14:textFill>
            <w14:solidFill>
              <w14:schemeClr w14:val="tx1"/>
            </w14:solidFill>
          </w14:textFill>
        </w:rPr>
        <w:t>形管的水平段时，水平管直线段长度不宜小于</w:t>
      </w:r>
      <w:r>
        <w:rPr>
          <w:rFonts w:eastAsiaTheme="minorEastAsia"/>
          <w:color w:val="000000" w:themeColor="text1"/>
          <w:sz w:val="24"/>
          <w:szCs w:val="24"/>
          <w14:textFill>
            <w14:solidFill>
              <w14:schemeClr w14:val="tx1"/>
            </w14:solidFill>
          </w14:textFill>
        </w:rPr>
        <w:t>50mm</w:t>
      </w:r>
      <w:r>
        <w:rPr>
          <w:rFonts w:hAnsiTheme="minorEastAsia" w:eastAsiaTheme="minorEastAsia"/>
          <w:color w:val="000000" w:themeColor="text1"/>
          <w:sz w:val="24"/>
          <w:szCs w:val="24"/>
          <w14:textFill>
            <w14:solidFill>
              <w14:schemeClr w14:val="tx1"/>
            </w14:solidFill>
          </w14:textFill>
        </w:rPr>
        <w:t>。对于外接延长管，现场用手可以握持，轻轻扭动即可取下内含灌浆料的外接延长管。灌浆料圆柱体样品的缺陷类型包括孔洞、空洞、裂纹等。样品的外观质量和长度是两个重点检查要素，应确保满足后期加工和试验要求。</w:t>
      </w:r>
    </w:p>
    <w:p>
      <w:pPr>
        <w:spacing w:line="360" w:lineRule="auto"/>
        <w:rPr>
          <w:rFonts w:eastAsiaTheme="minorEastAsia"/>
          <w:color w:val="000000" w:themeColor="text1"/>
          <w:sz w:val="24"/>
          <w:szCs w:val="24"/>
          <w14:textFill>
            <w14:solidFill>
              <w14:schemeClr w14:val="tx1"/>
            </w14:solidFill>
          </w14:textFill>
        </w:rPr>
      </w:pPr>
      <w:r>
        <w:rPr>
          <w:rFonts w:eastAsiaTheme="minorEastAsia"/>
          <w:b/>
          <w:iCs/>
          <w:color w:val="000000" w:themeColor="text1"/>
          <w:sz w:val="24"/>
          <w:szCs w:val="24"/>
          <w14:textFill>
            <w14:solidFill>
              <w14:schemeClr w14:val="tx1"/>
            </w14:solidFill>
          </w14:textFill>
        </w:rPr>
        <w:t xml:space="preserve">E.2.2  </w:t>
      </w:r>
      <w:r>
        <w:rPr>
          <w:rFonts w:hAnsiTheme="minorEastAsia" w:eastAsiaTheme="minorEastAsia"/>
          <w:color w:val="000000" w:themeColor="text1"/>
          <w:sz w:val="24"/>
          <w:szCs w:val="24"/>
          <w14:textFill>
            <w14:solidFill>
              <w14:schemeClr w14:val="tx1"/>
            </w14:solidFill>
          </w14:textFill>
        </w:rPr>
        <w:t>沿着灌浆管、排浆管的走向，钻取内含灌浆管、排浆管的混凝土芯样，芯样直径视排浆管和灌浆管的外径而定。原则上，混凝土芯样直径比管外径大</w:t>
      </w:r>
      <w:r>
        <w:rPr>
          <w:rFonts w:eastAsiaTheme="minorEastAsia"/>
          <w:color w:val="000000" w:themeColor="text1"/>
          <w:sz w:val="24"/>
          <w:szCs w:val="24"/>
          <w14:textFill>
            <w14:solidFill>
              <w14:schemeClr w14:val="tx1"/>
            </w14:solidFill>
          </w14:textFill>
        </w:rPr>
        <w:t>10mm</w:t>
      </w:r>
      <w:r>
        <w:rPr>
          <w:rFonts w:hAnsiTheme="minorEastAsia" w:eastAsiaTheme="minorEastAsia"/>
          <w:color w:val="000000" w:themeColor="text1"/>
          <w:sz w:val="24"/>
          <w:szCs w:val="24"/>
          <w14:textFill>
            <w14:solidFill>
              <w14:schemeClr w14:val="tx1"/>
            </w14:solidFill>
          </w14:textFill>
        </w:rPr>
        <w:t>以上即可满足要求；当灌浆管、排浆管走向与架设钻芯机的混凝土面不垂直时，芯样直径应稍大一些才能保证取出符合试验要求的样品。因竖向构件底部接缝设计厚度为</w:t>
      </w:r>
      <w:r>
        <w:rPr>
          <w:rFonts w:eastAsiaTheme="minorEastAsia"/>
          <w:color w:val="000000" w:themeColor="text1"/>
          <w:sz w:val="24"/>
          <w:szCs w:val="24"/>
          <w14:textFill>
            <w14:solidFill>
              <w14:schemeClr w14:val="tx1"/>
            </w14:solidFill>
          </w14:textFill>
        </w:rPr>
        <w:t>20mm</w:t>
      </w:r>
      <w:r>
        <w:rPr>
          <w:rFonts w:hAnsiTheme="minorEastAsia" w:eastAsiaTheme="minorEastAsia"/>
          <w:color w:val="000000" w:themeColor="text1"/>
          <w:sz w:val="24"/>
          <w:szCs w:val="24"/>
          <w14:textFill>
            <w14:solidFill>
              <w14:schemeClr w14:val="tx1"/>
            </w14:solidFill>
          </w14:textFill>
        </w:rPr>
        <w:t>，考虑到能取出符合要求的样品，故将钻头内径设定为不宜大于</w:t>
      </w:r>
      <w:r>
        <w:rPr>
          <w:rFonts w:eastAsiaTheme="minorEastAsia"/>
          <w:color w:val="000000" w:themeColor="text1"/>
          <w:sz w:val="24"/>
          <w:szCs w:val="24"/>
          <w14:textFill>
            <w14:solidFill>
              <w14:schemeClr w14:val="tx1"/>
            </w14:solidFill>
          </w14:textFill>
        </w:rPr>
        <w:t>19mm</w:t>
      </w:r>
      <w:r>
        <w:rPr>
          <w:rFonts w:hAnsiTheme="minorEastAsia" w:eastAsiaTheme="minorEastAsia"/>
          <w:color w:val="000000" w:themeColor="text1"/>
          <w:sz w:val="24"/>
          <w:szCs w:val="24"/>
          <w14:textFill>
            <w14:solidFill>
              <w14:schemeClr w14:val="tx1"/>
            </w14:solidFill>
          </w14:textFill>
        </w:rPr>
        <w:t>；样品直径太小，将对抗压强度试验和推定带来较大难度，故要求样品直径不应小于</w:t>
      </w:r>
      <w:r>
        <w:rPr>
          <w:rFonts w:eastAsiaTheme="minorEastAsia"/>
          <w:color w:val="000000" w:themeColor="text1"/>
          <w:sz w:val="24"/>
          <w:szCs w:val="24"/>
          <w14:textFill>
            <w14:solidFill>
              <w14:schemeClr w14:val="tx1"/>
            </w14:solidFill>
          </w14:textFill>
        </w:rPr>
        <w:t>17mm</w:t>
      </w:r>
      <w:r>
        <w:rPr>
          <w:rFonts w:hAnsiTheme="minorEastAsia" w:eastAsiaTheme="minorEastAsia"/>
          <w:color w:val="000000" w:themeColor="text1"/>
          <w:sz w:val="24"/>
          <w:szCs w:val="24"/>
          <w14:textFill>
            <w14:solidFill>
              <w14:schemeClr w14:val="tx1"/>
            </w14:solidFill>
          </w14:textFill>
        </w:rPr>
        <w:t>。</w:t>
      </w:r>
    </w:p>
    <w:p>
      <w:pPr>
        <w:spacing w:line="360" w:lineRule="auto"/>
        <w:rPr>
          <w:rFonts w:eastAsiaTheme="minorEastAsia"/>
          <w:color w:val="000000" w:themeColor="text1"/>
          <w:sz w:val="24"/>
          <w:szCs w:val="24"/>
          <w14:textFill>
            <w14:solidFill>
              <w14:schemeClr w14:val="tx1"/>
            </w14:solidFill>
          </w14:textFill>
        </w:rPr>
      </w:pPr>
      <w:r>
        <w:rPr>
          <w:rFonts w:eastAsiaTheme="minorEastAsia"/>
          <w:b/>
          <w:iCs/>
          <w:color w:val="000000" w:themeColor="text1"/>
          <w:sz w:val="24"/>
          <w:szCs w:val="24"/>
          <w14:textFill>
            <w14:solidFill>
              <w14:schemeClr w14:val="tx1"/>
            </w14:solidFill>
          </w14:textFill>
        </w:rPr>
        <w:t xml:space="preserve">E.2.3  </w:t>
      </w:r>
      <w:r>
        <w:rPr>
          <w:rFonts w:hAnsiTheme="minorEastAsia" w:eastAsiaTheme="minorEastAsia"/>
          <w:color w:val="000000" w:themeColor="text1"/>
          <w:sz w:val="24"/>
          <w:szCs w:val="24"/>
          <w14:textFill>
            <w14:solidFill>
              <w14:schemeClr w14:val="tx1"/>
            </w14:solidFill>
          </w14:textFill>
        </w:rPr>
        <w:t>灌浆管内浆料饱满，一般均可获得满足试验条件的灌浆料样品；排浆管内有时浆料不饱满，故当能够确定排浆管内浆料饱满时，才能取出满足试验要求的样品；有楼板部位的竖向构件底部接缝，钻芯机无法安装，故只能对无楼板部位进行钻取，不过此部位受条件限制，一般取出理想样品的概率不高，但可以作为一个备选方案。钻芯工作不应损伤构件里的主要受力钢筋，应采用钢筋探测仪检测钻芯部位的钢筋布置情况，要确保芯样周边</w:t>
      </w:r>
      <w:r>
        <w:rPr>
          <w:rFonts w:eastAsiaTheme="minorEastAsia"/>
          <w:color w:val="000000" w:themeColor="text1"/>
          <w:sz w:val="24"/>
          <w:szCs w:val="24"/>
          <w14:textFill>
            <w14:solidFill>
              <w14:schemeClr w14:val="tx1"/>
            </w14:solidFill>
          </w14:textFill>
        </w:rPr>
        <w:t>10mm</w:t>
      </w:r>
      <w:r>
        <w:rPr>
          <w:rFonts w:hAnsiTheme="minorEastAsia" w:eastAsiaTheme="minorEastAsia"/>
          <w:color w:val="000000" w:themeColor="text1"/>
          <w:sz w:val="24"/>
          <w:szCs w:val="24"/>
          <w14:textFill>
            <w14:solidFill>
              <w14:schemeClr w14:val="tx1"/>
            </w14:solidFill>
          </w14:textFill>
        </w:rPr>
        <w:t>左右范围内无钢筋。</w:t>
      </w:r>
    </w:p>
    <w:p>
      <w:pPr>
        <w:pStyle w:val="66"/>
        <w:adjustRightInd w:val="0"/>
        <w:snapToGrid w:val="0"/>
        <w:spacing w:line="360" w:lineRule="auto"/>
        <w:ind w:firstLine="0" w:firstLineChars="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b/>
          <w:iCs/>
          <w:color w:val="000000" w:themeColor="text1"/>
          <w14:textFill>
            <w14:solidFill>
              <w14:schemeClr w14:val="tx1"/>
            </w14:solidFill>
          </w14:textFill>
        </w:rPr>
        <w:t xml:space="preserve">E.2.4  </w:t>
      </w:r>
      <w:r>
        <w:rPr>
          <w:rFonts w:ascii="Times New Roman" w:hAnsiTheme="minorEastAsia" w:eastAsiaTheme="minorEastAsia"/>
          <w:color w:val="000000" w:themeColor="text1"/>
          <w14:textFill>
            <w14:solidFill>
              <w14:schemeClr w14:val="tx1"/>
            </w14:solidFill>
          </w14:textFill>
        </w:rPr>
        <w:t>钻芯机应有固定装置，不能采用手持式钻芯机，若固定不稳，钻芯机容易发生晃动和位移，容易造成卡钻、芯样折断以及灌浆料样品尺寸不符合要求。若先安装钻头后通电，一旦方向相反则主轴与连接头变成退扣旋转，容易把钻头甩掉而造成事故。建议采用切割的方式剔除灌浆料外裹管壁及混凝土，切割时应避免对灌浆料样品造成损伤；底部接缝处的灌浆料圆柱体样品中不应含有封边料、分仓料和混凝土。</w:t>
      </w:r>
      <w:r>
        <w:rPr>
          <w:rFonts w:hAnsiTheme="minorEastAsia" w:eastAsiaTheme="minorEastAsia"/>
          <w:color w:val="000000" w:themeColor="text1"/>
          <w14:textFill>
            <w14:solidFill>
              <w14:schemeClr w14:val="tx1"/>
            </w14:solidFill>
          </w14:textFill>
        </w:rPr>
        <w:t>目前</w:t>
      </w:r>
      <w:r>
        <w:rPr>
          <w:rFonts w:hint="eastAsia" w:hAnsiTheme="minorEastAsia" w:eastAsiaTheme="minorEastAsia"/>
          <w:color w:val="000000" w:themeColor="text1"/>
          <w14:textFill>
            <w14:solidFill>
              <w14:schemeClr w14:val="tx1"/>
            </w14:solidFill>
          </w14:textFill>
        </w:rPr>
        <w:t>，</w:t>
      </w:r>
      <w:r>
        <w:rPr>
          <w:rFonts w:hAnsiTheme="minorEastAsia" w:eastAsiaTheme="minorEastAsia"/>
          <w:color w:val="000000" w:themeColor="text1"/>
          <w14:textFill>
            <w14:solidFill>
              <w14:schemeClr w14:val="tx1"/>
            </w14:solidFill>
          </w14:textFill>
        </w:rPr>
        <w:t>灌浆管和排浆管大体分为软管和硬管两类，在预制构件生产过程中软管有可能变形，造成取出的内部浆料形状不满足要求。</w:t>
      </w:r>
      <w:r>
        <w:rPr>
          <w:rFonts w:ascii="Times New Roman" w:hAnsiTheme="minorEastAsia" w:eastAsiaTheme="minorEastAsia"/>
          <w:color w:val="000000" w:themeColor="text1"/>
          <w14:textFill>
            <w14:solidFill>
              <w14:schemeClr w14:val="tx1"/>
            </w14:solidFill>
          </w14:textFill>
        </w:rPr>
        <w:t>如有设计要求，应按设计要求进行修补；如无特殊要求时，可采用比该构件的混凝土设计强度等级高一等级的微膨胀细石混凝土进行修补，或者采用掺加细石的灌浆料修补。</w:t>
      </w:r>
    </w:p>
    <w:p>
      <w:pPr>
        <w:pStyle w:val="66"/>
        <w:adjustRightInd w:val="0"/>
        <w:snapToGrid w:val="0"/>
        <w:spacing w:line="360" w:lineRule="auto"/>
        <w:ind w:firstLine="0" w:firstLineChars="0"/>
        <w:rPr>
          <w:rFonts w:ascii="Times New Roman" w:hAnsi="Times New Roman" w:eastAsiaTheme="minorEastAsia"/>
          <w:color w:val="000000"/>
        </w:rPr>
      </w:pPr>
      <w:r>
        <w:rPr>
          <w:rFonts w:ascii="Times New Roman" w:hAnsi="Times New Roman" w:eastAsiaTheme="minorEastAsia"/>
          <w:b/>
          <w:iCs/>
          <w:color w:val="000000" w:themeColor="text1"/>
          <w14:textFill>
            <w14:solidFill>
              <w14:schemeClr w14:val="tx1"/>
            </w14:solidFill>
          </w14:textFill>
        </w:rPr>
        <w:t xml:space="preserve">E.2.5  </w:t>
      </w:r>
      <w:r>
        <w:rPr>
          <w:rFonts w:ascii="Times New Roman" w:hAnsiTheme="minorEastAsia" w:eastAsiaTheme="minorEastAsia"/>
          <w:color w:val="000000" w:themeColor="text1"/>
          <w14:textFill>
            <w14:solidFill>
              <w14:schemeClr w14:val="tx1"/>
            </w14:solidFill>
          </w14:textFill>
        </w:rPr>
        <w:t>本条规定了锯切设备的性能。试验研究表明，试件加工质量取决于锯切设备的夹持稳定性以及锯切面与圆柱体轴线的垂直度。采用双刀锯切更有利于保证试件锯切质量，建议采用专用切割设备。灌浆料圆柱体试件的高径比应为</w:t>
      </w:r>
      <w:r>
        <w:rPr>
          <w:rFonts w:ascii="Times New Roman" w:hAnsi="Times New Roman" w:eastAsiaTheme="minorEastAsia"/>
          <w:color w:val="000000" w:themeColor="text1"/>
          <w14:textFill>
            <w14:solidFill>
              <w14:schemeClr w14:val="tx1"/>
            </w14:solidFill>
          </w14:textFill>
        </w:rPr>
        <w:t>1</w:t>
      </w:r>
      <w:r>
        <w:rPr>
          <w:rFonts w:ascii="Times New Roman" w:hAnsiTheme="minorEastAsia" w:eastAsiaTheme="minorEastAsia"/>
          <w:color w:val="000000" w:themeColor="text1"/>
          <w14:textFill>
            <w14:solidFill>
              <w14:schemeClr w14:val="tx1"/>
            </w14:solidFill>
          </w14:textFill>
        </w:rPr>
        <w:t>，考虑到实际加工会存在一定误差，加工完成的灌浆料圆柱体试件实际高径比应为</w:t>
      </w:r>
      <w:r>
        <w:rPr>
          <w:rFonts w:ascii="Times New Roman" w:hAnsi="Times New Roman" w:eastAsiaTheme="minorEastAsia"/>
          <w:color w:val="000000" w:themeColor="text1"/>
          <w14:textFill>
            <w14:solidFill>
              <w14:schemeClr w14:val="tx1"/>
            </w14:solidFill>
          </w14:textFill>
        </w:rPr>
        <w:t>0.95</w:t>
      </w:r>
      <w:r>
        <w:rPr>
          <w:rFonts w:ascii="Times New Roman" w:hAnsiTheme="minorEastAsia"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1.05</w:t>
      </w:r>
      <w:r>
        <w:rPr>
          <w:rFonts w:ascii="Times New Roman" w:hAnsiTheme="minorEastAsia" w:eastAsiaTheme="minorEastAsia"/>
          <w:color w:val="000000" w:themeColor="text1"/>
          <w14:textFill>
            <w14:solidFill>
              <w14:schemeClr w14:val="tx1"/>
            </w14:solidFill>
          </w14:textFill>
        </w:rPr>
        <w:t>。当不符合要求时，不能直接采用本标准</w:t>
      </w:r>
      <w:r>
        <w:rPr>
          <w:rFonts w:hint="eastAsia" w:ascii="Times New Roman" w:hAnsiTheme="minorEastAsia" w:eastAsiaTheme="minorEastAsia"/>
          <w:color w:val="000000" w:themeColor="text1"/>
          <w14:textFill>
            <w14:solidFill>
              <w14:schemeClr w14:val="tx1"/>
            </w14:solidFill>
          </w14:textFill>
        </w:rPr>
        <w:t>提供</w:t>
      </w:r>
      <w:r>
        <w:rPr>
          <w:rFonts w:ascii="Times New Roman" w:hAnsiTheme="minorEastAsia" w:eastAsiaTheme="minorEastAsia"/>
          <w:color w:val="000000" w:themeColor="text1"/>
          <w14:textFill>
            <w14:solidFill>
              <w14:schemeClr w14:val="tx1"/>
            </w14:solidFill>
          </w14:textFill>
        </w:rPr>
        <w:t>的抗压强度换算系数。</w:t>
      </w:r>
    </w:p>
    <w:p>
      <w:pPr>
        <w:spacing w:line="360" w:lineRule="auto"/>
        <w:rPr>
          <w:rFonts w:eastAsiaTheme="minorEastAsia"/>
          <w:color w:val="000000" w:themeColor="text1"/>
          <w:sz w:val="24"/>
          <w:szCs w:val="24"/>
          <w14:textFill>
            <w14:solidFill>
              <w14:schemeClr w14:val="tx1"/>
            </w14:solidFill>
          </w14:textFill>
        </w:rPr>
      </w:pPr>
      <w:r>
        <w:rPr>
          <w:rFonts w:eastAsiaTheme="minorEastAsia"/>
          <w:b/>
          <w:iCs/>
          <w:color w:val="000000" w:themeColor="text1"/>
          <w:sz w:val="24"/>
          <w:szCs w:val="24"/>
          <w14:textFill>
            <w14:solidFill>
              <w14:schemeClr w14:val="tx1"/>
            </w14:solidFill>
          </w14:textFill>
        </w:rPr>
        <w:t xml:space="preserve">E.2.6  </w:t>
      </w:r>
      <w:r>
        <w:rPr>
          <w:rFonts w:hAnsiTheme="minorEastAsia" w:eastAsiaTheme="minorEastAsia"/>
          <w:color w:val="000000" w:themeColor="text1"/>
          <w:sz w:val="24"/>
          <w:szCs w:val="24"/>
          <w14:textFill>
            <w14:solidFill>
              <w14:schemeClr w14:val="tx1"/>
            </w14:solidFill>
          </w14:textFill>
        </w:rPr>
        <w:t>因灌浆料圆柱体试件的截面尺寸和高度均较小，故将直径和高度的测量精度提高到</w:t>
      </w:r>
      <w:r>
        <w:rPr>
          <w:rFonts w:eastAsiaTheme="minorEastAsia"/>
          <w:color w:val="000000" w:themeColor="text1"/>
          <w:sz w:val="24"/>
          <w:szCs w:val="24"/>
          <w14:textFill>
            <w14:solidFill>
              <w14:schemeClr w14:val="tx1"/>
            </w14:solidFill>
          </w14:textFill>
        </w:rPr>
        <w:t>0.02mm</w:t>
      </w:r>
      <w:r>
        <w:rPr>
          <w:rFonts w:hAnsiTheme="minorEastAsia" w:eastAsiaTheme="minorEastAsia"/>
          <w:color w:val="000000" w:themeColor="text1"/>
          <w:sz w:val="24"/>
          <w:szCs w:val="24"/>
          <w14:textFill>
            <w14:solidFill>
              <w14:schemeClr w14:val="tx1"/>
            </w14:solidFill>
          </w14:textFill>
        </w:rPr>
        <w:t>。</w:t>
      </w:r>
    </w:p>
    <w:p>
      <w:pPr>
        <w:pStyle w:val="66"/>
        <w:adjustRightInd w:val="0"/>
        <w:snapToGrid w:val="0"/>
        <w:spacing w:line="360" w:lineRule="auto"/>
        <w:ind w:firstLine="0" w:firstLineChars="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b/>
          <w:iCs/>
          <w:color w:val="000000" w:themeColor="text1"/>
          <w14:textFill>
            <w14:solidFill>
              <w14:schemeClr w14:val="tx1"/>
            </w14:solidFill>
          </w14:textFill>
        </w:rPr>
        <w:t xml:space="preserve">E.2.7  </w:t>
      </w:r>
      <w:r>
        <w:rPr>
          <w:rFonts w:ascii="Times New Roman" w:hAnsiTheme="minorEastAsia" w:eastAsiaTheme="minorEastAsia"/>
          <w:color w:val="000000" w:themeColor="text1"/>
          <w14:textFill>
            <w14:solidFill>
              <w14:schemeClr w14:val="tx1"/>
            </w14:solidFill>
          </w14:textFill>
        </w:rPr>
        <w:t>灌浆料圆柱体试件的外形尺寸公差和质量要求如下：</w:t>
      </w:r>
      <w:r>
        <w:rPr>
          <w:rFonts w:ascii="Times New Roman" w:hAnsi="Times New Roman" w:eastAsiaTheme="minorEastAsia"/>
          <w:color w:val="000000" w:themeColor="text1"/>
          <w14:textFill>
            <w14:solidFill>
              <w14:schemeClr w14:val="tx1"/>
            </w14:solidFill>
          </w14:textFill>
        </w:rPr>
        <w:t xml:space="preserve"> </w:t>
      </w:r>
    </w:p>
    <w:p>
      <w:pPr>
        <w:adjustRightInd w:val="0"/>
        <w:snapToGrid w:val="0"/>
        <w:spacing w:line="360" w:lineRule="auto"/>
        <w:ind w:firstLine="481" w:firstLineChars="200"/>
        <w:rPr>
          <w:rFonts w:eastAsiaTheme="minorEastAsia"/>
          <w:color w:val="000000" w:themeColor="text1"/>
          <w:sz w:val="24"/>
          <w:szCs w:val="24"/>
          <w14:textFill>
            <w14:solidFill>
              <w14:schemeClr w14:val="tx1"/>
            </w14:solidFill>
          </w14:textFill>
        </w:rPr>
      </w:pPr>
      <w:r>
        <w:rPr>
          <w:rFonts w:hAnsiTheme="minorEastAsia" w:eastAsiaTheme="minorEastAsia"/>
          <w:b/>
          <w:bCs/>
          <w:color w:val="000000" w:themeColor="text1"/>
          <w:sz w:val="24"/>
          <w:szCs w:val="24"/>
          <w14:textFill>
            <w14:solidFill>
              <w14:schemeClr w14:val="tx1"/>
            </w14:solidFill>
          </w14:textFill>
        </w:rPr>
        <w:t>（</w:t>
      </w:r>
      <w:r>
        <w:rPr>
          <w:rFonts w:eastAsiaTheme="minorEastAsia"/>
          <w:b/>
          <w:bCs/>
          <w:color w:val="000000" w:themeColor="text1"/>
          <w:sz w:val="24"/>
          <w:szCs w:val="24"/>
          <w14:textFill>
            <w14:solidFill>
              <w14:schemeClr w14:val="tx1"/>
            </w14:solidFill>
          </w14:textFill>
        </w:rPr>
        <w:t>1</w:t>
      </w:r>
      <w:r>
        <w:rPr>
          <w:rFonts w:hAnsiTheme="minorEastAsia" w:eastAsiaTheme="minorEastAsia"/>
          <w:b/>
          <w:bCs/>
          <w:color w:val="000000" w:themeColor="text1"/>
          <w:sz w:val="24"/>
          <w:szCs w:val="24"/>
          <w14:textFill>
            <w14:solidFill>
              <w14:schemeClr w14:val="tx1"/>
            </w14:solidFill>
          </w14:textFill>
        </w:rPr>
        <w:t>）</w:t>
      </w:r>
      <w:r>
        <w:rPr>
          <w:rFonts w:hAnsiTheme="minorEastAsia" w:eastAsiaTheme="minorEastAsia"/>
          <w:color w:val="000000" w:themeColor="text1"/>
          <w:sz w:val="24"/>
          <w:szCs w:val="24"/>
          <w14:textFill>
            <w14:solidFill>
              <w14:schemeClr w14:val="tx1"/>
            </w14:solidFill>
          </w14:textFill>
        </w:rPr>
        <w:t>参照《混凝土物理力学性能试验方法标准》</w:t>
      </w:r>
      <w:r>
        <w:rPr>
          <w:rFonts w:eastAsiaTheme="minorEastAsia"/>
          <w:color w:val="000000" w:themeColor="text1"/>
          <w:sz w:val="24"/>
          <w:szCs w:val="24"/>
          <w14:textFill>
            <w14:solidFill>
              <w14:schemeClr w14:val="tx1"/>
            </w14:solidFill>
          </w14:textFill>
        </w:rPr>
        <w:t>GB/T 50081-2019</w:t>
      </w:r>
      <w:r>
        <w:rPr>
          <w:rFonts w:hAnsiTheme="minorEastAsia" w:eastAsiaTheme="minorEastAsia"/>
          <w:color w:val="000000" w:themeColor="text1"/>
          <w:sz w:val="24"/>
          <w:szCs w:val="24"/>
          <w14:textFill>
            <w14:solidFill>
              <w14:schemeClr w14:val="tx1"/>
            </w14:solidFill>
          </w14:textFill>
        </w:rPr>
        <w:t>中第</w:t>
      </w:r>
      <w:r>
        <w:rPr>
          <w:rFonts w:eastAsiaTheme="minorEastAsia"/>
          <w:color w:val="000000" w:themeColor="text1"/>
          <w:sz w:val="24"/>
          <w:szCs w:val="24"/>
          <w14:textFill>
            <w14:solidFill>
              <w14:schemeClr w14:val="tx1"/>
            </w14:solidFill>
          </w14:textFill>
        </w:rPr>
        <w:t>3.3.4</w:t>
      </w:r>
      <w:r>
        <w:rPr>
          <w:rFonts w:hAnsiTheme="minorEastAsia" w:eastAsiaTheme="minorEastAsia"/>
          <w:color w:val="000000" w:themeColor="text1"/>
          <w:sz w:val="24"/>
          <w:szCs w:val="24"/>
          <w14:textFill>
            <w14:solidFill>
              <w14:schemeClr w14:val="tx1"/>
            </w14:solidFill>
          </w14:textFill>
        </w:rPr>
        <w:t>条，试件相邻面间的夹角应为</w:t>
      </w:r>
      <w:r>
        <w:rPr>
          <w:rFonts w:eastAsiaTheme="minorEastAsia"/>
          <w:color w:val="000000" w:themeColor="text1"/>
          <w:sz w:val="24"/>
          <w:szCs w:val="24"/>
          <w14:textFill>
            <w14:solidFill>
              <w14:schemeClr w14:val="tx1"/>
            </w14:solidFill>
          </w14:textFill>
        </w:rPr>
        <w:t>90°</w:t>
      </w:r>
      <w:r>
        <w:rPr>
          <w:rFonts w:hAnsiTheme="minorEastAsia" w:eastAsiaTheme="minorEastAsia"/>
          <w:color w:val="000000" w:themeColor="text1"/>
          <w:sz w:val="24"/>
          <w:szCs w:val="24"/>
          <w14:textFill>
            <w14:solidFill>
              <w14:schemeClr w14:val="tx1"/>
            </w14:solidFill>
          </w14:textFill>
        </w:rPr>
        <w:t>，其公差不得超过</w:t>
      </w:r>
      <w:r>
        <w:rPr>
          <w:rFonts w:eastAsiaTheme="minorEastAsia"/>
          <w:color w:val="000000" w:themeColor="text1"/>
          <w:sz w:val="24"/>
          <w:szCs w:val="24"/>
          <w14:textFill>
            <w14:solidFill>
              <w14:schemeClr w14:val="tx1"/>
            </w14:solidFill>
          </w14:textFill>
        </w:rPr>
        <w:t>0.5°</w:t>
      </w:r>
      <w:r>
        <w:rPr>
          <w:rFonts w:hAnsiTheme="minorEastAsia" w:eastAsiaTheme="minorEastAsia"/>
          <w:color w:val="000000" w:themeColor="text1"/>
          <w:sz w:val="24"/>
          <w:szCs w:val="24"/>
          <w14:textFill>
            <w14:solidFill>
              <w14:schemeClr w14:val="tx1"/>
            </w14:solidFill>
          </w14:textFill>
        </w:rPr>
        <w:t>。考虑到圆柱体试件对于垂直度偏差更敏感，故将公差提高到</w:t>
      </w:r>
      <w:r>
        <w:rPr>
          <w:rFonts w:eastAsiaTheme="minorEastAsia"/>
          <w:color w:val="000000" w:themeColor="text1"/>
          <w:sz w:val="24"/>
          <w:szCs w:val="24"/>
          <w14:textFill>
            <w14:solidFill>
              <w14:schemeClr w14:val="tx1"/>
            </w14:solidFill>
          </w14:textFill>
        </w:rPr>
        <w:t>20’</w:t>
      </w:r>
      <w:r>
        <w:rPr>
          <w:rFonts w:hAnsiTheme="minorEastAsia" w:eastAsiaTheme="minorEastAsia"/>
          <w:color w:val="000000" w:themeColor="text1"/>
          <w:sz w:val="24"/>
          <w:szCs w:val="24"/>
          <w14:textFill>
            <w14:solidFill>
              <w14:schemeClr w14:val="tx1"/>
            </w14:solidFill>
          </w14:textFill>
        </w:rPr>
        <w:t>。</w:t>
      </w:r>
    </w:p>
    <w:p>
      <w:pPr>
        <w:adjustRightInd w:val="0"/>
        <w:snapToGrid w:val="0"/>
        <w:spacing w:line="360" w:lineRule="auto"/>
        <w:ind w:firstLine="481" w:firstLineChars="200"/>
        <w:rPr>
          <w:rFonts w:eastAsiaTheme="minorEastAsia"/>
          <w:color w:val="000000" w:themeColor="text1"/>
          <w:sz w:val="24"/>
          <w:szCs w:val="24"/>
          <w14:textFill>
            <w14:solidFill>
              <w14:schemeClr w14:val="tx1"/>
            </w14:solidFill>
          </w14:textFill>
        </w:rPr>
      </w:pPr>
      <w:r>
        <w:rPr>
          <w:rFonts w:hAnsiTheme="minorEastAsia" w:eastAsiaTheme="minorEastAsia"/>
          <w:b/>
          <w:bCs/>
          <w:color w:val="000000" w:themeColor="text1"/>
          <w:sz w:val="24"/>
          <w:szCs w:val="24"/>
          <w14:textFill>
            <w14:solidFill>
              <w14:schemeClr w14:val="tx1"/>
            </w14:solidFill>
          </w14:textFill>
        </w:rPr>
        <w:t>（</w:t>
      </w:r>
      <w:r>
        <w:rPr>
          <w:rFonts w:eastAsiaTheme="minorEastAsia"/>
          <w:b/>
          <w:bCs/>
          <w:color w:val="000000" w:themeColor="text1"/>
          <w:sz w:val="24"/>
          <w:szCs w:val="24"/>
          <w14:textFill>
            <w14:solidFill>
              <w14:schemeClr w14:val="tx1"/>
            </w14:solidFill>
          </w14:textFill>
        </w:rPr>
        <w:t>2</w:t>
      </w:r>
      <w:r>
        <w:rPr>
          <w:rFonts w:hAnsiTheme="minorEastAsia" w:eastAsiaTheme="minorEastAsia"/>
          <w:b/>
          <w:bCs/>
          <w:color w:val="000000" w:themeColor="text1"/>
          <w:sz w:val="24"/>
          <w:szCs w:val="24"/>
          <w14:textFill>
            <w14:solidFill>
              <w14:schemeClr w14:val="tx1"/>
            </w14:solidFill>
          </w14:textFill>
        </w:rPr>
        <w:t>）</w:t>
      </w:r>
      <w:r>
        <w:rPr>
          <w:rFonts w:hAnsiTheme="minorEastAsia" w:eastAsiaTheme="minorEastAsia"/>
          <w:color w:val="000000" w:themeColor="text1"/>
          <w:sz w:val="24"/>
          <w:szCs w:val="24"/>
          <w14:textFill>
            <w14:solidFill>
              <w14:schemeClr w14:val="tx1"/>
            </w14:solidFill>
          </w14:textFill>
        </w:rPr>
        <w:t>参照《混凝土物理力学性能试验方法标准》</w:t>
      </w:r>
      <w:r>
        <w:rPr>
          <w:rFonts w:eastAsiaTheme="minorEastAsia"/>
          <w:color w:val="000000" w:themeColor="text1"/>
          <w:sz w:val="24"/>
          <w:szCs w:val="24"/>
          <w14:textFill>
            <w14:solidFill>
              <w14:schemeClr w14:val="tx1"/>
            </w14:solidFill>
          </w14:textFill>
        </w:rPr>
        <w:t>GB/T 50081-2019</w:t>
      </w:r>
      <w:r>
        <w:rPr>
          <w:rFonts w:hAnsiTheme="minorEastAsia" w:eastAsiaTheme="minorEastAsia"/>
          <w:color w:val="000000" w:themeColor="text1"/>
          <w:sz w:val="24"/>
          <w:szCs w:val="24"/>
          <w14:textFill>
            <w14:solidFill>
              <w14:schemeClr w14:val="tx1"/>
            </w14:solidFill>
          </w14:textFill>
        </w:rPr>
        <w:t>中第</w:t>
      </w:r>
      <w:r>
        <w:rPr>
          <w:rFonts w:eastAsiaTheme="minorEastAsia"/>
          <w:color w:val="000000" w:themeColor="text1"/>
          <w:sz w:val="24"/>
          <w:szCs w:val="24"/>
          <w14:textFill>
            <w14:solidFill>
              <w14:schemeClr w14:val="tx1"/>
            </w14:solidFill>
          </w14:textFill>
        </w:rPr>
        <w:t>3.3.3</w:t>
      </w:r>
      <w:r>
        <w:rPr>
          <w:rFonts w:hAnsiTheme="minorEastAsia" w:eastAsiaTheme="minorEastAsia"/>
          <w:color w:val="000000" w:themeColor="text1"/>
          <w:sz w:val="24"/>
          <w:szCs w:val="24"/>
          <w14:textFill>
            <w14:solidFill>
              <w14:schemeClr w14:val="tx1"/>
            </w14:solidFill>
          </w14:textFill>
        </w:rPr>
        <w:t>条，试件承压面的平面度公差不得超过</w:t>
      </w:r>
      <w:r>
        <w:rPr>
          <w:rFonts w:eastAsiaTheme="minorEastAsia"/>
          <w:color w:val="000000" w:themeColor="text1"/>
          <w:sz w:val="24"/>
          <w:szCs w:val="24"/>
          <w14:textFill>
            <w14:solidFill>
              <w14:schemeClr w14:val="tx1"/>
            </w14:solidFill>
          </w14:textFill>
        </w:rPr>
        <w:t>0.0005d</w:t>
      </w:r>
      <w:r>
        <w:rPr>
          <w:rFonts w:hAnsiTheme="minorEastAsia" w:eastAsiaTheme="minorEastAsia"/>
          <w:color w:val="000000" w:themeColor="text1"/>
          <w:sz w:val="24"/>
          <w:szCs w:val="24"/>
          <w14:textFill>
            <w14:solidFill>
              <w14:schemeClr w14:val="tx1"/>
            </w14:solidFill>
          </w14:textFill>
        </w:rPr>
        <w:t>（</w:t>
      </w:r>
      <w:r>
        <w:rPr>
          <w:rFonts w:eastAsiaTheme="minorEastAsia"/>
          <w:color w:val="000000" w:themeColor="text1"/>
          <w:sz w:val="24"/>
          <w:szCs w:val="24"/>
          <w14:textFill>
            <w14:solidFill>
              <w14:schemeClr w14:val="tx1"/>
            </w14:solidFill>
          </w14:textFill>
        </w:rPr>
        <w:t>d</w:t>
      </w:r>
      <w:r>
        <w:rPr>
          <w:rFonts w:hAnsiTheme="minorEastAsia" w:eastAsiaTheme="minorEastAsia"/>
          <w:color w:val="000000" w:themeColor="text1"/>
          <w:sz w:val="24"/>
          <w:szCs w:val="24"/>
          <w14:textFill>
            <w14:solidFill>
              <w14:schemeClr w14:val="tx1"/>
            </w14:solidFill>
          </w14:textFill>
        </w:rPr>
        <w:t>为边长），圆柱体试件直径约</w:t>
      </w:r>
      <w:r>
        <w:rPr>
          <w:rFonts w:eastAsiaTheme="minorEastAsia"/>
          <w:color w:val="000000" w:themeColor="text1"/>
          <w:sz w:val="24"/>
          <w:szCs w:val="24"/>
          <w14:textFill>
            <w14:solidFill>
              <w14:schemeClr w14:val="tx1"/>
            </w14:solidFill>
          </w14:textFill>
        </w:rPr>
        <w:t>20mm</w:t>
      </w:r>
      <w:r>
        <w:rPr>
          <w:rFonts w:hAnsiTheme="minorEastAsia" w:eastAsiaTheme="minorEastAsia"/>
          <w:color w:val="000000" w:themeColor="text1"/>
          <w:sz w:val="24"/>
          <w:szCs w:val="24"/>
          <w14:textFill>
            <w14:solidFill>
              <w14:schemeClr w14:val="tx1"/>
            </w14:solidFill>
          </w14:textFill>
        </w:rPr>
        <w:t>，考虑到仪器测量的可行性，故平面度公差统一取不应超过</w:t>
      </w:r>
      <w:r>
        <w:rPr>
          <w:rFonts w:eastAsiaTheme="minorEastAsia"/>
          <w:color w:val="000000" w:themeColor="text1"/>
          <w:sz w:val="24"/>
          <w:szCs w:val="24"/>
          <w14:textFill>
            <w14:solidFill>
              <w14:schemeClr w14:val="tx1"/>
            </w14:solidFill>
          </w14:textFill>
        </w:rPr>
        <w:t>0.02mm</w:t>
      </w:r>
      <w:r>
        <w:rPr>
          <w:rFonts w:hAnsiTheme="minorEastAsia" w:eastAsiaTheme="minorEastAsia"/>
          <w:b/>
          <w:bCs/>
          <w:i/>
          <w:iCs/>
          <w:color w:val="000000" w:themeColor="text1"/>
          <w:sz w:val="24"/>
          <w:szCs w:val="24"/>
          <w14:textFill>
            <w14:solidFill>
              <w14:schemeClr w14:val="tx1"/>
            </w14:solidFill>
          </w14:textFill>
        </w:rPr>
        <w:t>。</w:t>
      </w:r>
    </w:p>
    <w:p>
      <w:pPr>
        <w:adjustRightInd w:val="0"/>
        <w:snapToGrid w:val="0"/>
        <w:spacing w:line="360" w:lineRule="auto"/>
        <w:ind w:firstLine="481" w:firstLineChars="200"/>
        <w:rPr>
          <w:rFonts w:eastAsiaTheme="minorEastAsia"/>
          <w:color w:val="000000" w:themeColor="text1"/>
          <w:sz w:val="24"/>
          <w:szCs w:val="24"/>
          <w14:textFill>
            <w14:solidFill>
              <w14:schemeClr w14:val="tx1"/>
            </w14:solidFill>
          </w14:textFill>
        </w:rPr>
      </w:pPr>
      <w:r>
        <w:rPr>
          <w:rFonts w:hAnsiTheme="minorEastAsia" w:eastAsiaTheme="minorEastAsia"/>
          <w:b/>
          <w:bCs/>
          <w:color w:val="000000" w:themeColor="text1"/>
          <w:sz w:val="24"/>
          <w:szCs w:val="24"/>
          <w14:textFill>
            <w14:solidFill>
              <w14:schemeClr w14:val="tx1"/>
            </w14:solidFill>
          </w14:textFill>
        </w:rPr>
        <w:t>（</w:t>
      </w:r>
      <w:r>
        <w:rPr>
          <w:rFonts w:eastAsiaTheme="minorEastAsia"/>
          <w:b/>
          <w:bCs/>
          <w:color w:val="000000" w:themeColor="text1"/>
          <w:sz w:val="24"/>
          <w:szCs w:val="24"/>
          <w14:textFill>
            <w14:solidFill>
              <w14:schemeClr w14:val="tx1"/>
            </w14:solidFill>
          </w14:textFill>
        </w:rPr>
        <w:t>3</w:t>
      </w:r>
      <w:r>
        <w:rPr>
          <w:rFonts w:hAnsiTheme="minorEastAsia" w:eastAsiaTheme="minorEastAsia"/>
          <w:b/>
          <w:bCs/>
          <w:color w:val="000000" w:themeColor="text1"/>
          <w:sz w:val="24"/>
          <w:szCs w:val="24"/>
          <w14:textFill>
            <w14:solidFill>
              <w14:schemeClr w14:val="tx1"/>
            </w14:solidFill>
          </w14:textFill>
        </w:rPr>
        <w:t>）</w:t>
      </w:r>
      <w:r>
        <w:rPr>
          <w:rFonts w:hAnsiTheme="minorEastAsia" w:eastAsiaTheme="minorEastAsia"/>
          <w:color w:val="000000" w:themeColor="text1"/>
          <w:sz w:val="24"/>
          <w:szCs w:val="24"/>
          <w14:textFill>
            <w14:solidFill>
              <w14:schemeClr w14:val="tx1"/>
            </w14:solidFill>
          </w14:textFill>
        </w:rPr>
        <w:t>对试件质量提出具体要求，目的是为了减小测试偏差和样本的标准差。圆柱体试件缺陷包括肉眼可见的裂纹，或累计截面面积超过试件横截面面积</w:t>
      </w:r>
      <w:r>
        <w:rPr>
          <w:rFonts w:eastAsiaTheme="minorEastAsia"/>
          <w:color w:val="000000" w:themeColor="text1"/>
          <w:sz w:val="24"/>
          <w:szCs w:val="24"/>
          <w14:textFill>
            <w14:solidFill>
              <w14:schemeClr w14:val="tx1"/>
            </w14:solidFill>
          </w14:textFill>
        </w:rPr>
        <w:t>5%</w:t>
      </w:r>
      <w:r>
        <w:rPr>
          <w:rFonts w:hAnsiTheme="minorEastAsia" w:eastAsiaTheme="minorEastAsia"/>
          <w:color w:val="000000" w:themeColor="text1"/>
          <w:sz w:val="24"/>
          <w:szCs w:val="24"/>
          <w14:textFill>
            <w14:solidFill>
              <w14:schemeClr w14:val="tx1"/>
            </w14:solidFill>
          </w14:textFill>
        </w:rPr>
        <w:t>的气孔或空洞。</w:t>
      </w:r>
    </w:p>
    <w:p>
      <w:pPr>
        <w:keepNext/>
        <w:keepLines/>
        <w:spacing w:line="360" w:lineRule="auto"/>
        <w:jc w:val="center"/>
        <w:rPr>
          <w:rFonts w:eastAsiaTheme="minorEastAsia"/>
          <w:b/>
          <w:kern w:val="0"/>
          <w:sz w:val="24"/>
          <w:szCs w:val="24"/>
        </w:rPr>
      </w:pPr>
      <w:r>
        <w:rPr>
          <w:rFonts w:hint="eastAsia" w:eastAsiaTheme="minorEastAsia"/>
          <w:b/>
          <w:kern w:val="0"/>
          <w:sz w:val="24"/>
          <w:szCs w:val="24"/>
        </w:rPr>
        <w:t>E</w:t>
      </w:r>
      <w:r>
        <w:rPr>
          <w:rFonts w:eastAsiaTheme="minorEastAsia"/>
          <w:b/>
          <w:kern w:val="0"/>
          <w:sz w:val="24"/>
          <w:szCs w:val="24"/>
        </w:rPr>
        <w:t>.</w:t>
      </w:r>
      <w:r>
        <w:rPr>
          <w:rFonts w:hint="eastAsia" w:eastAsiaTheme="minorEastAsia"/>
          <w:b/>
          <w:kern w:val="0"/>
          <w:sz w:val="24"/>
          <w:szCs w:val="24"/>
        </w:rPr>
        <w:t>3</w:t>
      </w:r>
      <w:r>
        <w:rPr>
          <w:rFonts w:eastAsiaTheme="minorEastAsia"/>
          <w:b/>
          <w:kern w:val="0"/>
          <w:sz w:val="24"/>
          <w:szCs w:val="24"/>
        </w:rPr>
        <w:t xml:space="preserve">  </w:t>
      </w:r>
      <w:r>
        <w:rPr>
          <w:b/>
          <w:sz w:val="24"/>
          <w:szCs w:val="24"/>
        </w:rPr>
        <w:t>试验与抗压强度推定</w:t>
      </w:r>
    </w:p>
    <w:p>
      <w:pPr>
        <w:adjustRightInd w:val="0"/>
        <w:snapToGrid w:val="0"/>
        <w:spacing w:line="360" w:lineRule="auto"/>
        <w:rPr>
          <w:rFonts w:eastAsiaTheme="minorEastAsia"/>
          <w:b/>
          <w:bCs/>
          <w:color w:val="000000" w:themeColor="text1"/>
          <w14:textFill>
            <w14:solidFill>
              <w14:schemeClr w14:val="tx1"/>
            </w14:solidFill>
          </w14:textFill>
        </w:rPr>
      </w:pPr>
      <w:r>
        <w:rPr>
          <w:rFonts w:eastAsiaTheme="minorEastAsia"/>
          <w:b/>
          <w:iCs/>
          <w:color w:val="000000" w:themeColor="text1"/>
          <w:sz w:val="24"/>
          <w:szCs w:val="24"/>
          <w14:textFill>
            <w14:solidFill>
              <w14:schemeClr w14:val="tx1"/>
            </w14:solidFill>
          </w14:textFill>
        </w:rPr>
        <w:t xml:space="preserve">E.3.5  </w:t>
      </w:r>
      <w:r>
        <w:rPr>
          <w:rFonts w:hAnsiTheme="minorEastAsia" w:eastAsiaTheme="minorEastAsia"/>
          <w:color w:val="000000" w:themeColor="text1"/>
          <w:sz w:val="24"/>
          <w14:textFill>
            <w14:solidFill>
              <w14:schemeClr w14:val="tx1"/>
            </w14:solidFill>
          </w14:textFill>
        </w:rPr>
        <w:t>标准编制组选取了</w:t>
      </w:r>
      <w:r>
        <w:rPr>
          <w:rFonts w:eastAsiaTheme="minorEastAsia"/>
          <w:color w:val="000000" w:themeColor="text1"/>
          <w:sz w:val="24"/>
          <w14:textFill>
            <w14:solidFill>
              <w14:schemeClr w14:val="tx1"/>
            </w14:solidFill>
          </w14:textFill>
        </w:rPr>
        <w:t>14</w:t>
      </w:r>
      <w:r>
        <w:rPr>
          <w:rFonts w:hAnsiTheme="minorEastAsia" w:eastAsiaTheme="minorEastAsia"/>
          <w:color w:val="000000" w:themeColor="text1"/>
          <w:sz w:val="24"/>
          <w14:textFill>
            <w14:solidFill>
              <w14:schemeClr w14:val="tx1"/>
            </w14:solidFill>
          </w14:textFill>
        </w:rPr>
        <w:t>个品牌的灌浆料，开展了棱柱体试件（</w:t>
      </w:r>
      <w:r>
        <w:rPr>
          <w:rFonts w:eastAsiaTheme="minorEastAsia"/>
          <w:color w:val="000000" w:themeColor="text1"/>
          <w:sz w:val="24"/>
          <w14:textFill>
            <w14:solidFill>
              <w14:schemeClr w14:val="tx1"/>
            </w14:solidFill>
          </w14:textFill>
        </w:rPr>
        <w:t>40mm×40mm×160mm</w:t>
      </w:r>
      <w:r>
        <w:rPr>
          <w:rFonts w:hAnsiTheme="minorEastAsia" w:eastAsiaTheme="minorEastAsia"/>
          <w:color w:val="000000" w:themeColor="text1"/>
          <w:sz w:val="24"/>
          <w14:textFill>
            <w14:solidFill>
              <w14:schemeClr w14:val="tx1"/>
            </w14:solidFill>
          </w14:textFill>
        </w:rPr>
        <w:t>）和圆柱体试件（直径</w:t>
      </w:r>
      <w:r>
        <w:rPr>
          <w:rFonts w:eastAsiaTheme="minorEastAsia"/>
          <w:color w:val="000000" w:themeColor="text1"/>
          <w:sz w:val="24"/>
          <w14:textFill>
            <w14:solidFill>
              <w14:schemeClr w14:val="tx1"/>
            </w14:solidFill>
          </w14:textFill>
        </w:rPr>
        <w:t>18mm</w:t>
      </w:r>
      <w:r>
        <w:rPr>
          <w:rFonts w:hAnsiTheme="minorEastAsia" w:eastAsiaTheme="minorEastAsia"/>
          <w:color w:val="000000" w:themeColor="text1"/>
          <w:sz w:val="24"/>
          <w14:textFill>
            <w14:solidFill>
              <w14:schemeClr w14:val="tx1"/>
            </w14:solidFill>
          </w14:textFill>
        </w:rPr>
        <w:t>左右）的抗压强度换算关系试验研究。结果表明，换算系数</w:t>
      </w:r>
      <w:r>
        <w:rPr>
          <w:rFonts w:eastAsiaTheme="minorEastAsia"/>
          <w:color w:val="000000" w:themeColor="text1"/>
          <w:sz w:val="24"/>
          <w14:textFill>
            <w14:solidFill>
              <w14:schemeClr w14:val="tx1"/>
            </w14:solidFill>
          </w14:textFill>
        </w:rPr>
        <w:object>
          <v:shape id="_x0000_i1159" o:spt="75" type="#_x0000_t75" style="height:17.3pt;width:15pt;" o:ole="t" filled="f" o:preferrelative="t" stroked="f" coordsize="21600,21600">
            <v:path/>
            <v:fill on="f" focussize="0,0"/>
            <v:stroke on="f" joinstyle="miter"/>
            <v:imagedata r:id="rId268" o:title=""/>
            <o:lock v:ext="edit" aspectratio="t"/>
            <w10:wrap type="none"/>
            <w10:anchorlock/>
          </v:shape>
          <o:OLEObject Type="Embed" ProgID="Equation.DSMT4" ShapeID="_x0000_i1159" DrawAspect="Content" ObjectID="_1468075859" r:id="rId267">
            <o:LockedField>false</o:LockedField>
          </o:OLEObject>
        </w:object>
      </w:r>
      <w:r>
        <w:rPr>
          <w:rFonts w:hAnsiTheme="minorEastAsia" w:eastAsiaTheme="minorEastAsia"/>
          <w:color w:val="000000" w:themeColor="text1"/>
          <w:sz w:val="24"/>
          <w14:textFill>
            <w14:solidFill>
              <w14:schemeClr w14:val="tx1"/>
            </w14:solidFill>
          </w14:textFill>
        </w:rPr>
        <w:t>总体上在</w:t>
      </w:r>
      <w:r>
        <w:rPr>
          <w:rFonts w:eastAsiaTheme="minorEastAsia"/>
          <w:color w:val="000000" w:themeColor="text1"/>
          <w:sz w:val="24"/>
          <w14:textFill>
            <w14:solidFill>
              <w14:schemeClr w14:val="tx1"/>
            </w14:solidFill>
          </w14:textFill>
        </w:rPr>
        <w:t>1.15</w:t>
      </w:r>
      <w:r>
        <w:rPr>
          <w:rFonts w:hAnsiTheme="minorEastAsia" w:eastAsiaTheme="minorEastAsia"/>
          <w:color w:val="000000" w:themeColor="text1"/>
          <w:sz w:val="24"/>
          <w14:textFill>
            <w14:solidFill>
              <w14:schemeClr w14:val="tx1"/>
            </w14:solidFill>
          </w14:textFill>
        </w:rPr>
        <w:t>～</w:t>
      </w:r>
      <w:r>
        <w:rPr>
          <w:rFonts w:eastAsiaTheme="minorEastAsia"/>
          <w:color w:val="000000" w:themeColor="text1"/>
          <w:sz w:val="24"/>
          <w14:textFill>
            <w14:solidFill>
              <w14:schemeClr w14:val="tx1"/>
            </w14:solidFill>
          </w14:textFill>
        </w:rPr>
        <w:t>1.20</w:t>
      </w:r>
      <w:r>
        <w:rPr>
          <w:rFonts w:hAnsiTheme="minorEastAsia" w:eastAsiaTheme="minorEastAsia"/>
          <w:color w:val="000000" w:themeColor="text1"/>
          <w:sz w:val="24"/>
          <w14:textFill>
            <w14:solidFill>
              <w14:schemeClr w14:val="tx1"/>
            </w14:solidFill>
          </w14:textFill>
        </w:rPr>
        <w:t>之间；圆柱体试件抗压强度值的变异系数主要在</w:t>
      </w:r>
      <w:r>
        <w:rPr>
          <w:rFonts w:eastAsiaTheme="minorEastAsia"/>
          <w:color w:val="000000" w:themeColor="text1"/>
          <w:sz w:val="24"/>
          <w14:textFill>
            <w14:solidFill>
              <w14:schemeClr w14:val="tx1"/>
            </w14:solidFill>
          </w14:textFill>
        </w:rPr>
        <w:t>0.10</w:t>
      </w:r>
      <w:r>
        <w:rPr>
          <w:rFonts w:hAnsiTheme="minorEastAsia" w:eastAsiaTheme="minorEastAsia"/>
          <w:color w:val="000000" w:themeColor="text1"/>
          <w:sz w:val="24"/>
          <w14:textFill>
            <w14:solidFill>
              <w14:schemeClr w14:val="tx1"/>
            </w14:solidFill>
          </w14:textFill>
        </w:rPr>
        <w:t>～</w:t>
      </w:r>
      <w:r>
        <w:rPr>
          <w:rFonts w:eastAsiaTheme="minorEastAsia"/>
          <w:color w:val="000000" w:themeColor="text1"/>
          <w:sz w:val="24"/>
          <w14:textFill>
            <w14:solidFill>
              <w14:schemeClr w14:val="tx1"/>
            </w14:solidFill>
          </w14:textFill>
        </w:rPr>
        <w:t>0.20</w:t>
      </w:r>
      <w:r>
        <w:rPr>
          <w:rFonts w:hAnsiTheme="minorEastAsia" w:eastAsiaTheme="minorEastAsia"/>
          <w:color w:val="000000" w:themeColor="text1"/>
          <w:sz w:val="24"/>
          <w14:textFill>
            <w14:solidFill>
              <w14:schemeClr w14:val="tx1"/>
            </w14:solidFill>
          </w14:textFill>
        </w:rPr>
        <w:t>之间，变异系数平均值约为</w:t>
      </w:r>
      <w:r>
        <w:rPr>
          <w:rFonts w:eastAsiaTheme="minorEastAsia"/>
          <w:color w:val="000000" w:themeColor="text1"/>
          <w:sz w:val="24"/>
          <w14:textFill>
            <w14:solidFill>
              <w14:schemeClr w14:val="tx1"/>
            </w14:solidFill>
          </w14:textFill>
        </w:rPr>
        <w:t>0.14</w:t>
      </w:r>
      <w:r>
        <w:rPr>
          <w:rFonts w:hAnsiTheme="minorEastAsia" w:eastAsiaTheme="minorEastAsia"/>
          <w:color w:val="000000" w:themeColor="text1"/>
          <w:sz w:val="24"/>
          <w14:textFill>
            <w14:solidFill>
              <w14:schemeClr w14:val="tx1"/>
            </w14:solidFill>
          </w14:textFill>
        </w:rPr>
        <w:t>。根据试验数据统计结果，换算系数随着强度波动有一定变化，但总体变化不大，为了便于简化换算，不再考虑换算系数随强度的变化关系，统一取为定值</w:t>
      </w:r>
      <w:r>
        <w:rPr>
          <w:rFonts w:eastAsiaTheme="minorEastAsia"/>
          <w:color w:val="000000" w:themeColor="text1"/>
          <w:sz w:val="24"/>
          <w14:textFill>
            <w14:solidFill>
              <w14:schemeClr w14:val="tx1"/>
            </w14:solidFill>
          </w14:textFill>
        </w:rPr>
        <w:t>1.20</w:t>
      </w:r>
      <w:r>
        <w:rPr>
          <w:rFonts w:hAnsiTheme="minorEastAsia" w:eastAsiaTheme="minorEastAsia"/>
          <w:color w:val="000000" w:themeColor="text1"/>
          <w:sz w:val="24"/>
          <w14:textFill>
            <w14:solidFill>
              <w14:schemeClr w14:val="tx1"/>
            </w14:solidFill>
          </w14:textFill>
        </w:rPr>
        <w:t>，并且规定本换算系数适用于抗压强度试验值在</w:t>
      </w:r>
      <w:r>
        <w:rPr>
          <w:rFonts w:eastAsiaTheme="minorEastAsia"/>
          <w:color w:val="000000" w:themeColor="text1"/>
          <w:sz w:val="24"/>
          <w14:textFill>
            <w14:solidFill>
              <w14:schemeClr w14:val="tx1"/>
            </w14:solidFill>
          </w14:textFill>
        </w:rPr>
        <w:t>60MPa</w:t>
      </w:r>
      <w:r>
        <w:rPr>
          <w:rFonts w:hAnsiTheme="minorEastAsia" w:eastAsiaTheme="minorEastAsia"/>
          <w:color w:val="000000" w:themeColor="text1"/>
          <w:sz w:val="24"/>
          <w14:textFill>
            <w14:solidFill>
              <w14:schemeClr w14:val="tx1"/>
            </w14:solidFill>
          </w14:textFill>
        </w:rPr>
        <w:t>～</w:t>
      </w:r>
      <w:r>
        <w:rPr>
          <w:rFonts w:eastAsiaTheme="minorEastAsia"/>
          <w:color w:val="000000" w:themeColor="text1"/>
          <w:sz w:val="24"/>
          <w14:textFill>
            <w14:solidFill>
              <w14:schemeClr w14:val="tx1"/>
            </w14:solidFill>
          </w14:textFill>
        </w:rPr>
        <w:t>100MPa</w:t>
      </w:r>
      <w:r>
        <w:rPr>
          <w:rFonts w:hAnsiTheme="minorEastAsia" w:eastAsiaTheme="minorEastAsia"/>
          <w:color w:val="000000" w:themeColor="text1"/>
          <w:sz w:val="24"/>
          <w14:textFill>
            <w14:solidFill>
              <w14:schemeClr w14:val="tx1"/>
            </w14:solidFill>
          </w14:textFill>
        </w:rPr>
        <w:t>之间的情况，换算后的强度值在</w:t>
      </w:r>
      <w:r>
        <w:rPr>
          <w:rFonts w:eastAsiaTheme="minorEastAsia"/>
          <w:color w:val="000000" w:themeColor="text1"/>
          <w:sz w:val="24"/>
          <w14:textFill>
            <w14:solidFill>
              <w14:schemeClr w14:val="tx1"/>
            </w14:solidFill>
          </w14:textFill>
        </w:rPr>
        <w:t>72MPa</w:t>
      </w:r>
      <w:r>
        <w:rPr>
          <w:rFonts w:hAnsiTheme="minorEastAsia" w:eastAsiaTheme="minorEastAsia"/>
          <w:color w:val="000000" w:themeColor="text1"/>
          <w:sz w:val="24"/>
          <w14:textFill>
            <w14:solidFill>
              <w14:schemeClr w14:val="tx1"/>
            </w14:solidFill>
          </w14:textFill>
        </w:rPr>
        <w:t>～</w:t>
      </w:r>
      <w:r>
        <w:rPr>
          <w:rFonts w:eastAsiaTheme="minorEastAsia"/>
          <w:color w:val="000000" w:themeColor="text1"/>
          <w:sz w:val="24"/>
          <w14:textFill>
            <w14:solidFill>
              <w14:schemeClr w14:val="tx1"/>
            </w14:solidFill>
          </w14:textFill>
        </w:rPr>
        <w:t>120MPa</w:t>
      </w:r>
      <w:r>
        <w:rPr>
          <w:rFonts w:hAnsiTheme="minorEastAsia" w:eastAsiaTheme="minorEastAsia"/>
          <w:color w:val="000000" w:themeColor="text1"/>
          <w:sz w:val="24"/>
          <w14:textFill>
            <w14:solidFill>
              <w14:schemeClr w14:val="tx1"/>
            </w14:solidFill>
          </w14:textFill>
        </w:rPr>
        <w:t>之间，超出此范围后应制定专用换算系数。另外，当试件直径超出本标准适用范围（</w:t>
      </w:r>
      <w:r>
        <w:rPr>
          <w:rFonts w:eastAsiaTheme="minorEastAsia"/>
          <w:color w:val="000000" w:themeColor="text1"/>
          <w:sz w:val="24"/>
          <w14:textFill>
            <w14:solidFill>
              <w14:schemeClr w14:val="tx1"/>
            </w14:solidFill>
          </w14:textFill>
        </w:rPr>
        <w:t>17mm</w:t>
      </w:r>
      <w:r>
        <w:rPr>
          <w:rFonts w:hAnsiTheme="minorEastAsia" w:eastAsiaTheme="minorEastAsia"/>
          <w:color w:val="000000" w:themeColor="text1"/>
          <w:sz w:val="24"/>
          <w14:textFill>
            <w14:solidFill>
              <w14:schemeClr w14:val="tx1"/>
            </w14:solidFill>
          </w14:textFill>
        </w:rPr>
        <w:t>～</w:t>
      </w:r>
      <w:r>
        <w:rPr>
          <w:rFonts w:eastAsiaTheme="minorEastAsia"/>
          <w:color w:val="000000" w:themeColor="text1"/>
          <w:sz w:val="24"/>
          <w14:textFill>
            <w14:solidFill>
              <w14:schemeClr w14:val="tx1"/>
            </w14:solidFill>
          </w14:textFill>
        </w:rPr>
        <w:t>23mm</w:t>
      </w:r>
      <w:r>
        <w:rPr>
          <w:rFonts w:hAnsiTheme="minorEastAsia" w:eastAsiaTheme="minorEastAsia"/>
          <w:color w:val="000000" w:themeColor="text1"/>
          <w:sz w:val="24"/>
          <w14:textFill>
            <w14:solidFill>
              <w14:schemeClr w14:val="tx1"/>
            </w14:solidFill>
          </w14:textFill>
        </w:rPr>
        <w:t>）或者高径比超出本标准适用范围（</w:t>
      </w:r>
      <w:r>
        <w:rPr>
          <w:rFonts w:eastAsiaTheme="minorEastAsia"/>
          <w:color w:val="000000" w:themeColor="text1"/>
          <w:sz w:val="24"/>
          <w14:textFill>
            <w14:solidFill>
              <w14:schemeClr w14:val="tx1"/>
            </w14:solidFill>
          </w14:textFill>
        </w:rPr>
        <w:t>0.95</w:t>
      </w:r>
      <w:r>
        <w:rPr>
          <w:rFonts w:hAnsiTheme="minorEastAsia" w:eastAsiaTheme="minorEastAsia"/>
          <w:color w:val="000000" w:themeColor="text1"/>
          <w:sz w:val="24"/>
          <w14:textFill>
            <w14:solidFill>
              <w14:schemeClr w14:val="tx1"/>
            </w14:solidFill>
          </w14:textFill>
        </w:rPr>
        <w:t>～</w:t>
      </w:r>
      <w:r>
        <w:rPr>
          <w:rFonts w:eastAsiaTheme="minorEastAsia"/>
          <w:color w:val="000000" w:themeColor="text1"/>
          <w:sz w:val="24"/>
          <w14:textFill>
            <w14:solidFill>
              <w14:schemeClr w14:val="tx1"/>
            </w14:solidFill>
          </w14:textFill>
        </w:rPr>
        <w:t>1.05</w:t>
      </w:r>
      <w:r>
        <w:rPr>
          <w:rFonts w:hAnsiTheme="minorEastAsia" w:eastAsiaTheme="minorEastAsia"/>
          <w:color w:val="000000" w:themeColor="text1"/>
          <w:sz w:val="24"/>
          <w14:textFill>
            <w14:solidFill>
              <w14:schemeClr w14:val="tx1"/>
            </w14:solidFill>
          </w14:textFill>
        </w:rPr>
        <w:t>）时，应制定专用换算系数。</w:t>
      </w:r>
    </w:p>
    <w:p>
      <w:pPr>
        <w:adjustRightInd w:val="0"/>
        <w:snapToGrid w:val="0"/>
        <w:spacing w:line="360" w:lineRule="auto"/>
        <w:rPr>
          <w:rFonts w:eastAsiaTheme="minorEastAsia"/>
          <w:color w:val="000000" w:themeColor="text1"/>
          <w:sz w:val="24"/>
          <w14:textFill>
            <w14:solidFill>
              <w14:schemeClr w14:val="tx1"/>
            </w14:solidFill>
          </w14:textFill>
        </w:rPr>
      </w:pPr>
      <w:r>
        <w:rPr>
          <w:rFonts w:eastAsiaTheme="minorEastAsia"/>
          <w:b/>
          <w:iCs/>
          <w:color w:val="000000" w:themeColor="text1"/>
          <w:sz w:val="24"/>
          <w:szCs w:val="24"/>
          <w14:textFill>
            <w14:solidFill>
              <w14:schemeClr w14:val="tx1"/>
            </w14:solidFill>
          </w14:textFill>
        </w:rPr>
        <w:t xml:space="preserve">E.3.6  </w:t>
      </w:r>
      <w:r>
        <w:rPr>
          <w:rFonts w:hAnsiTheme="minorEastAsia" w:eastAsiaTheme="minorEastAsia"/>
          <w:color w:val="000000" w:themeColor="text1"/>
          <w:sz w:val="24"/>
          <w14:textFill>
            <w14:solidFill>
              <w14:schemeClr w14:val="tx1"/>
            </w14:solidFill>
          </w14:textFill>
        </w:rPr>
        <w:t>本条对检测批的抗压强度推定进行了规定：</w:t>
      </w:r>
    </w:p>
    <w:p>
      <w:pPr>
        <w:adjustRightInd w:val="0"/>
        <w:snapToGrid w:val="0"/>
        <w:spacing w:line="360" w:lineRule="auto"/>
        <w:ind w:firstLine="481" w:firstLineChars="200"/>
        <w:rPr>
          <w:rFonts w:eastAsiaTheme="minorEastAsia"/>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1</w:t>
      </w:r>
      <w:r>
        <w:rPr>
          <w:rFonts w:eastAsiaTheme="minorEastAsia"/>
          <w:color w:val="000000" w:themeColor="text1"/>
          <w:sz w:val="24"/>
          <w14:textFill>
            <w14:solidFill>
              <w14:schemeClr w14:val="tx1"/>
            </w14:solidFill>
          </w14:textFill>
        </w:rPr>
        <w:t xml:space="preserve">  </w:t>
      </w:r>
      <w:r>
        <w:rPr>
          <w:rFonts w:hAnsiTheme="minorEastAsia" w:eastAsiaTheme="minorEastAsia"/>
          <w:color w:val="000000" w:themeColor="text1"/>
          <w:sz w:val="24"/>
          <w14:textFill>
            <w14:solidFill>
              <w14:schemeClr w14:val="tx1"/>
            </w14:solidFill>
          </w14:textFill>
        </w:rPr>
        <w:t>由于抽样检测存在着抽样不确定性，给出确定的推定值与检测批灌浆料强度值的真值必然存在偏差，因此，给出一个推定区间更为合理。按此规定给出的推定区间应符合现行国家标准《建筑工程施工质量验收统一标准》</w:t>
      </w:r>
      <w:r>
        <w:rPr>
          <w:rFonts w:eastAsiaTheme="minorEastAsia"/>
          <w:color w:val="000000" w:themeColor="text1"/>
          <w:sz w:val="24"/>
          <w14:textFill>
            <w14:solidFill>
              <w14:schemeClr w14:val="tx1"/>
            </w14:solidFill>
          </w14:textFill>
        </w:rPr>
        <w:t>GB 50300</w:t>
      </w:r>
      <w:r>
        <w:rPr>
          <w:rFonts w:hAnsiTheme="minorEastAsia" w:eastAsiaTheme="minorEastAsia"/>
          <w:color w:val="000000" w:themeColor="text1"/>
          <w:sz w:val="24"/>
          <w14:textFill>
            <w14:solidFill>
              <w14:schemeClr w14:val="tx1"/>
            </w14:solidFill>
          </w14:textFill>
        </w:rPr>
        <w:t>的有关规定。</w:t>
      </w:r>
    </w:p>
    <w:p>
      <w:pPr>
        <w:adjustRightInd w:val="0"/>
        <w:snapToGrid w:val="0"/>
        <w:spacing w:line="360" w:lineRule="auto"/>
        <w:ind w:firstLine="481" w:firstLineChars="200"/>
        <w:rPr>
          <w:rFonts w:hAnsiTheme="minorEastAsia" w:eastAsiaTheme="minorEastAsia"/>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2</w:t>
      </w:r>
      <w:r>
        <w:rPr>
          <w:rFonts w:eastAsiaTheme="minorEastAsia"/>
          <w:color w:val="000000" w:themeColor="text1"/>
          <w:sz w:val="24"/>
          <w14:textFill>
            <w14:solidFill>
              <w14:schemeClr w14:val="tx1"/>
            </w14:solidFill>
          </w14:textFill>
        </w:rPr>
        <w:t xml:space="preserve">  </w:t>
      </w:r>
      <w:r>
        <w:rPr>
          <w:rFonts w:hAnsiTheme="minorEastAsia" w:eastAsiaTheme="minorEastAsia"/>
          <w:color w:val="000000" w:themeColor="text1"/>
          <w:sz w:val="24"/>
          <w14:textFill>
            <w14:solidFill>
              <w14:schemeClr w14:val="tx1"/>
            </w14:solidFill>
          </w14:textFill>
        </w:rPr>
        <w:t>套筒灌浆料是以抗压强度平均值作为评定指标，不同于混凝土以抗压强度标准值作为评定指标。本标准是以抗压强度值分布中的</w:t>
      </w:r>
      <w:r>
        <w:rPr>
          <w:rFonts w:eastAsiaTheme="minorEastAsia"/>
          <w:color w:val="000000" w:themeColor="text1"/>
          <w:sz w:val="24"/>
          <w14:textFill>
            <w14:solidFill>
              <w14:schemeClr w14:val="tx1"/>
            </w14:solidFill>
          </w14:textFill>
        </w:rPr>
        <w:t>0.5</w:t>
      </w:r>
      <w:r>
        <w:rPr>
          <w:rFonts w:hAnsiTheme="minorEastAsia" w:eastAsiaTheme="minorEastAsia"/>
          <w:color w:val="000000" w:themeColor="text1"/>
          <w:sz w:val="24"/>
          <w14:textFill>
            <w14:solidFill>
              <w14:schemeClr w14:val="tx1"/>
            </w14:solidFill>
          </w14:textFill>
        </w:rPr>
        <w:t>分位值（均值）作为强度推定的估算值，不同于混凝土强度以</w:t>
      </w:r>
      <w:r>
        <w:rPr>
          <w:rFonts w:eastAsiaTheme="minorEastAsia"/>
          <w:color w:val="000000" w:themeColor="text1"/>
          <w:sz w:val="24"/>
          <w14:textFill>
            <w14:solidFill>
              <w14:schemeClr w14:val="tx1"/>
            </w14:solidFill>
          </w14:textFill>
        </w:rPr>
        <w:t>0.05</w:t>
      </w:r>
      <w:r>
        <w:rPr>
          <w:rFonts w:hAnsiTheme="minorEastAsia" w:eastAsiaTheme="minorEastAsia"/>
          <w:color w:val="000000" w:themeColor="text1"/>
          <w:sz w:val="24"/>
          <w14:textFill>
            <w14:solidFill>
              <w14:schemeClr w14:val="tx1"/>
            </w14:solidFill>
          </w14:textFill>
        </w:rPr>
        <w:t>分位值作为强度推定的估算值。</w:t>
      </w:r>
    </w:p>
    <w:p>
      <w:pPr>
        <w:adjustRightInd w:val="0"/>
        <w:snapToGrid w:val="0"/>
        <w:spacing w:line="360" w:lineRule="auto"/>
        <w:ind w:firstLine="481" w:firstLineChars="200"/>
        <w:rPr>
          <w:rFonts w:eastAsiaTheme="minorEastAsia"/>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3</w:t>
      </w:r>
      <w:r>
        <w:rPr>
          <w:rFonts w:eastAsiaTheme="minorEastAsia"/>
          <w:color w:val="000000" w:themeColor="text1"/>
          <w:sz w:val="24"/>
          <w14:textFill>
            <w14:solidFill>
              <w14:schemeClr w14:val="tx1"/>
            </w14:solidFill>
          </w14:textFill>
        </w:rPr>
        <w:t xml:space="preserve">  </w:t>
      </w:r>
      <w:r>
        <w:rPr>
          <w:rFonts w:hAnsiTheme="minorEastAsia" w:eastAsiaTheme="minorEastAsia"/>
          <w:color w:val="000000" w:themeColor="text1"/>
          <w:sz w:val="24"/>
          <w14:textFill>
            <w14:solidFill>
              <w14:schemeClr w14:val="tx1"/>
            </w14:solidFill>
          </w14:textFill>
        </w:rPr>
        <w:t>遵循现行国家标准《建筑工程施工质量验收统一标准》</w:t>
      </w:r>
      <w:r>
        <w:rPr>
          <w:rFonts w:eastAsiaTheme="minorEastAsia"/>
          <w:color w:val="000000" w:themeColor="text1"/>
          <w:sz w:val="24"/>
          <w14:textFill>
            <w14:solidFill>
              <w14:schemeClr w14:val="tx1"/>
            </w14:solidFill>
          </w14:textFill>
        </w:rPr>
        <w:t>GB 50300</w:t>
      </w:r>
      <w:r>
        <w:rPr>
          <w:rFonts w:hAnsiTheme="minorEastAsia" w:eastAsiaTheme="minorEastAsia"/>
          <w:color w:val="000000" w:themeColor="text1"/>
          <w:sz w:val="24"/>
          <w14:textFill>
            <w14:solidFill>
              <w14:schemeClr w14:val="tx1"/>
            </w14:solidFill>
          </w14:textFill>
        </w:rPr>
        <w:t>关于错判概率不大于</w:t>
      </w:r>
      <w:r>
        <w:rPr>
          <w:rFonts w:eastAsiaTheme="minorEastAsia"/>
          <w:color w:val="000000" w:themeColor="text1"/>
          <w:sz w:val="24"/>
          <w14:textFill>
            <w14:solidFill>
              <w14:schemeClr w14:val="tx1"/>
            </w14:solidFill>
          </w14:textFill>
        </w:rPr>
        <w:t>0.05</w:t>
      </w:r>
      <w:r>
        <w:rPr>
          <w:rFonts w:hAnsiTheme="minorEastAsia" w:eastAsiaTheme="minorEastAsia"/>
          <w:color w:val="000000" w:themeColor="text1"/>
          <w:sz w:val="24"/>
          <w14:textFill>
            <w14:solidFill>
              <w14:schemeClr w14:val="tx1"/>
            </w14:solidFill>
          </w14:textFill>
        </w:rPr>
        <w:t>的规定，推定区间的置信度宜取</w:t>
      </w:r>
      <w:r>
        <w:rPr>
          <w:rFonts w:eastAsiaTheme="minorEastAsia"/>
          <w:color w:val="000000" w:themeColor="text1"/>
          <w:sz w:val="24"/>
          <w14:textFill>
            <w14:solidFill>
              <w14:schemeClr w14:val="tx1"/>
            </w14:solidFill>
          </w14:textFill>
        </w:rPr>
        <w:t>0.90</w:t>
      </w:r>
      <w:r>
        <w:rPr>
          <w:rFonts w:hAnsiTheme="minorEastAsia" w:eastAsiaTheme="minorEastAsia"/>
          <w:color w:val="000000" w:themeColor="text1"/>
          <w:sz w:val="24"/>
          <w14:textFill>
            <w14:solidFill>
              <w14:schemeClr w14:val="tx1"/>
            </w14:solidFill>
          </w14:textFill>
        </w:rPr>
        <w:t>，即区间上限的错判概率和区间下限的漏判概率均为</w:t>
      </w:r>
      <w:r>
        <w:rPr>
          <w:rFonts w:eastAsiaTheme="minorEastAsia"/>
          <w:color w:val="000000" w:themeColor="text1"/>
          <w:sz w:val="24"/>
          <w14:textFill>
            <w14:solidFill>
              <w14:schemeClr w14:val="tx1"/>
            </w14:solidFill>
          </w14:textFill>
        </w:rPr>
        <w:t>0.05</w:t>
      </w:r>
      <w:r>
        <w:rPr>
          <w:rFonts w:hAnsiTheme="minorEastAsia" w:eastAsiaTheme="minorEastAsia"/>
          <w:color w:val="000000" w:themeColor="text1"/>
          <w:sz w:val="24"/>
          <w14:textFill>
            <w14:solidFill>
              <w14:schemeClr w14:val="tx1"/>
            </w14:solidFill>
          </w14:textFill>
        </w:rPr>
        <w:t>。</w:t>
      </w:r>
    </w:p>
    <w:p>
      <w:pPr>
        <w:adjustRightInd w:val="0"/>
        <w:snapToGrid w:val="0"/>
        <w:spacing w:line="360" w:lineRule="auto"/>
        <w:ind w:firstLine="481" w:firstLineChars="200"/>
        <w:rPr>
          <w:rFonts w:eastAsiaTheme="minorEastAsia"/>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 xml:space="preserve">4  </w:t>
      </w:r>
      <w:r>
        <w:rPr>
          <w:rFonts w:hAnsiTheme="minorEastAsia" w:eastAsiaTheme="minorEastAsia"/>
          <w:color w:val="000000" w:themeColor="text1"/>
          <w:sz w:val="24"/>
          <w14:textFill>
            <w14:solidFill>
              <w14:schemeClr w14:val="tx1"/>
            </w14:solidFill>
          </w14:textFill>
        </w:rPr>
        <w:t>对推定区间应进行控制，减小样本的标准差，需要合理确定圆柱体试件的数量。</w:t>
      </w:r>
    </w:p>
    <w:p>
      <w:pPr>
        <w:adjustRightInd w:val="0"/>
        <w:snapToGrid w:val="0"/>
        <w:spacing w:line="360" w:lineRule="auto"/>
        <w:ind w:firstLine="481" w:firstLineChars="200"/>
        <w:rPr>
          <w:rFonts w:eastAsiaTheme="minorEastAsia"/>
          <w:b/>
          <w:bCs/>
          <w:color w:val="000000" w:themeColor="text1"/>
          <w14:textFill>
            <w14:solidFill>
              <w14:schemeClr w14:val="tx1"/>
            </w14:solidFill>
          </w14:textFill>
        </w:rPr>
      </w:pPr>
      <w:r>
        <w:rPr>
          <w:rFonts w:eastAsiaTheme="minorEastAsia"/>
          <w:b/>
          <w:bCs/>
          <w:color w:val="000000" w:themeColor="text1"/>
          <w:sz w:val="24"/>
          <w14:textFill>
            <w14:solidFill>
              <w14:schemeClr w14:val="tx1"/>
            </w14:solidFill>
          </w14:textFill>
        </w:rPr>
        <w:t>5</w:t>
      </w:r>
      <w:r>
        <w:rPr>
          <w:rFonts w:eastAsiaTheme="minorEastAsia"/>
          <w:color w:val="000000" w:themeColor="text1"/>
          <w:sz w:val="24"/>
          <w14:textFill>
            <w14:solidFill>
              <w14:schemeClr w14:val="tx1"/>
            </w14:solidFill>
          </w14:textFill>
        </w:rPr>
        <w:t xml:space="preserve">  </w:t>
      </w:r>
      <w:r>
        <w:rPr>
          <w:rFonts w:hAnsiTheme="minorEastAsia" w:eastAsiaTheme="minorEastAsia"/>
          <w:color w:val="000000" w:themeColor="text1"/>
          <w:sz w:val="24"/>
          <w14:textFill>
            <w14:solidFill>
              <w14:schemeClr w14:val="tx1"/>
            </w14:solidFill>
          </w14:textFill>
        </w:rPr>
        <w:t>圆柱体试件抗压强度试验结果一般略低于实际强度。</w:t>
      </w:r>
    </w:p>
    <w:p>
      <w:pPr>
        <w:pStyle w:val="66"/>
        <w:adjustRightInd w:val="0"/>
        <w:snapToGrid w:val="0"/>
        <w:spacing w:line="360" w:lineRule="auto"/>
        <w:ind w:firstLine="0" w:firstLineChars="0"/>
        <w:rPr>
          <w:rFonts w:ascii="Times New Roman"/>
          <w:color w:val="000000" w:themeColor="text1"/>
          <w14:textFill>
            <w14:solidFill>
              <w14:schemeClr w14:val="tx1"/>
            </w14:solidFill>
          </w14:textFill>
        </w:rPr>
      </w:pPr>
      <w:r>
        <w:rPr>
          <w:rFonts w:ascii="Times New Roman" w:hAnsi="Times New Roman" w:eastAsiaTheme="minorEastAsia"/>
          <w:b/>
          <w:iCs/>
        </w:rPr>
        <w:t xml:space="preserve">E.3.7  </w:t>
      </w:r>
      <w:r>
        <w:rPr>
          <w:rFonts w:ascii="Times New Roman" w:hAnsiTheme="minorEastAsia" w:eastAsiaTheme="minorEastAsia"/>
          <w:color w:val="000000" w:themeColor="text1"/>
          <w14:textFill>
            <w14:solidFill>
              <w14:schemeClr w14:val="tx1"/>
            </w14:solidFill>
          </w14:textFill>
        </w:rPr>
        <w:t>灌浆料圆柱体试件受试件质量、试验对中、破坏形态等影响，抗压强度试验结果离散性较大。标准编制组</w:t>
      </w:r>
      <w:r>
        <w:rPr>
          <w:rFonts w:hint="eastAsia" w:ascii="Times New Roman" w:hAnsiTheme="minorEastAsia" w:eastAsiaTheme="minorEastAsia"/>
          <w:color w:val="000000" w:themeColor="text1"/>
          <w14:textFill>
            <w14:solidFill>
              <w14:schemeClr w14:val="tx1"/>
            </w14:solidFill>
          </w14:textFill>
        </w:rPr>
        <w:t>开展的</w:t>
      </w:r>
      <w:r>
        <w:rPr>
          <w:rFonts w:ascii="Times New Roman" w:hAnsiTheme="minorEastAsia" w:eastAsiaTheme="minorEastAsia"/>
          <w:color w:val="000000" w:themeColor="text1"/>
          <w14:textFill>
            <w14:solidFill>
              <w14:schemeClr w14:val="tx1"/>
            </w14:solidFill>
          </w14:textFill>
        </w:rPr>
        <w:t>大量试验研究结果表明，圆柱体试件抗压强度样本的变异系数一般大于棱柱体试件的变异系数。因此，允许根据实际情况适当调整圆柱体试件抗压强度样本的标准差，但调整要有试验依据，且应事先将调整方案告知委托方。</w:t>
      </w:r>
    </w:p>
    <w:p>
      <w:pPr>
        <w:spacing w:line="360" w:lineRule="auto"/>
        <w:rPr>
          <w:color w:val="5B9BD5" w:themeColor="accent1"/>
          <w:sz w:val="24"/>
          <w14:textFill>
            <w14:solidFill>
              <w14:schemeClr w14:val="accent1"/>
            </w14:solidFill>
          </w14:textFill>
        </w:rPr>
      </w:pPr>
      <w:r>
        <w:rPr>
          <w:color w:val="5B9BD5" w:themeColor="accent1"/>
          <w:sz w:val="24"/>
          <w14:textFill>
            <w14:solidFill>
              <w14:schemeClr w14:val="accent1"/>
            </w14:solidFill>
          </w14:textFill>
        </w:rPr>
        <w:br w:type="page"/>
      </w:r>
    </w:p>
    <w:p>
      <w:pPr>
        <w:pStyle w:val="89"/>
      </w:pPr>
      <w:bookmarkStart w:id="257" w:name="_Toc120020408"/>
      <w:bookmarkStart w:id="258" w:name="_Toc116397193"/>
      <w:bookmarkStart w:id="259" w:name="_Toc120020338"/>
      <w:r>
        <w:t>附录F  回弹法检测套筒灌浆料抗压强度</w:t>
      </w:r>
      <w:bookmarkEnd w:id="257"/>
      <w:bookmarkEnd w:id="258"/>
      <w:bookmarkEnd w:id="259"/>
    </w:p>
    <w:p>
      <w:pPr>
        <w:keepNext/>
        <w:keepLines/>
        <w:spacing w:line="360" w:lineRule="auto"/>
        <w:jc w:val="center"/>
        <w:rPr>
          <w:rFonts w:eastAsiaTheme="minorEastAsia"/>
          <w:b/>
          <w:kern w:val="0"/>
          <w:sz w:val="24"/>
          <w:szCs w:val="24"/>
        </w:rPr>
      </w:pPr>
      <w:r>
        <w:rPr>
          <w:rFonts w:eastAsiaTheme="minorEastAsia"/>
          <w:b/>
          <w:kern w:val="0"/>
          <w:sz w:val="24"/>
          <w:szCs w:val="24"/>
        </w:rPr>
        <w:t>F.1  一般规定</w:t>
      </w:r>
    </w:p>
    <w:p>
      <w:pPr>
        <w:spacing w:line="360" w:lineRule="auto"/>
        <w:rPr>
          <w:rFonts w:eastAsiaTheme="minorEastAsia"/>
          <w:iCs/>
          <w:sz w:val="24"/>
          <w:szCs w:val="24"/>
        </w:rPr>
      </w:pPr>
      <w:r>
        <w:rPr>
          <w:rFonts w:eastAsiaTheme="minorEastAsia"/>
          <w:b/>
          <w:iCs/>
          <w:sz w:val="24"/>
          <w:szCs w:val="24"/>
        </w:rPr>
        <w:t>F.1.1</w:t>
      </w:r>
      <w:r>
        <w:rPr>
          <w:rFonts w:eastAsiaTheme="minorEastAsia"/>
          <w:iCs/>
          <w:sz w:val="24"/>
          <w:szCs w:val="24"/>
        </w:rPr>
        <w:t xml:space="preserve">  由于灌浆孔道及出浆孔道内灌浆料与套筒内灌浆料是连续的一体施工，故检测上述孔道内的灌浆料强度即可代表套筒内的灌浆料强度。回弹法是指通过测试灌浆孔道或出浆孔道内灌浆料表面的硬度值，根据表面硬度与抗压强度的相关性推定灌浆料抗压强度的方法。经大量的验证试验表明，灌浆料表面硬度与其抗压强度存在较好的相关性，通过检测灌浆料表面硬度，再利用建立的测强曲线可推定其抗压强度。</w:t>
      </w:r>
    </w:p>
    <w:p>
      <w:pPr>
        <w:spacing w:line="360" w:lineRule="auto"/>
        <w:ind w:firstLine="480" w:firstLineChars="200"/>
        <w:rPr>
          <w:rFonts w:eastAsiaTheme="minorEastAsia"/>
          <w:color w:val="000000" w:themeColor="text1"/>
          <w:sz w:val="24"/>
          <w:szCs w:val="24"/>
          <w14:textFill>
            <w14:solidFill>
              <w14:schemeClr w14:val="tx1"/>
            </w14:solidFill>
          </w14:textFill>
        </w:rPr>
      </w:pPr>
      <w:r>
        <w:rPr>
          <w:rFonts w:eastAsiaTheme="minorEastAsia"/>
          <w:color w:val="000000" w:themeColor="text1"/>
          <w:sz w:val="24"/>
          <w:szCs w:val="24"/>
          <w14:textFill>
            <w14:solidFill>
              <w14:schemeClr w14:val="tx1"/>
            </w14:solidFill>
          </w14:textFill>
        </w:rPr>
        <w:t>灌浆料为早强型水泥基胶凝材料，早期强度增长很快，行业标准《钢筋连接用套筒灌浆料》JG/T 408-2019要求3d龄期的抗压强度达到60MPa，7d龄期的抗压强度通常可达到设计强度的80%。此外，大量试验结果表明，达到7d龄期后，灌浆料表面硬度离散性显著减小，测试结果更为可靠。检测面应为灌浆料的原始浆料面，表面存在明显缺陷、潮湿或人为烘干处理等会对检测结果带来影响。抗压强度的检测范围为40MPa~120MPa，基本可涵盖目前套筒灌浆连接用灌浆料3d～28d龄期的强度区间</w:t>
      </w:r>
      <w:r>
        <w:rPr>
          <w:rFonts w:hint="eastAsia" w:eastAsiaTheme="minorEastAsia"/>
          <w:color w:val="000000" w:themeColor="text1"/>
          <w:sz w:val="24"/>
          <w:szCs w:val="24"/>
          <w14:textFill>
            <w14:solidFill>
              <w14:schemeClr w14:val="tx1"/>
            </w14:solidFill>
          </w14:textFill>
        </w:rPr>
        <w:t>。</w:t>
      </w:r>
    </w:p>
    <w:p>
      <w:pPr>
        <w:spacing w:line="360" w:lineRule="auto"/>
        <w:rPr>
          <w:rFonts w:eastAsiaTheme="minorEastAsia"/>
          <w:sz w:val="24"/>
          <w:szCs w:val="24"/>
          <w:u w:val="single"/>
        </w:rPr>
      </w:pPr>
      <w:r>
        <w:rPr>
          <w:rFonts w:eastAsiaTheme="minorEastAsia"/>
          <w:b/>
          <w:iCs/>
          <w:sz w:val="24"/>
          <w:szCs w:val="24"/>
        </w:rPr>
        <w:t>F.1.2</w:t>
      </w:r>
      <w:r>
        <w:rPr>
          <w:rFonts w:eastAsiaTheme="minorEastAsia"/>
          <w:iCs/>
          <w:sz w:val="24"/>
          <w:szCs w:val="24"/>
        </w:rPr>
        <w:t xml:space="preserve">  灌浆料回弹仪实际是基于里氏硬度计的检测原理，其具有细长的冲击装置，便于在狭小的孔道内获得多个硬度数据。支承环的主要作用是辅助冲击装置定位和保证冲击装置能够与检测面垂直抵接。回弹仪的率定要求在参照国家标准《金属材料 里氏硬度试验 第2部分：硬度计的检验与校准》GB/T 17394.2-2012相关要求基础上，结合灌浆料回弹仪特点确定的相应技术指标。对</w:t>
      </w:r>
      <w:r>
        <w:rPr>
          <w:color w:val="000000" w:themeColor="text1"/>
          <w:sz w:val="24"/>
          <w:szCs w:val="24"/>
          <w14:textFill>
            <w14:solidFill>
              <w14:schemeClr w14:val="tx1"/>
            </w14:solidFill>
          </w14:textFill>
        </w:rPr>
        <w:t>回弹仪的率定值与里氏硬度标准块基准值的允许偏差进行了限定</w:t>
      </w:r>
      <w:r>
        <w:rPr>
          <w:rFonts w:eastAsiaTheme="minorEastAsia"/>
          <w:iCs/>
          <w:color w:val="000000" w:themeColor="text1"/>
          <w:sz w:val="24"/>
          <w:szCs w:val="24"/>
          <w14:textFill>
            <w14:solidFill>
              <w14:schemeClr w14:val="tx1"/>
            </w14:solidFill>
          </w14:textFill>
        </w:rPr>
        <w:t>，示值重复性是5次率定值中最大值与最小值的差值。回弹</w:t>
      </w:r>
      <w:r>
        <w:rPr>
          <w:rFonts w:eastAsiaTheme="minorEastAsia"/>
          <w:iCs/>
          <w:sz w:val="24"/>
          <w:szCs w:val="24"/>
        </w:rPr>
        <w:t>仪宜具有内窥观察功能，以便观察孔道和测点位置，避免在同一点处重复弹击，影响检测结果的准确性。</w:t>
      </w:r>
    </w:p>
    <w:p>
      <w:pPr>
        <w:spacing w:line="360" w:lineRule="auto"/>
        <w:rPr>
          <w:rFonts w:eastAsiaTheme="minorEastAsia"/>
          <w:b/>
          <w:sz w:val="24"/>
          <w:szCs w:val="24"/>
        </w:rPr>
      </w:pPr>
      <w:r>
        <w:rPr>
          <w:rFonts w:eastAsiaTheme="minorEastAsia"/>
          <w:b/>
          <w:iCs/>
          <w:sz w:val="24"/>
          <w:szCs w:val="24"/>
        </w:rPr>
        <w:t xml:space="preserve">F.1.4 </w:t>
      </w:r>
      <w:r>
        <w:rPr>
          <w:rFonts w:eastAsiaTheme="minorEastAsia"/>
          <w:iCs/>
          <w:sz w:val="24"/>
          <w:szCs w:val="24"/>
        </w:rPr>
        <w:t xml:space="preserve"> 为了获</w:t>
      </w:r>
      <w:r>
        <w:rPr>
          <w:rFonts w:eastAsiaTheme="minorEastAsia"/>
          <w:sz w:val="24"/>
          <w:szCs w:val="24"/>
        </w:rPr>
        <w:t>得16个回弹值，建议每个构件选取不少于4个连续灌浆施工的套筒进行回弹测点布置。对于采用钢筋套筒灌浆连接的竖向预制构件，单个构件上的套筒数量一般不少于4个，对于套筒数量为3个的构件，当测点布置的总数量能够达到16个，也可满足回弹法检测要求。每个套筒可用于回弹法检测的灌浆料表面不应少于1处，可以是在灌浆孔道内，也可以是在出浆孔道内，若两个孔道均不满足要求，则应更换选择其他套筒。对于灌浆料实体强度的检测，可按单个构件推定强度，也可按批量推定强度，但应在检测方案中予以明确。</w:t>
      </w:r>
    </w:p>
    <w:p>
      <w:pPr>
        <w:keepNext/>
        <w:keepLines/>
        <w:spacing w:line="360" w:lineRule="auto"/>
        <w:jc w:val="center"/>
        <w:rPr>
          <w:rFonts w:eastAsiaTheme="minorEastAsia"/>
          <w:b/>
          <w:kern w:val="0"/>
          <w:sz w:val="24"/>
          <w:szCs w:val="24"/>
        </w:rPr>
      </w:pPr>
      <w:r>
        <w:rPr>
          <w:rFonts w:eastAsiaTheme="minorEastAsia"/>
          <w:b/>
          <w:kern w:val="0"/>
          <w:sz w:val="24"/>
          <w:szCs w:val="24"/>
        </w:rPr>
        <w:t>F.2  回弹法检测</w:t>
      </w:r>
    </w:p>
    <w:p>
      <w:pPr>
        <w:pStyle w:val="72"/>
        <w:adjustRightInd/>
        <w:snapToGrid/>
        <w:spacing w:line="360" w:lineRule="auto"/>
        <w:ind w:firstLine="0" w:firstLineChars="0"/>
        <w:rPr>
          <w:rFonts w:eastAsiaTheme="minorEastAsia"/>
          <w:i/>
          <w:sz w:val="24"/>
          <w:szCs w:val="24"/>
        </w:rPr>
      </w:pPr>
      <w:r>
        <w:rPr>
          <w:rFonts w:eastAsiaTheme="minorEastAsia"/>
          <w:b/>
          <w:iCs/>
          <w:sz w:val="24"/>
          <w:szCs w:val="24"/>
        </w:rPr>
        <w:t>F.2.1</w:t>
      </w:r>
      <w:r>
        <w:rPr>
          <w:rFonts w:eastAsiaTheme="minorEastAsia"/>
          <w:b/>
          <w:sz w:val="24"/>
          <w:szCs w:val="24"/>
        </w:rPr>
        <w:t xml:space="preserve">  </w:t>
      </w:r>
      <w:r>
        <w:rPr>
          <w:rFonts w:eastAsiaTheme="minorEastAsia"/>
          <w:sz w:val="24"/>
          <w:szCs w:val="24"/>
        </w:rPr>
        <w:t>为了保证检测结果的准确性，确保灌浆料凝结硬化后能形成光滑、平整的回弹检测面，在灌浆施工时，可采用端面平整的橡胶塞对灌浆孔道和出浆孔道进行封堵。灌浆孔道的内径一般为17mm~23mm，测点数可达3~4个；出浆孔道的内径一般为13mm~17mm，测点数可达2~3个。检测时，宜采用内窥镜或其他设备对表面状态和测点进行观察，查看表观质量和测点分布是否符合检测要求。</w:t>
      </w:r>
    </w:p>
    <w:p>
      <w:pPr>
        <w:spacing w:line="360" w:lineRule="auto"/>
        <w:rPr>
          <w:rFonts w:eastAsiaTheme="minorEastAsia"/>
          <w:sz w:val="24"/>
          <w:szCs w:val="24"/>
        </w:rPr>
      </w:pPr>
      <w:r>
        <w:rPr>
          <w:rFonts w:eastAsiaTheme="minorEastAsia"/>
          <w:b/>
          <w:iCs/>
          <w:sz w:val="24"/>
          <w:szCs w:val="24"/>
        </w:rPr>
        <w:t xml:space="preserve">F.2.2  </w:t>
      </w:r>
      <w:r>
        <w:rPr>
          <w:rFonts w:eastAsiaTheme="minorEastAsia"/>
          <w:iCs/>
          <w:sz w:val="24"/>
          <w:szCs w:val="24"/>
        </w:rPr>
        <w:t>由于不同品牌套筒灌浆料的组分存在一定差异，按统一的测强曲线进行</w:t>
      </w:r>
      <w:r>
        <w:rPr>
          <w:rFonts w:eastAsiaTheme="minorEastAsia"/>
          <w:sz w:val="24"/>
          <w:szCs w:val="24"/>
        </w:rPr>
        <w:t>强度换算时可能会存在较大误差，首选是建立专用测强曲线进行强度换算，并规定应该建立专用测强曲线的几种情况。</w:t>
      </w:r>
    </w:p>
    <w:p>
      <w:pPr>
        <w:spacing w:line="360" w:lineRule="auto"/>
        <w:rPr>
          <w:rFonts w:eastAsiaTheme="minorEastAsia"/>
          <w:sz w:val="24"/>
          <w:szCs w:val="24"/>
        </w:rPr>
      </w:pPr>
      <w:r>
        <w:rPr>
          <w:rFonts w:eastAsiaTheme="minorEastAsia"/>
          <w:b/>
          <w:iCs/>
          <w:sz w:val="24"/>
          <w:szCs w:val="24"/>
        </w:rPr>
        <w:t xml:space="preserve">F.2.3  </w:t>
      </w:r>
      <w:r>
        <w:rPr>
          <w:rFonts w:eastAsiaTheme="minorEastAsia"/>
          <w:sz w:val="24"/>
          <w:szCs w:val="24"/>
        </w:rPr>
        <w:t>本标准在大量试验研究的基础上，提供常用品牌套筒灌浆料的统一测强曲线，其相关系数为0.75，平均相对误差</w:t>
      </w:r>
      <w:r>
        <w:rPr>
          <w:rFonts w:eastAsiaTheme="minorEastAsia"/>
          <w:position w:val="-6"/>
          <w:sz w:val="24"/>
          <w:szCs w:val="24"/>
        </w:rPr>
        <w:object>
          <v:shape id="_x0000_i1160" o:spt="75" type="#_x0000_t75" style="height:15pt;width:67.95pt;" o:ole="t" filled="f" o:preferrelative="t" stroked="f" coordsize="21600,21600">
            <v:path/>
            <v:fill on="f" focussize="0,0"/>
            <v:stroke on="f" joinstyle="miter"/>
            <v:imagedata r:id="rId270" o:title=""/>
            <o:lock v:ext="edit" aspectratio="t"/>
            <w10:wrap type="none"/>
            <w10:anchorlock/>
          </v:shape>
          <o:OLEObject Type="Embed" ProgID="Equation.DSMT4" ShapeID="_x0000_i1160" DrawAspect="Content" ObjectID="_1468075860" r:id="rId269">
            <o:LockedField>false</o:LockedField>
          </o:OLEObject>
        </w:object>
      </w:r>
      <w:r>
        <w:rPr>
          <w:rFonts w:eastAsiaTheme="minorEastAsia"/>
          <w:sz w:val="24"/>
          <w:szCs w:val="24"/>
        </w:rPr>
        <w:t>，相对标准差</w:t>
      </w:r>
      <w:r>
        <w:rPr>
          <w:rFonts w:eastAsiaTheme="minorEastAsia"/>
          <w:position w:val="-12"/>
          <w:sz w:val="24"/>
          <w:szCs w:val="24"/>
        </w:rPr>
        <w:object>
          <v:shape id="_x0000_i1161" o:spt="75" type="#_x0000_t75" style="height:19.6pt;width:60.5pt;" o:ole="t" filled="f" o:preferrelative="t" stroked="f" coordsize="21600,21600">
            <v:path/>
            <v:fill on="f" focussize="0,0"/>
            <v:stroke on="f" joinstyle="miter"/>
            <v:imagedata r:id="rId272" o:title=""/>
            <o:lock v:ext="edit" aspectratio="t"/>
            <w10:wrap type="none"/>
            <w10:anchorlock/>
          </v:shape>
          <o:OLEObject Type="Embed" ProgID="Equation.DSMT4" ShapeID="_x0000_i1161" DrawAspect="Content" ObjectID="_1468075861" r:id="rId271">
            <o:LockedField>false</o:LockedField>
          </o:OLEObject>
        </w:object>
      </w:r>
      <w:r>
        <w:rPr>
          <w:rFonts w:eastAsiaTheme="minorEastAsia"/>
          <w:sz w:val="24"/>
          <w:szCs w:val="24"/>
        </w:rPr>
        <w:t>。可以使用本条给出的统一测强曲线公式，当对抗压强度检测结果有异议时，应考虑建立专用测强曲线对灌浆料抗压强度进行换算。</w:t>
      </w:r>
    </w:p>
    <w:p>
      <w:pPr>
        <w:spacing w:line="360" w:lineRule="auto"/>
        <w:rPr>
          <w:rFonts w:eastAsiaTheme="minorEastAsia"/>
          <w:sz w:val="24"/>
          <w:szCs w:val="24"/>
        </w:rPr>
      </w:pPr>
      <w:r>
        <w:rPr>
          <w:rFonts w:eastAsiaTheme="minorEastAsia"/>
          <w:b/>
          <w:iCs/>
          <w:color w:val="000000" w:themeColor="text1"/>
          <w:sz w:val="24"/>
          <w:szCs w:val="24"/>
          <w14:textFill>
            <w14:solidFill>
              <w14:schemeClr w14:val="tx1"/>
            </w14:solidFill>
          </w14:textFill>
        </w:rPr>
        <w:t xml:space="preserve">F.2.4  </w:t>
      </w:r>
      <w:r>
        <w:rPr>
          <w:rFonts w:hint="eastAsia" w:eastAsiaTheme="minorEastAsia"/>
          <w:iCs/>
          <w:color w:val="000000" w:themeColor="text1"/>
          <w:sz w:val="24"/>
          <w:szCs w:val="24"/>
          <w14:textFill>
            <w14:solidFill>
              <w14:schemeClr w14:val="tx1"/>
            </w14:solidFill>
          </w14:textFill>
        </w:rPr>
        <w:t>本条规定了</w:t>
      </w:r>
      <w:r>
        <w:rPr>
          <w:color w:val="000000" w:themeColor="text1"/>
          <w:sz w:val="24"/>
          <w:szCs w:val="24"/>
          <w14:textFill>
            <w14:solidFill>
              <w14:schemeClr w14:val="tx1"/>
            </w14:solidFill>
          </w14:textFill>
        </w:rPr>
        <w:t>灌浆料抗压强度</w:t>
      </w:r>
      <w:r>
        <w:rPr>
          <w:rFonts w:hint="eastAsia"/>
          <w:color w:val="000000" w:themeColor="text1"/>
          <w:sz w:val="24"/>
          <w:szCs w:val="24"/>
          <w14:textFill>
            <w14:solidFill>
              <w14:schemeClr w14:val="tx1"/>
            </w14:solidFill>
          </w14:textFill>
        </w:rPr>
        <w:t>的推定方法，若按</w:t>
      </w:r>
      <w:r>
        <w:rPr>
          <w:rFonts w:hint="eastAsia" w:eastAsiaTheme="minorEastAsia"/>
          <w:iCs/>
          <w:color w:val="000000" w:themeColor="text1"/>
          <w:sz w:val="24"/>
          <w:szCs w:val="24"/>
          <w14:textFill>
            <w14:solidFill>
              <w14:schemeClr w14:val="tx1"/>
            </w14:solidFill>
          </w14:textFill>
        </w:rPr>
        <w:t>检测批推定，其推定方法与取样法检测相同</w:t>
      </w:r>
      <w:r>
        <w:rPr>
          <w:rFonts w:hint="eastAsia" w:eastAsiaTheme="minorEastAsia"/>
          <w:color w:val="000000" w:themeColor="text1"/>
          <w:sz w:val="24"/>
          <w14:textFill>
            <w14:solidFill>
              <w14:schemeClr w14:val="tx1"/>
            </w14:solidFill>
          </w14:textFill>
        </w:rPr>
        <w:t>。</w:t>
      </w:r>
    </w:p>
    <w:p>
      <w:pPr>
        <w:keepNext/>
        <w:keepLines/>
        <w:spacing w:line="360" w:lineRule="auto"/>
        <w:jc w:val="center"/>
        <w:rPr>
          <w:rFonts w:eastAsiaTheme="minorEastAsia"/>
          <w:b/>
          <w:kern w:val="0"/>
          <w:sz w:val="24"/>
          <w:szCs w:val="24"/>
        </w:rPr>
      </w:pPr>
      <w:r>
        <w:rPr>
          <w:rFonts w:eastAsiaTheme="minorEastAsia"/>
          <w:b/>
          <w:kern w:val="0"/>
          <w:sz w:val="24"/>
          <w:szCs w:val="24"/>
        </w:rPr>
        <w:t>F.3  测强曲线建立方法</w:t>
      </w:r>
    </w:p>
    <w:p>
      <w:pPr>
        <w:spacing w:line="360" w:lineRule="auto"/>
        <w:rPr>
          <w:rFonts w:eastAsiaTheme="minorEastAsia"/>
          <w:b/>
          <w:bCs/>
          <w:color w:val="000000" w:themeColor="text1"/>
          <w:sz w:val="24"/>
          <w14:textFill>
            <w14:solidFill>
              <w14:schemeClr w14:val="tx1"/>
            </w14:solidFill>
          </w14:textFill>
        </w:rPr>
      </w:pPr>
      <w:r>
        <w:rPr>
          <w:rFonts w:eastAsiaTheme="minorEastAsia"/>
          <w:b/>
          <w:color w:val="000000" w:themeColor="text1"/>
          <w:sz w:val="24"/>
          <w:szCs w:val="24"/>
          <w14:textFill>
            <w14:solidFill>
              <w14:schemeClr w14:val="tx1"/>
            </w14:solidFill>
          </w14:textFill>
        </w:rPr>
        <w:t>F.3.1</w:t>
      </w:r>
      <w:r>
        <w:rPr>
          <w:rFonts w:eastAsiaTheme="minorEastAsia"/>
          <w:color w:val="000000" w:themeColor="text1"/>
          <w:sz w:val="24"/>
          <w:szCs w:val="24"/>
          <w14:textFill>
            <w14:solidFill>
              <w14:schemeClr w14:val="tx1"/>
            </w14:solidFill>
          </w14:textFill>
        </w:rPr>
        <w:t xml:space="preserve">  为了能准确地建立测强曲线，应选择与现场使用一致的灌浆料，并按照产品说明书中所要求的设计掺水量进行拌制。在进行测强曲线拟合时，需要有多个不同的回弹值和抗压强度值的对应点，因此采用龄期控制的方式，在不同灌浆料强度下测试回弹值和进行抗压强度试验。在测试回弹值时，是通过在混凝土试件中预埋PVC管的方式来模拟现场实际情况。</w:t>
      </w:r>
    </w:p>
    <w:p>
      <w:pPr>
        <w:spacing w:line="360" w:lineRule="auto"/>
        <w:rPr>
          <w:rFonts w:eastAsiaTheme="minorEastAsia"/>
          <w:sz w:val="24"/>
          <w:szCs w:val="24"/>
        </w:rPr>
      </w:pPr>
      <w:r>
        <w:rPr>
          <w:rFonts w:eastAsiaTheme="minorEastAsia"/>
          <w:b/>
          <w:color w:val="000000" w:themeColor="text1"/>
          <w:sz w:val="24"/>
          <w:szCs w:val="24"/>
          <w14:textFill>
            <w14:solidFill>
              <w14:schemeClr w14:val="tx1"/>
            </w14:solidFill>
          </w14:textFill>
        </w:rPr>
        <w:t>F.3.2</w:t>
      </w:r>
      <w:r>
        <w:rPr>
          <w:rFonts w:eastAsiaTheme="minorEastAsia"/>
          <w:color w:val="000000" w:themeColor="text1"/>
          <w:sz w:val="24"/>
          <w:szCs w:val="24"/>
          <w14:textFill>
            <w14:solidFill>
              <w14:schemeClr w14:val="tx1"/>
            </w14:solidFill>
          </w14:textFill>
        </w:rPr>
        <w:t xml:space="preserve">  为了确保弹击时混凝土试块不发生移动，在回弹测试前在混凝土的成型面上施加3</w:t>
      </w:r>
      <w:r>
        <w:rPr>
          <w:color w:val="000000" w:themeColor="text1"/>
          <w:sz w:val="24"/>
          <w:szCs w:val="24"/>
          <w14:textFill>
            <w14:solidFill>
              <w14:schemeClr w14:val="tx1"/>
            </w14:solidFill>
          </w14:textFill>
        </w:rPr>
        <w:t>N/mm</w:t>
      </w:r>
      <w:r>
        <w:rPr>
          <w:color w:val="000000" w:themeColor="text1"/>
          <w:sz w:val="24"/>
          <w:szCs w:val="24"/>
          <w:vertAlign w:val="superscript"/>
          <w14:textFill>
            <w14:solidFill>
              <w14:schemeClr w14:val="tx1"/>
            </w14:solidFill>
          </w14:textFill>
        </w:rPr>
        <w:t>2</w:t>
      </w:r>
      <w:r>
        <w:rPr>
          <w:rFonts w:eastAsiaTheme="minor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5N/mm</w:t>
      </w:r>
      <w:r>
        <w:rPr>
          <w:color w:val="000000" w:themeColor="text1"/>
          <w:sz w:val="24"/>
          <w:szCs w:val="24"/>
          <w:vertAlign w:val="superscript"/>
          <w14:textFill>
            <w14:solidFill>
              <w14:schemeClr w14:val="tx1"/>
            </w14:solidFill>
          </w14:textFill>
        </w:rPr>
        <w:t>2</w:t>
      </w:r>
      <w:r>
        <w:rPr>
          <w:rFonts w:eastAsiaTheme="minorEastAsia"/>
          <w:color w:val="000000" w:themeColor="text1"/>
          <w:sz w:val="24"/>
          <w:szCs w:val="24"/>
          <w14:textFill>
            <w14:solidFill>
              <w14:schemeClr w14:val="tx1"/>
            </w14:solidFill>
          </w14:textFill>
        </w:rPr>
        <w:t>的竖向压力值，且在弹击过程中压力保持不变。</w:t>
      </w:r>
    </w:p>
    <w:p>
      <w:pPr>
        <w:spacing w:line="300" w:lineRule="auto"/>
        <w:rPr>
          <w:rFonts w:eastAsiaTheme="minorEastAsia"/>
          <w:sz w:val="24"/>
          <w:szCs w:val="24"/>
        </w:rPr>
      </w:pPr>
      <w:r>
        <w:rPr>
          <w:bCs/>
          <w:sz w:val="24"/>
          <w:szCs w:val="24"/>
        </w:rPr>
        <w:br w:type="page"/>
      </w:r>
    </w:p>
    <w:p>
      <w:pPr>
        <w:pStyle w:val="89"/>
      </w:pPr>
      <w:bookmarkStart w:id="260" w:name="_Toc120020339"/>
      <w:bookmarkStart w:id="261" w:name="_Toc116397194"/>
      <w:bookmarkStart w:id="262" w:name="_Toc120020409"/>
      <w:r>
        <w:t>附录G  钻孔内窥法检测技术</w:t>
      </w:r>
      <w:bookmarkEnd w:id="260"/>
      <w:bookmarkEnd w:id="261"/>
      <w:bookmarkEnd w:id="262"/>
    </w:p>
    <w:p>
      <w:pPr>
        <w:adjustRightInd w:val="0"/>
        <w:snapToGrid w:val="0"/>
        <w:spacing w:line="360" w:lineRule="auto"/>
        <w:rPr>
          <w:rFonts w:eastAsiaTheme="minorEastAsia"/>
          <w:sz w:val="24"/>
          <w:szCs w:val="24"/>
        </w:rPr>
      </w:pPr>
      <w:r>
        <w:rPr>
          <w:rFonts w:eastAsiaTheme="minorEastAsia"/>
          <w:b/>
          <w:iCs/>
          <w:sz w:val="24"/>
          <w:szCs w:val="24"/>
        </w:rPr>
        <w:t xml:space="preserve">G.0.2  </w:t>
      </w:r>
      <w:r>
        <w:rPr>
          <w:rFonts w:eastAsiaTheme="minorEastAsia"/>
          <w:bCs/>
          <w:iCs/>
          <w:sz w:val="24"/>
          <w:szCs w:val="24"/>
        </w:rPr>
        <w:t>具有尺寸</w:t>
      </w:r>
      <w:r>
        <w:rPr>
          <w:rFonts w:eastAsiaTheme="minorEastAsia"/>
          <w:sz w:val="24"/>
          <w:szCs w:val="24"/>
        </w:rPr>
        <w:t>测量功能的内窥镜采用非接触式测量技术，可测量镜头与被测物表面选定点之间的距离或测量选定点与选定平面之间的距离。内窥镜在伸入内部时需要有一定的转动空间，故对最小钻孔直径进行了限制。</w:t>
      </w:r>
    </w:p>
    <w:p>
      <w:pPr>
        <w:adjustRightInd w:val="0"/>
        <w:snapToGrid w:val="0"/>
        <w:spacing w:line="360" w:lineRule="auto"/>
        <w:rPr>
          <w:rFonts w:eastAsiaTheme="minorEastAsia"/>
          <w:sz w:val="24"/>
          <w:szCs w:val="24"/>
        </w:rPr>
      </w:pPr>
      <w:r>
        <w:rPr>
          <w:rFonts w:eastAsiaTheme="minorEastAsia"/>
          <w:b/>
          <w:iCs/>
          <w:sz w:val="24"/>
          <w:szCs w:val="24"/>
        </w:rPr>
        <w:t xml:space="preserve">G.0.3 </w:t>
      </w:r>
      <w:r>
        <w:rPr>
          <w:rFonts w:eastAsiaTheme="minorEastAsia"/>
          <w:sz w:val="24"/>
          <w:szCs w:val="24"/>
        </w:rPr>
        <w:t xml:space="preserve"> 当出浆孔道和灌浆孔道呈直线型时，首选沿着出浆孔道和灌浆孔道进行钻孔。为了避免损伤套筒壁，钻孔需要沿着出浆管和灌浆管的走向，从而让检测通道经过出浆孔和灌浆孔贯通至套筒内部。</w:t>
      </w:r>
    </w:p>
    <w:p>
      <w:pPr>
        <w:adjustRightInd w:val="0"/>
        <w:snapToGrid w:val="0"/>
        <w:spacing w:line="360" w:lineRule="auto"/>
        <w:rPr>
          <w:rFonts w:eastAsiaTheme="minorEastAsia"/>
          <w:sz w:val="24"/>
          <w:szCs w:val="24"/>
        </w:rPr>
      </w:pPr>
      <w:r>
        <w:rPr>
          <w:rFonts w:eastAsiaTheme="minorEastAsia"/>
          <w:b/>
          <w:iCs/>
          <w:sz w:val="24"/>
          <w:szCs w:val="24"/>
        </w:rPr>
        <w:t xml:space="preserve">G.0.4 </w:t>
      </w:r>
      <w:r>
        <w:rPr>
          <w:rFonts w:eastAsiaTheme="minorEastAsia"/>
          <w:sz w:val="24"/>
          <w:szCs w:val="24"/>
        </w:rPr>
        <w:t xml:space="preserve"> 当出浆孔道和灌浆孔道不是直线型时，此时可考虑直接钻透混凝土保护层，在套筒壁上钻孔，形成检测通道。钻孔时先使用石工钻头从混凝土表面钻透混凝土保护层，然后更换为金工钻头钻透套筒壁，再换为石工钻头继续钻至钢筋表面。此方法会对套筒壁造成一定的损伤，削弱了套筒的截面面积，因此，要限制钻孔的数量和直径。钻孔高度距出浆孔的距离不应过大，以免因灌浆料顶部界面位于钻孔位置和出浆孔之间，给检测结果的判定带来不便。</w:t>
      </w:r>
    </w:p>
    <w:p>
      <w:pPr>
        <w:adjustRightInd w:val="0"/>
        <w:snapToGrid w:val="0"/>
        <w:spacing w:line="360" w:lineRule="auto"/>
        <w:rPr>
          <w:rFonts w:eastAsiaTheme="minorEastAsia"/>
          <w:sz w:val="24"/>
          <w:szCs w:val="24"/>
        </w:rPr>
      </w:pPr>
      <w:r>
        <w:rPr>
          <w:rFonts w:eastAsiaTheme="minorEastAsia"/>
          <w:b/>
          <w:iCs/>
          <w:sz w:val="24"/>
          <w:szCs w:val="24"/>
        </w:rPr>
        <w:t xml:space="preserve">G.0.5  </w:t>
      </w:r>
      <w:r>
        <w:rPr>
          <w:rFonts w:eastAsiaTheme="minorEastAsia"/>
          <w:color w:val="000000" w:themeColor="text1"/>
          <w:sz w:val="24"/>
          <w:szCs w:val="24"/>
          <w14:textFill>
            <w14:solidFill>
              <w14:schemeClr w14:val="tx1"/>
            </w14:solidFill>
          </w14:textFill>
        </w:rPr>
        <w:t>需要根据套筒产品尺寸和保护厚度实测厚度确定钻孔深度，</w:t>
      </w:r>
      <w:r>
        <w:rPr>
          <w:rFonts w:eastAsiaTheme="minorEastAsia"/>
          <w:bCs/>
          <w:iCs/>
          <w:color w:val="000000" w:themeColor="text1"/>
          <w:sz w:val="24"/>
          <w:szCs w:val="24"/>
          <w14:textFill>
            <w14:solidFill>
              <w14:schemeClr w14:val="tx1"/>
            </w14:solidFill>
          </w14:textFill>
        </w:rPr>
        <w:t>钻孔深度既要能满足检测要求，同时要控制对套筒壁和套筒内钢筋造成损伤，避免对钢筋截面和套筒截面的面积造成明显削弱，故规定钢筋表面最大损伤深度和钻孔深度最大限值的控制要求。对于半灌浆套筒，装配端插入钢筋的上端头可以不受表面最大损伤深度的限值控制，此处的钢筋受力很小；钻孔深度最大限值的</w:t>
      </w:r>
      <w:r>
        <w:rPr>
          <w:rFonts w:eastAsiaTheme="minorEastAsia"/>
          <w:bCs/>
          <w:iCs/>
          <w:sz w:val="24"/>
          <w:szCs w:val="24"/>
        </w:rPr>
        <w:t>公式（</w:t>
      </w:r>
      <w:r>
        <w:rPr>
          <w:rFonts w:eastAsiaTheme="minorEastAsia"/>
          <w:iCs/>
          <w:sz w:val="24"/>
          <w:szCs w:val="24"/>
        </w:rPr>
        <w:t>G.0.5</w:t>
      </w:r>
      <w:r>
        <w:rPr>
          <w:rFonts w:eastAsiaTheme="minorEastAsia"/>
          <w:bCs/>
          <w:iCs/>
          <w:sz w:val="24"/>
          <w:szCs w:val="24"/>
        </w:rPr>
        <w:t>）是在</w:t>
      </w:r>
      <w:r>
        <w:rPr>
          <w:rFonts w:eastAsiaTheme="minorEastAsia"/>
          <w:bCs/>
          <w:iCs/>
          <w:color w:val="000000" w:themeColor="text1"/>
          <w:sz w:val="24"/>
          <w:szCs w:val="24"/>
          <w14:textFill>
            <w14:solidFill>
              <w14:schemeClr w14:val="tx1"/>
            </w14:solidFill>
          </w14:textFill>
        </w:rPr>
        <w:t>套筒内壁距离混凝土表面的最大距离再减去6mm，计算时需要采用套筒处混凝土保护层厚度实测值和套筒产品尺寸设计值。在实际操作中，应控制钻头推进的速度，要循序渐进，通过尺寸控制和内窥镜辅助观察，要尽量避免或减小对钢筋和套筒内壁造成损伤。在灌浆不饱满的部位，通过内窥镜一般可以明显识别出是钢筋还是套筒内壁；当有灌浆料包裹时，通过内窥镜检查有时无法区分是钢筋还是套筒内壁，故只要在套筒内观察到金属体就应停止钻孔。</w:t>
      </w:r>
      <w:r>
        <w:rPr>
          <w:rFonts w:eastAsiaTheme="minorEastAsia"/>
          <w:color w:val="000000" w:themeColor="text1"/>
          <w:sz w:val="24"/>
          <w:szCs w:val="24"/>
          <w14:textFill>
            <w14:solidFill>
              <w14:schemeClr w14:val="tx1"/>
            </w14:solidFill>
          </w14:textFill>
        </w:rPr>
        <w:t>钻孔后通道内会残留灰尘，若检测前不进行清理，内窥镜镜头易被灰尘包裹，影响检测精度。</w:t>
      </w:r>
    </w:p>
    <w:p>
      <w:pPr>
        <w:pStyle w:val="72"/>
        <w:spacing w:line="360" w:lineRule="auto"/>
        <w:ind w:firstLine="0" w:firstLineChars="0"/>
        <w:rPr>
          <w:rFonts w:eastAsiaTheme="minorEastAsia"/>
          <w:sz w:val="24"/>
          <w:szCs w:val="24"/>
        </w:rPr>
      </w:pPr>
      <w:r>
        <w:rPr>
          <w:rFonts w:eastAsiaTheme="minorEastAsia"/>
          <w:b/>
          <w:iCs/>
          <w:sz w:val="24"/>
          <w:szCs w:val="24"/>
        </w:rPr>
        <w:t xml:space="preserve">G.0.6 </w:t>
      </w:r>
      <w:r>
        <w:rPr>
          <w:rFonts w:eastAsiaTheme="minorEastAsia"/>
          <w:sz w:val="24"/>
          <w:szCs w:val="24"/>
        </w:rPr>
        <w:t xml:space="preserve"> 套筒灌浆施工工艺要求构件表面的出浆口连续流出液体浆料后封堵出浆口，并未明确套筒灌浆饱满的量化判别标准。本标准根据连通腔灌浆施工的原理，考虑到高于出浆孔下边缘的浆料可能会流出，故将硬化后灌浆料顶部界面达到套筒出浆孔作为灌浆饱满的判定标准。不饱满的缺陷长度检测可以将套筒出浆孔的下边缘作为测量基准点。</w:t>
      </w:r>
    </w:p>
    <w:p>
      <w:pPr>
        <w:pStyle w:val="72"/>
        <w:spacing w:line="360" w:lineRule="auto"/>
        <w:ind w:firstLine="0" w:firstLineChars="0"/>
        <w:rPr>
          <w:rFonts w:eastAsiaTheme="minorEastAsia"/>
          <w:sz w:val="24"/>
          <w:szCs w:val="24"/>
        </w:rPr>
      </w:pPr>
      <w:r>
        <w:rPr>
          <w:rFonts w:eastAsiaTheme="minorEastAsia"/>
          <w:b/>
          <w:iCs/>
          <w:sz w:val="24"/>
          <w:szCs w:val="24"/>
        </w:rPr>
        <w:t xml:space="preserve">G.0.7  </w:t>
      </w:r>
      <w:r>
        <w:rPr>
          <w:rFonts w:eastAsiaTheme="minorEastAsia"/>
          <w:bCs/>
          <w:iCs/>
          <w:sz w:val="24"/>
          <w:szCs w:val="24"/>
        </w:rPr>
        <w:t>内窥法检查套筒内钢筋插入情况是一种定性的检测方法，主要检测所钻孔部位的套筒内部是否有钢筋，即使在套筒出浆孔处发现有钢筋，也不能判定钢筋插入长度满足设计要求，还需要补充检查插入钢筋的连续性。在结果判定时，需要明确钻孔的具体部位。当无法判断套筒内部观察到的金属体是套筒内的钢筋还是套筒内壁时，需要通过确定金属体距离构件表面的距离进行辅助判断，实际检测中应根据套筒外侧混凝土保护层厚度实测值、套筒产品截面尺寸等进行综合判断，并且需要考虑测量误差和产品尺寸允许偏差。</w:t>
      </w:r>
    </w:p>
    <w:p>
      <w:pPr>
        <w:pStyle w:val="72"/>
        <w:spacing w:line="360" w:lineRule="auto"/>
        <w:ind w:firstLine="0" w:firstLineChars="0"/>
        <w:rPr>
          <w:rFonts w:eastAsiaTheme="minorEastAsia"/>
          <w:color w:val="000000" w:themeColor="text1"/>
          <w:sz w:val="24"/>
          <w:szCs w:val="24"/>
          <w14:textFill>
            <w14:solidFill>
              <w14:schemeClr w14:val="tx1"/>
            </w14:solidFill>
          </w14:textFill>
        </w:rPr>
      </w:pPr>
      <w:r>
        <w:rPr>
          <w:rFonts w:eastAsiaTheme="minorEastAsia"/>
          <w:b/>
          <w:iCs/>
          <w:color w:val="000000" w:themeColor="text1"/>
          <w:sz w:val="24"/>
          <w:szCs w:val="24"/>
          <w14:textFill>
            <w14:solidFill>
              <w14:schemeClr w14:val="tx1"/>
            </w14:solidFill>
          </w14:textFill>
        </w:rPr>
        <w:t xml:space="preserve">G.0.8  </w:t>
      </w:r>
      <w:r>
        <w:rPr>
          <w:rFonts w:eastAsiaTheme="minorEastAsia"/>
          <w:bCs/>
          <w:iCs/>
          <w:color w:val="000000" w:themeColor="text1"/>
          <w:sz w:val="24"/>
          <w:szCs w:val="24"/>
          <w14:textFill>
            <w14:solidFill>
              <w14:schemeClr w14:val="tx1"/>
            </w14:solidFill>
          </w14:textFill>
        </w:rPr>
        <w:t>对</w:t>
      </w:r>
      <w:r>
        <w:rPr>
          <w:rFonts w:eastAsiaTheme="minorEastAsia"/>
          <w:iCs/>
          <w:color w:val="000000" w:themeColor="text1"/>
          <w:sz w:val="24"/>
          <w:szCs w:val="24"/>
          <w14:textFill>
            <w14:solidFill>
              <w14:schemeClr w14:val="tx1"/>
            </w14:solidFill>
          </w14:textFill>
        </w:rPr>
        <w:t>全灌浆套筒的装配端钢筋插入情况进行检测，当需要钻透混凝土保护层和套筒壁时，钻孔高度可以从套筒底部为起始端向上确定。</w:t>
      </w:r>
      <w:r>
        <w:rPr>
          <w:rFonts w:eastAsiaTheme="minorEastAsia"/>
          <w:color w:val="000000" w:themeColor="text1"/>
          <w:sz w:val="24"/>
          <w:szCs w:val="24"/>
          <w14:textFill>
            <w14:solidFill>
              <w14:schemeClr w14:val="tx1"/>
            </w14:solidFill>
          </w14:textFill>
        </w:rPr>
        <w:t>根据套筒产品尺寸、钢筋插入长度设计值，计算插入钢筋端部在套筒中的位置，并考虑允许的施工偏差，进而确定钻孔的高度。</w:t>
      </w:r>
    </w:p>
    <w:p>
      <w:pPr>
        <w:pStyle w:val="72"/>
        <w:spacing w:line="360" w:lineRule="auto"/>
        <w:ind w:firstLine="0" w:firstLineChars="0"/>
        <w:rPr>
          <w:rFonts w:eastAsiaTheme="minorEastAsia"/>
          <w:sz w:val="24"/>
          <w:szCs w:val="24"/>
        </w:rPr>
      </w:pPr>
      <w:r>
        <w:rPr>
          <w:rFonts w:eastAsiaTheme="minorEastAsia"/>
          <w:b/>
          <w:color w:val="000000" w:themeColor="text1"/>
          <w:sz w:val="24"/>
          <w:szCs w:val="24"/>
          <w14:textFill>
            <w14:solidFill>
              <w14:schemeClr w14:val="tx1"/>
            </w14:solidFill>
          </w14:textFill>
        </w:rPr>
        <w:t>G.0.9</w:t>
      </w:r>
      <w:r>
        <w:rPr>
          <w:rFonts w:eastAsiaTheme="minorEastAsia"/>
          <w:color w:val="000000" w:themeColor="text1"/>
          <w:sz w:val="24"/>
          <w:szCs w:val="24"/>
          <w14:textFill>
            <w14:solidFill>
              <w14:schemeClr w14:val="tx1"/>
            </w14:solidFill>
          </w14:textFill>
        </w:rPr>
        <w:t xml:space="preserve">  采</w:t>
      </w:r>
      <w:r>
        <w:rPr>
          <w:rFonts w:eastAsiaTheme="minorEastAsia"/>
          <w:sz w:val="24"/>
          <w:szCs w:val="24"/>
        </w:rPr>
        <w:t>用钻孔内窥法检查钢筋插入情况时，并不是直接测量，而是检查钻孔部位套筒内部是否有钢筋，在未确定插入钢筋与下部结构锚固连续性的情况下，不应对钢筋插入长度的符合性进行判定。</w:t>
      </w:r>
    </w:p>
    <w:p>
      <w:pPr>
        <w:pStyle w:val="72"/>
        <w:spacing w:line="360" w:lineRule="auto"/>
        <w:ind w:firstLine="0" w:firstLineChars="0"/>
        <w:rPr>
          <w:rFonts w:eastAsiaTheme="minorEastAsia"/>
          <w:sz w:val="24"/>
          <w:szCs w:val="24"/>
        </w:rPr>
      </w:pPr>
      <w:r>
        <w:rPr>
          <w:rFonts w:eastAsiaTheme="minorEastAsia"/>
          <w:b/>
          <w:color w:val="000000" w:themeColor="text1"/>
          <w:sz w:val="24"/>
          <w:szCs w:val="24"/>
          <w14:textFill>
            <w14:solidFill>
              <w14:schemeClr w14:val="tx1"/>
            </w14:solidFill>
          </w14:textFill>
        </w:rPr>
        <w:t>G.0.10</w:t>
      </w:r>
      <w:r>
        <w:rPr>
          <w:rFonts w:eastAsiaTheme="minorEastAsia"/>
          <w:color w:val="000000" w:themeColor="text1"/>
          <w:sz w:val="24"/>
          <w:szCs w:val="24"/>
          <w14:textFill>
            <w14:solidFill>
              <w14:schemeClr w14:val="tx1"/>
            </w14:solidFill>
          </w14:textFill>
        </w:rPr>
        <w:t xml:space="preserve">  对钻孔形成的检测孔道进行封</w:t>
      </w:r>
      <w:r>
        <w:rPr>
          <w:rFonts w:eastAsiaTheme="minorEastAsia"/>
          <w:sz w:val="24"/>
          <w:szCs w:val="24"/>
        </w:rPr>
        <w:t>闭修复处理，主要是确保钢筋套筒灌浆连接的耐久性不受检测工作的影响。</w:t>
      </w:r>
    </w:p>
    <w:p>
      <w:pPr>
        <w:pStyle w:val="72"/>
        <w:spacing w:line="300" w:lineRule="auto"/>
        <w:ind w:firstLine="0" w:firstLineChars="0"/>
        <w:rPr>
          <w:rFonts w:eastAsiaTheme="minorEastAsia"/>
          <w:sz w:val="24"/>
          <w:szCs w:val="24"/>
        </w:rPr>
      </w:pPr>
      <w:r>
        <w:rPr>
          <w:bCs/>
          <w:sz w:val="24"/>
          <w:szCs w:val="24"/>
        </w:rPr>
        <w:br w:type="page"/>
      </w:r>
    </w:p>
    <w:p>
      <w:pPr>
        <w:pStyle w:val="89"/>
      </w:pPr>
      <w:bookmarkStart w:id="263" w:name="_Toc120020410"/>
      <w:bookmarkStart w:id="264" w:name="_Toc120020340"/>
      <w:bookmarkStart w:id="265" w:name="_Toc116397195"/>
      <w:r>
        <w:t>附录H  X射线成像法检测技术</w:t>
      </w:r>
      <w:bookmarkEnd w:id="263"/>
      <w:bookmarkEnd w:id="264"/>
      <w:bookmarkEnd w:id="265"/>
    </w:p>
    <w:p>
      <w:pPr>
        <w:pStyle w:val="74"/>
        <w:spacing w:line="360" w:lineRule="auto"/>
        <w:ind w:firstLine="0" w:firstLineChars="0"/>
        <w:jc w:val="both"/>
        <w:rPr>
          <w:rFonts w:eastAsiaTheme="minorEastAsia"/>
          <w:i w:val="0"/>
          <w:sz w:val="24"/>
          <w:szCs w:val="24"/>
        </w:rPr>
      </w:pPr>
      <w:r>
        <w:rPr>
          <w:rFonts w:eastAsiaTheme="minorEastAsia"/>
          <w:b/>
          <w:i w:val="0"/>
          <w:iCs/>
          <w:sz w:val="24"/>
          <w:szCs w:val="24"/>
        </w:rPr>
        <w:t xml:space="preserve">H.0.2 </w:t>
      </w:r>
      <w:r>
        <w:rPr>
          <w:rFonts w:eastAsiaTheme="minorEastAsia"/>
          <w:i w:val="0"/>
          <w:sz w:val="24"/>
          <w:szCs w:val="24"/>
        </w:rPr>
        <w:t xml:space="preserve"> 为保证检测工作的安全性，本条对辐射防护、检测单位及人员的资质进行了规定。X射线危害人体健康，必须做好防护措施。根据《中华人民共和国放射性污染防治法》第二十八条规定：“生产、销售、使用放射性同位素和射线装置的单位，应当按照国务院有关放射性同位素与射线装置放射防护的规定申请领取辐射安全许可证，办理登记手续。”。现场检测时，应确保检测现场及其周边的所有人员均在辐射安全区域内。</w:t>
      </w:r>
    </w:p>
    <w:p>
      <w:pPr>
        <w:pStyle w:val="74"/>
        <w:spacing w:line="360" w:lineRule="auto"/>
        <w:ind w:firstLine="0" w:firstLineChars="0"/>
        <w:jc w:val="both"/>
        <w:rPr>
          <w:rFonts w:eastAsiaTheme="minorEastAsia"/>
          <w:i w:val="0"/>
          <w:sz w:val="24"/>
          <w:szCs w:val="24"/>
        </w:rPr>
      </w:pPr>
      <w:r>
        <w:rPr>
          <w:rFonts w:eastAsiaTheme="minorEastAsia"/>
          <w:b/>
          <w:i w:val="0"/>
          <w:iCs/>
          <w:sz w:val="24"/>
          <w:szCs w:val="24"/>
        </w:rPr>
        <w:t xml:space="preserve">H.0.3 </w:t>
      </w:r>
      <w:r>
        <w:rPr>
          <w:rFonts w:eastAsiaTheme="minorEastAsia"/>
          <w:i w:val="0"/>
          <w:sz w:val="24"/>
          <w:szCs w:val="24"/>
        </w:rPr>
        <w:t xml:space="preserve"> X射线检测系统包括便携式X射线机、控制器、连接电缆、成像系统等，其中，数字成像系统包括数字成像装置和图像处理软件。X射线数字成像检测系统具有检测精度高、可实时生成检测图像、可通过处理技术提升成像质量等优势，更适合装配式结构现场检测的要求。对设备的相关要求参照国家现行标准《工业X射线探伤放射防护要求》GBZ 117、《无损检测仪器 工业X射线数字成像装置性能和检测规则》GB/T 36015和《无损检测 X射线数字成像检测 系统特性》GB/T 35394等标准中的规定。X射线数字成像法检测图像</w:t>
      </w:r>
      <w:r>
        <w:rPr>
          <w:rFonts w:eastAsiaTheme="minorEastAsia"/>
          <w:i w:val="0"/>
          <w:color w:val="000000" w:themeColor="text1"/>
          <w:sz w:val="24"/>
          <w:szCs w:val="24"/>
          <w14:textFill>
            <w14:solidFill>
              <w14:schemeClr w14:val="tx1"/>
            </w14:solidFill>
          </w14:textFill>
        </w:rPr>
        <w:t>的归一化信噪比是评判检测结果成像质量的重要指标，信噪比高有利于提高检测的灵敏度，可参照现行国家标准《无损检测 X射线数字成像检测 检测方法》GB/T 35388中的要求，其定义和测量方法可参照现行国家标准《无损检测 X射线数字成像检测 导则》GB/T 35389执行。对于一些不适宜采用数字成像技术的情况，可采用胶片成像，其成像质量可参照现行行业标准</w:t>
      </w:r>
      <w:r>
        <w:rPr>
          <w:rFonts w:eastAsiaTheme="minorEastAsia"/>
          <w:i w:val="0"/>
          <w:sz w:val="24"/>
          <w:szCs w:val="24"/>
        </w:rPr>
        <w:t>《承压设备无损检测第2部分：射线检测》NB/T 47013.2的相关要求。</w:t>
      </w:r>
    </w:p>
    <w:p>
      <w:pPr>
        <w:pStyle w:val="74"/>
        <w:spacing w:line="360" w:lineRule="auto"/>
        <w:ind w:firstLine="0" w:firstLineChars="0"/>
        <w:jc w:val="both"/>
        <w:rPr>
          <w:rFonts w:eastAsiaTheme="minorEastAsia"/>
          <w:i w:val="0"/>
          <w:sz w:val="24"/>
          <w:szCs w:val="24"/>
        </w:rPr>
      </w:pPr>
      <w:r>
        <w:rPr>
          <w:rFonts w:eastAsiaTheme="minorEastAsia"/>
          <w:b/>
          <w:i w:val="0"/>
          <w:iCs/>
          <w:color w:val="000000" w:themeColor="text1"/>
          <w:sz w:val="24"/>
          <w:szCs w:val="24"/>
          <w14:textFill>
            <w14:solidFill>
              <w14:schemeClr w14:val="tx1"/>
            </w14:solidFill>
          </w14:textFill>
        </w:rPr>
        <w:t xml:space="preserve">H.0.5 </w:t>
      </w:r>
      <w:r>
        <w:rPr>
          <w:rFonts w:eastAsiaTheme="minorEastAsia"/>
          <w:i w:val="0"/>
          <w:color w:val="000000" w:themeColor="text1"/>
          <w:sz w:val="24"/>
          <w:szCs w:val="24"/>
          <w14:textFill>
            <w14:solidFill>
              <w14:schemeClr w14:val="tx1"/>
            </w14:solidFill>
          </w14:textFill>
        </w:rPr>
        <w:t xml:space="preserve"> 透照工艺包括管电流、管电压、曝光时间、透照几何参数等，这些参数的</w:t>
      </w:r>
      <w:r>
        <w:rPr>
          <w:rFonts w:eastAsiaTheme="minorEastAsia"/>
          <w:i w:val="0"/>
          <w:sz w:val="24"/>
          <w:szCs w:val="24"/>
        </w:rPr>
        <w:t>选取直接影响成像效果。针对某一固定的检测工况，可通过试验确定各项参数的数值，以保证检测质量。在选择布置仪器位置时，除考虑现场情况外，也应通过合理放置射线机及成像装置减小成像畸变。检测人员防护应遵循辐射防护的三种基本方式，即距离防护、屏蔽防护和时间防护。目前主流的数字成像系统均有配套的专业分析软件，采用软件进行图像处理时，原始的图像参数如灰度值等应保留。</w:t>
      </w:r>
    </w:p>
    <w:p>
      <w:pPr>
        <w:pStyle w:val="74"/>
        <w:spacing w:line="360" w:lineRule="auto"/>
        <w:ind w:firstLine="0" w:firstLineChars="0"/>
        <w:jc w:val="both"/>
        <w:rPr>
          <w:rFonts w:eastAsiaTheme="minorEastAsia"/>
          <w:i w:val="0"/>
          <w:sz w:val="24"/>
          <w:szCs w:val="24"/>
        </w:rPr>
      </w:pPr>
      <w:r>
        <w:rPr>
          <w:rFonts w:eastAsiaTheme="minorEastAsia"/>
          <w:b/>
          <w:i w:val="0"/>
          <w:iCs/>
          <w:sz w:val="24"/>
          <w:szCs w:val="24"/>
        </w:rPr>
        <w:t xml:space="preserve">H.0.6 </w:t>
      </w:r>
      <w:r>
        <w:rPr>
          <w:rFonts w:eastAsiaTheme="minorEastAsia"/>
          <w:i w:val="0"/>
          <w:sz w:val="24"/>
          <w:szCs w:val="24"/>
        </w:rPr>
        <w:t xml:space="preserve"> 局部破损是为了减小射线透射距离或将成像装置放置在有利于成像的位置。局部破损不应截断受力钢筋，不宜截断分布钢筋，且不应扰动检测对象。当需要将成像装置放置在利于成像的位置时，剔凿区域大小及深度应满足放置成像装置的要求，剔凿面积不宜过大，剔凿完毕应进行清理，不得有碎屑或尖锐凸起，以免损伤成像装置。</w:t>
      </w:r>
    </w:p>
    <w:p>
      <w:pPr>
        <w:spacing w:line="360" w:lineRule="auto"/>
        <w:rPr>
          <w:rFonts w:eastAsiaTheme="minorEastAsia"/>
          <w:i/>
          <w:color w:val="000000" w:themeColor="text1"/>
          <w:sz w:val="24"/>
          <w:szCs w:val="24"/>
          <w14:textFill>
            <w14:solidFill>
              <w14:schemeClr w14:val="tx1"/>
            </w14:solidFill>
          </w14:textFill>
        </w:rPr>
      </w:pPr>
      <w:r>
        <w:rPr>
          <w:rFonts w:eastAsiaTheme="minorEastAsia"/>
          <w:b/>
          <w:iCs/>
          <w:sz w:val="24"/>
          <w:szCs w:val="24"/>
        </w:rPr>
        <w:t xml:space="preserve">H.0.7 </w:t>
      </w:r>
      <w:r>
        <w:rPr>
          <w:rFonts w:eastAsiaTheme="minorEastAsia"/>
          <w:sz w:val="24"/>
          <w:szCs w:val="24"/>
        </w:rPr>
        <w:t xml:space="preserve"> 根据投影关系，成像结果相较于实际尺寸会有一定程度的放大，当需要进行尺寸测量时，必须考虑到这种效应。可将射线发射源视作点光源，根据焦距f（射线源与目标物的距离）与焦距F（射线源与成像装置的距离）之间的比例关</w:t>
      </w:r>
      <w:r>
        <w:rPr>
          <w:rFonts w:eastAsiaTheme="minorEastAsia"/>
          <w:color w:val="000000" w:themeColor="text1"/>
          <w:sz w:val="24"/>
          <w:szCs w:val="24"/>
          <w14:textFill>
            <w14:solidFill>
              <w14:schemeClr w14:val="tx1"/>
            </w14:solidFill>
          </w14:textFill>
        </w:rPr>
        <w:t>系，对测量数值进行修正，投影关系示意图见</w:t>
      </w:r>
      <w:r>
        <w:rPr>
          <w:color w:val="000000" w:themeColor="text1"/>
          <w:sz w:val="24"/>
          <w:szCs w:val="24"/>
          <w14:textFill>
            <w14:solidFill>
              <w14:schemeClr w14:val="tx1"/>
            </w14:solidFill>
          </w14:textFill>
        </w:rPr>
        <w:t>图5</w:t>
      </w:r>
      <w:r>
        <w:rPr>
          <w:rFonts w:eastAsiaTheme="minorEastAsia"/>
          <w:color w:val="000000" w:themeColor="text1"/>
          <w:sz w:val="24"/>
          <w:szCs w:val="24"/>
          <w14:textFill>
            <w14:solidFill>
              <w14:schemeClr w14:val="tx1"/>
            </w14:solidFill>
          </w14:textFill>
        </w:rPr>
        <w:t>。</w:t>
      </w:r>
    </w:p>
    <w:p>
      <w:pPr>
        <w:keepNext/>
        <w:spacing w:line="30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805680" cy="2159635"/>
            <wp:effectExtent l="19050" t="0" r="0" b="0"/>
            <wp:docPr id="17" name="图片 3" descr="C:\Users\l\Desktop\7-正式报批稿修改0703\标准附图0709\X射线法检测钢筋插入长度示意图0706.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3" descr="C:\Users\l\Desktop\7-正式报批稿修改0703\标准附图0709\X射线法检测钢筋插入长度示意图0706.jpg"/>
                    <pic:cNvPicPr>
                      <a:picLocks noChangeAspect="true" noChangeArrowheads="true"/>
                    </pic:cNvPicPr>
                  </pic:nvPicPr>
                  <pic:blipFill>
                    <a:blip r:embed="rId273" cstate="print"/>
                    <a:srcRect/>
                    <a:stretch>
                      <a:fillRect/>
                    </a:stretch>
                  </pic:blipFill>
                  <pic:spPr>
                    <a:xfrm>
                      <a:off x="0" y="0"/>
                      <a:ext cx="4805783" cy="2160000"/>
                    </a:xfrm>
                    <a:prstGeom prst="rect">
                      <a:avLst/>
                    </a:prstGeom>
                    <a:noFill/>
                    <a:ln w="9525">
                      <a:noFill/>
                      <a:miter lim="800000"/>
                      <a:headEnd/>
                      <a:tailEnd/>
                    </a:ln>
                  </pic:spPr>
                </pic:pic>
              </a:graphicData>
            </a:graphic>
          </wp:inline>
        </w:drawing>
      </w:r>
    </w:p>
    <w:p>
      <w:pPr>
        <w:spacing w:before="120" w:beforeLines="50" w:after="120" w:afterLine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F—射线源与成像装置的距离；f—射线源与目标物的距离；</w:t>
      </w:r>
    </w:p>
    <w:p>
      <w:pPr>
        <w:spacing w:before="120" w:beforeLines="50" w:after="120" w:afterLine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1—射线机；2—混凝土构件；3—灌浆套筒；4—插入钢筋；5—成像装置</w:t>
      </w:r>
    </w:p>
    <w:p>
      <w:pPr>
        <w:pStyle w:val="6"/>
        <w:spacing w:after="120" w:afterLines="5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图</w:t>
      </w:r>
      <w:r>
        <w:rPr>
          <w:rFonts w:ascii="Times New Roman" w:hAnsi="Times New Roman" w:cs="Times New Roman" w:eastAsiaTheme="minorEastAsia"/>
          <w:b/>
          <w:sz w:val="21"/>
          <w:szCs w:val="21"/>
        </w:rPr>
        <w:fldChar w:fldCharType="begin"/>
      </w:r>
      <w:r>
        <w:rPr>
          <w:rFonts w:ascii="Times New Roman" w:hAnsi="Times New Roman" w:cs="Times New Roman" w:eastAsiaTheme="minorEastAsia"/>
          <w:b/>
          <w:sz w:val="21"/>
          <w:szCs w:val="21"/>
        </w:rPr>
        <w:instrText xml:space="preserve"> SEQ 图 \* ARABIC </w:instrText>
      </w:r>
      <w:r>
        <w:rPr>
          <w:rFonts w:ascii="Times New Roman" w:hAnsi="Times New Roman" w:cs="Times New Roman" w:eastAsiaTheme="minorEastAsia"/>
          <w:b/>
          <w:sz w:val="21"/>
          <w:szCs w:val="21"/>
        </w:rPr>
        <w:fldChar w:fldCharType="separate"/>
      </w:r>
      <w:r>
        <w:rPr>
          <w:rFonts w:ascii="Times New Roman" w:hAnsi="Times New Roman" w:cs="Times New Roman" w:eastAsiaTheme="minorEastAsia"/>
          <w:b/>
          <w:sz w:val="21"/>
          <w:szCs w:val="21"/>
        </w:rPr>
        <w:t>5</w:t>
      </w:r>
      <w:r>
        <w:rPr>
          <w:rFonts w:ascii="Times New Roman" w:hAnsi="Times New Roman" w:cs="Times New Roman" w:eastAsiaTheme="minorEastAsia"/>
          <w:b/>
          <w:sz w:val="21"/>
          <w:szCs w:val="21"/>
        </w:rPr>
        <w:fldChar w:fldCharType="end"/>
      </w:r>
      <w:r>
        <w:rPr>
          <w:rFonts w:ascii="Times New Roman" w:hAnsi="Times New Roman" w:cs="Times New Roman" w:eastAsiaTheme="minorEastAsia"/>
          <w:b/>
          <w:sz w:val="21"/>
          <w:szCs w:val="21"/>
        </w:rPr>
        <w:t xml:space="preserve">  投影修正示意图</w:t>
      </w:r>
    </w:p>
    <w:p>
      <w:pPr>
        <w:pStyle w:val="74"/>
        <w:spacing w:line="360" w:lineRule="auto"/>
        <w:ind w:firstLine="0" w:firstLineChars="0"/>
        <w:jc w:val="both"/>
        <w:rPr>
          <w:rFonts w:eastAsiaTheme="minorEastAsia"/>
          <w:i w:val="0"/>
          <w:sz w:val="24"/>
          <w:szCs w:val="24"/>
        </w:rPr>
      </w:pPr>
      <w:r>
        <w:rPr>
          <w:rFonts w:eastAsiaTheme="minorEastAsia"/>
          <w:b/>
          <w:i w:val="0"/>
          <w:iCs/>
          <w:color w:val="000000" w:themeColor="text1"/>
          <w:sz w:val="24"/>
          <w:szCs w:val="24"/>
          <w14:textFill>
            <w14:solidFill>
              <w14:schemeClr w14:val="tx1"/>
            </w14:solidFill>
          </w14:textFill>
        </w:rPr>
        <w:t>H.0.8～H.0.9</w:t>
      </w:r>
      <w:r>
        <w:rPr>
          <w:rFonts w:eastAsiaTheme="minorEastAsia"/>
          <w:i w:val="0"/>
          <w:color w:val="000000" w:themeColor="text1"/>
          <w:sz w:val="24"/>
          <w:szCs w:val="24"/>
          <w14:textFill>
            <w14:solidFill>
              <w14:schemeClr w14:val="tx1"/>
            </w14:solidFill>
          </w14:textFill>
        </w:rPr>
        <w:t xml:space="preserve">  X</w:t>
      </w:r>
      <w:r>
        <w:rPr>
          <w:rFonts w:eastAsiaTheme="minorEastAsia"/>
          <w:i w:val="0"/>
          <w:sz w:val="24"/>
          <w:szCs w:val="24"/>
        </w:rPr>
        <w:t>射线评片具有一定程度上的主观性，为保证检测结果的客观公正性，评片人员应具备相应执业资格。通过有效识别灌浆料及锚固钢筋的轮廓，分析判定灌浆饱满度及钢筋锚固长度是否符合要求。一般而言，钢筋轮廓较易识别，而在部分情况下，灌浆料顶部界面可能存在无法清晰成像的情况，这个时候可固定透照工艺及分析处理参数，通过试验分别得出特定工况下浆料部分和空腔部分的黑度值范围或灰度值范围，作为检测结果评价的参考。</w:t>
      </w:r>
      <w:r>
        <w:rPr>
          <w:rFonts w:eastAsiaTheme="minorEastAsia"/>
          <w:i w:val="0"/>
          <w:color w:val="000000" w:themeColor="text1"/>
          <w:sz w:val="24"/>
          <w:szCs w:val="24"/>
          <w14:textFill>
            <w14:solidFill>
              <w14:schemeClr w14:val="tx1"/>
            </w14:solidFill>
          </w14:textFill>
        </w:rPr>
        <w:t>当通过黑度值或灰度值无法识别灌浆料顶部界面时，需要采用钻孔内窥法进行直接检查和测量</w:t>
      </w:r>
      <w:r>
        <w:rPr>
          <w:rFonts w:eastAsiaTheme="minorEastAsia"/>
          <w:i w:val="0"/>
          <w:sz w:val="24"/>
          <w:szCs w:val="24"/>
        </w:rPr>
        <w:t>。</w:t>
      </w:r>
    </w:p>
    <w:sectPr>
      <w:pgSz w:w="11907" w:h="16840"/>
      <w:pgMar w:top="1440" w:right="1797" w:bottom="1440" w:left="1797" w:header="72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alibri Light">
    <w:altName w:val="DejaVu Sans"/>
    <w:panose1 w:val="020F0302020204030204"/>
    <w:charset w:val="00"/>
    <w:family w:val="swiss"/>
    <w:pitch w:val="default"/>
    <w:sig w:usb0="00000000" w:usb1="00000000" w:usb2="00000009" w:usb3="00000000" w:csb0="200001FF" w:csb1="00000000"/>
  </w:font>
  <w:font w:name="MingLiU">
    <w:altName w:val="方正书宋_GBK"/>
    <w:panose1 w:val="02020509000000000000"/>
    <w:charset w:val="88"/>
    <w:family w:val="modern"/>
    <w:pitch w:val="default"/>
    <w:sig w:usb0="00000000" w:usb1="00000000" w:usb2="00000016" w:usb3="00000000" w:csb0="00100001" w:csb1="00000000"/>
  </w:font>
  <w:font w:name="PMingLiU">
    <w:altName w:val="文泉驿微米黑"/>
    <w:panose1 w:val="02020500000000000000"/>
    <w:charset w:val="88"/>
    <w:family w:val="roman"/>
    <w:pitch w:val="default"/>
    <w:sig w:usb0="00000000" w:usb1="00000000" w:usb2="00000016" w:usb3="00000000" w:csb0="00100001" w:csb1="00000000"/>
  </w:font>
  <w:font w:name="仿宋_GB2312">
    <w:panose1 w:val="02010609030101010101"/>
    <w:charset w:val="86"/>
    <w:family w:val="modern"/>
    <w:pitch w:val="default"/>
    <w:sig w:usb0="00000001" w:usb1="080E0000" w:usb2="00000000" w:usb3="00000000" w:csb0="00040000" w:csb1="00000000"/>
  </w:font>
  <w:font w:name="Adobe 黑体 Std R">
    <w:altName w:val="方正黑体_GBK"/>
    <w:panose1 w:val="00000000000000000000"/>
    <w:charset w:val="86"/>
    <w:family w:val="swiss"/>
    <w:pitch w:val="default"/>
    <w:sig w:usb0="00000000" w:usb1="00000000" w:usb2="00000016" w:usb3="00000000" w:csb0="00060007" w:csb1="00000000"/>
  </w:font>
  <w:font w:name="楷体">
    <w:altName w:val="方正楷体_GBK"/>
    <w:panose1 w:val="02010609060101010101"/>
    <w:charset w:val="86"/>
    <w:family w:val="modern"/>
    <w:pitch w:val="default"/>
    <w:sig w:usb0="00000000" w:usb1="00000000" w:usb2="00000016" w:usb3="00000000" w:csb0="00040001" w:csb1="00000000"/>
  </w:font>
  <w:font w:name="Cambria Math">
    <w:altName w:val="DejaVu Math TeX Gyre"/>
    <w:panose1 w:val="02040503050406030204"/>
    <w:charset w:val="00"/>
    <w:family w:val="roman"/>
    <w:pitch w:val="default"/>
    <w:sig w:usb0="00000000" w:usb1="00000000" w:usb2="02000000" w:usb3="00000000" w:csb0="2000019F" w:csb1="00000000"/>
  </w:font>
  <w:font w:name="MS Mincho">
    <w:altName w:val="方正书宋_GBK"/>
    <w:panose1 w:val="02020609040205080304"/>
    <w:charset w:val="80"/>
    <w:family w:val="modern"/>
    <w:pitch w:val="default"/>
    <w:sig w:usb0="00000000" w:usb1="00000000" w:usb2="00000012" w:usb3="00000000" w:csb0="0002009F" w:csb1="00000000"/>
  </w:font>
  <w:font w:name="仿宋">
    <w:altName w:val="方正仿宋_GBK"/>
    <w:panose1 w:val="02010609060101010101"/>
    <w:charset w:val="86"/>
    <w:family w:val="modern"/>
    <w:pitch w:val="default"/>
    <w:sig w:usb0="00000000" w:usb1="00000000"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文泉驿正黑">
    <w:panose1 w:val="02000603000000000000"/>
    <w:charset w:val="86"/>
    <w:family w:val="auto"/>
    <w:pitch w:val="default"/>
    <w:sig w:usb0="900002BF" w:usb1="2BDF7DFB" w:usb2="00000036" w:usb3="00000000" w:csb0="603E000D" w:csb1="D2D7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DejaVu Math TeX Gyre">
    <w:panose1 w:val="02000503000000000000"/>
    <w:charset w:val="00"/>
    <w:family w:val="auto"/>
    <w:pitch w:val="default"/>
    <w:sig w:usb0="A10000EF" w:usb1="4201F9EE" w:usb2="02000000" w:usb3="00000000" w:csb0="60000193" w:csb1="0DD40000"/>
  </w:font>
  <w:font w:name="文泉驿微米黑">
    <w:panose1 w:val="020B0606030804020204"/>
    <w:charset w:val="86"/>
    <w:family w:val="auto"/>
    <w:pitch w:val="default"/>
    <w:sig w:usb0="E10002EF" w:usb1="6BDFFCFB" w:usb2="00800036" w:usb3="00000000" w:csb0="603E019F" w:csb1="DFD7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9751116"/>
    </w:sdtPr>
    <w:sdtContent>
      <w:p>
        <w:pPr>
          <w:pStyle w:val="15"/>
          <w:jc w:val="cen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right" w:y="1"/>
      <w:rPr>
        <w:rStyle w:val="27"/>
      </w:rPr>
    </w:pPr>
    <w:r>
      <w:rPr>
        <w:rStyle w:val="27"/>
      </w:rPr>
      <w:fldChar w:fldCharType="begin"/>
    </w:r>
    <w:r>
      <w:rPr>
        <w:rStyle w:val="27"/>
      </w:rPr>
      <w:instrText xml:space="preserve">PAGE  </w:instrText>
    </w:r>
    <w:r>
      <w:rPr>
        <w:rStyle w:val="27"/>
      </w:rPr>
      <w:fldChar w:fldCharType="end"/>
    </w:r>
  </w:p>
  <w:p>
    <w:pPr>
      <w:pStyle w:val="1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26558505"/>
    </w:sdtPr>
    <w:sdtContent>
      <w:p>
        <w:pPr>
          <w:pStyle w:val="15"/>
          <w:jc w:val="center"/>
        </w:pPr>
        <w:r>
          <w:rPr>
            <w:lang w:val="zh-CN"/>
          </w:rPr>
          <w:fldChar w:fldCharType="begin"/>
        </w:r>
        <w:r>
          <w:rPr>
            <w:lang w:val="zh-CN"/>
          </w:rPr>
          <w:instrText xml:space="preserve">PAGE   \* MERGEFORMAT</w:instrText>
        </w:r>
        <w:r>
          <w:rPr>
            <w:lang w:val="zh-CN"/>
          </w:rPr>
          <w:fldChar w:fldCharType="separate"/>
        </w:r>
        <w:r>
          <w:rPr>
            <w:lang w:val="zh-CN"/>
          </w:rPr>
          <w:t>3</w:t>
        </w:r>
        <w:r>
          <w:rPr>
            <w:lang w:val="zh-CN"/>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fldChar w:fldCharType="begin"/>
    </w:r>
    <w:r>
      <w:instrText xml:space="preserve"> PAGE   \* MERGEFORMAT </w:instrText>
    </w:r>
    <w:r>
      <w:fldChar w:fldCharType="separate"/>
    </w:r>
    <w:r>
      <w:rPr>
        <w:lang w:val="zh-CN"/>
      </w:rPr>
      <w:t>14</w:t>
    </w:r>
    <w:r>
      <w:rPr>
        <w:lang w:val="zh-CN"/>
      </w:rPr>
      <w:fldChar w:fldCharType="end"/>
    </w:r>
  </w:p>
  <w:p>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DA87B36"/>
    <w:multiLevelType w:val="multilevel"/>
    <w:tmpl w:val="1DA87B36"/>
    <w:lvl w:ilvl="0" w:tentative="0">
      <w:start w:val="5"/>
      <w:numFmt w:val="decimal"/>
      <w:lvlText w:val="%1"/>
      <w:lvlJc w:val="left"/>
      <w:pPr>
        <w:ind w:left="842" w:hanging="360"/>
      </w:pPr>
      <w:rPr>
        <w:rFonts w:hint="default"/>
        <w:b/>
        <w:sz w:val="24"/>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
    <w:nsid w:val="1EB53B7C"/>
    <w:multiLevelType w:val="multilevel"/>
    <w:tmpl w:val="1EB53B7C"/>
    <w:lvl w:ilvl="0" w:tentative="0">
      <w:start w:val="1"/>
      <w:numFmt w:val="decimal"/>
      <w:pStyle w:val="69"/>
      <w:lvlText w:val="%1"/>
      <w:lvlJc w:val="left"/>
      <w:pPr>
        <w:tabs>
          <w:tab w:val="left" w:pos="3261"/>
        </w:tabs>
        <w:ind w:left="3261" w:hanging="425"/>
      </w:pPr>
      <w:rPr>
        <w:rFonts w:hint="eastAsia" w:ascii="Times New Roman" w:hAnsi="Times New Roman" w:cs="Times New Roman"/>
        <w:b/>
        <w:bCs w:val="0"/>
        <w:i w:val="0"/>
        <w:iCs w:val="0"/>
        <w:caps w:val="0"/>
        <w:smallCaps w:val="0"/>
        <w:strike w:val="0"/>
        <w:dstrike w:val="0"/>
        <w:snapToGrid w:val="0"/>
        <w:vanish w:val="0"/>
        <w:color w:val="000000"/>
        <w:spacing w:val="0"/>
        <w:w w:val="0"/>
        <w:kern w:val="0"/>
        <w:position w:val="0"/>
        <w:sz w:val="24"/>
        <w:szCs w:val="20"/>
        <w:u w:val="none"/>
        <w:vertAlign w:val="baseline"/>
      </w:rPr>
    </w:lvl>
    <w:lvl w:ilvl="1" w:tentative="0">
      <w:start w:val="0"/>
      <w:numFmt w:val="decimal"/>
      <w:pStyle w:val="70"/>
      <w:lvlText w:val="%1.%2"/>
      <w:lvlJc w:val="left"/>
      <w:pPr>
        <w:tabs>
          <w:tab w:val="left" w:pos="3828"/>
        </w:tabs>
        <w:ind w:left="3828" w:hanging="567"/>
      </w:pPr>
      <w:rPr>
        <w:rFonts w:hint="default" w:ascii="Times New Roman" w:hAnsi="Times New Roman" w:cs="Times New Roman"/>
        <w:b/>
        <w:bCs w:val="0"/>
        <w:i w:val="0"/>
        <w:iCs w:val="0"/>
        <w:caps w:val="0"/>
        <w:smallCaps w:val="0"/>
        <w:strike w:val="0"/>
        <w:dstrike w:val="0"/>
        <w:vanish w:val="0"/>
        <w:color w:val="000000"/>
        <w:spacing w:val="0"/>
        <w:kern w:val="0"/>
        <w:position w:val="0"/>
        <w:sz w:val="24"/>
        <w:szCs w:val="24"/>
        <w:u w:val="none"/>
        <w:vertAlign w:val="baseline"/>
      </w:rPr>
    </w:lvl>
    <w:lvl w:ilvl="2" w:tentative="0">
      <w:start w:val="1"/>
      <w:numFmt w:val="decimal"/>
      <w:pStyle w:val="67"/>
      <w:lvlText w:val="%1.%2.%3"/>
      <w:lvlJc w:val="left"/>
      <w:pPr>
        <w:tabs>
          <w:tab w:val="left" w:pos="709"/>
        </w:tabs>
        <w:ind w:left="142"/>
      </w:pPr>
      <w:rPr>
        <w:rFonts w:hint="default" w:ascii="Times New Roman" w:hAnsi="Times New Roman" w:cs="Times New Roman"/>
        <w:b/>
        <w:i w:val="0"/>
        <w:color w:val="auto"/>
        <w:sz w:val="24"/>
        <w:szCs w:val="24"/>
      </w:rPr>
    </w:lvl>
    <w:lvl w:ilvl="3" w:tentative="0">
      <w:start w:val="1"/>
      <w:numFmt w:val="decimal"/>
      <w:lvlText w:val="%1.%2.%3.%4"/>
      <w:lvlJc w:val="left"/>
      <w:pPr>
        <w:tabs>
          <w:tab w:val="left" w:pos="1984"/>
        </w:tabs>
        <w:ind w:left="1984" w:hanging="708"/>
      </w:pPr>
      <w:rPr>
        <w:rFonts w:hint="eastAsia" w:cs="Times New Roman"/>
      </w:rPr>
    </w:lvl>
    <w:lvl w:ilvl="4" w:tentative="0">
      <w:start w:val="1"/>
      <w:numFmt w:val="decimal"/>
      <w:lvlText w:val="%1.%2.%3.%4.%5"/>
      <w:lvlJc w:val="left"/>
      <w:pPr>
        <w:tabs>
          <w:tab w:val="left" w:pos="2551"/>
        </w:tabs>
        <w:ind w:left="2551" w:hanging="850"/>
      </w:pPr>
      <w:rPr>
        <w:rFonts w:hint="eastAsia" w:cs="Times New Roman"/>
      </w:rPr>
    </w:lvl>
    <w:lvl w:ilvl="5" w:tentative="0">
      <w:start w:val="1"/>
      <w:numFmt w:val="decimal"/>
      <w:lvlText w:val="%1.%2.%3.%4.%5.%6"/>
      <w:lvlJc w:val="left"/>
      <w:pPr>
        <w:tabs>
          <w:tab w:val="left" w:pos="3260"/>
        </w:tabs>
        <w:ind w:left="3260" w:hanging="1134"/>
      </w:pPr>
      <w:rPr>
        <w:rFonts w:hint="eastAsia" w:cs="Times New Roman"/>
      </w:rPr>
    </w:lvl>
    <w:lvl w:ilvl="6" w:tentative="0">
      <w:start w:val="1"/>
      <w:numFmt w:val="decimal"/>
      <w:lvlText w:val="%1.%2.%3.%4.%5.%6.%7"/>
      <w:lvlJc w:val="left"/>
      <w:pPr>
        <w:tabs>
          <w:tab w:val="left" w:pos="3827"/>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abstractNum w:abstractNumId="2">
    <w:nsid w:val="44DA30D8"/>
    <w:multiLevelType w:val="multilevel"/>
    <w:tmpl w:val="44DA30D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10"/>
  <w:bordersDoNotSurroundHeader w:val="true"/>
  <w:bordersDoNotSurroundFooter w:val="true"/>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NhMTFiZGE5NTEzMzRiNmVhMWE5NTc2ZWJiOWI2NTkifQ=="/>
  </w:docVars>
  <w:rsids>
    <w:rsidRoot w:val="003459C6"/>
    <w:rsid w:val="00000095"/>
    <w:rsid w:val="00000137"/>
    <w:rsid w:val="00000823"/>
    <w:rsid w:val="00001CB1"/>
    <w:rsid w:val="00001D24"/>
    <w:rsid w:val="00002D59"/>
    <w:rsid w:val="00003863"/>
    <w:rsid w:val="00003CA1"/>
    <w:rsid w:val="0000485D"/>
    <w:rsid w:val="00005C0A"/>
    <w:rsid w:val="00006338"/>
    <w:rsid w:val="00006E4A"/>
    <w:rsid w:val="0000707D"/>
    <w:rsid w:val="0000769F"/>
    <w:rsid w:val="00007BAF"/>
    <w:rsid w:val="00010875"/>
    <w:rsid w:val="00010EE2"/>
    <w:rsid w:val="000118C2"/>
    <w:rsid w:val="00011B3E"/>
    <w:rsid w:val="00012882"/>
    <w:rsid w:val="000132FB"/>
    <w:rsid w:val="00013374"/>
    <w:rsid w:val="000133D3"/>
    <w:rsid w:val="0001340B"/>
    <w:rsid w:val="000139EB"/>
    <w:rsid w:val="00013D84"/>
    <w:rsid w:val="000140FC"/>
    <w:rsid w:val="00014116"/>
    <w:rsid w:val="00014B25"/>
    <w:rsid w:val="00014B99"/>
    <w:rsid w:val="00015182"/>
    <w:rsid w:val="00015193"/>
    <w:rsid w:val="00016077"/>
    <w:rsid w:val="000168D3"/>
    <w:rsid w:val="00016A3A"/>
    <w:rsid w:val="00016CFD"/>
    <w:rsid w:val="00017F47"/>
    <w:rsid w:val="00020BAA"/>
    <w:rsid w:val="000212B7"/>
    <w:rsid w:val="00021531"/>
    <w:rsid w:val="000224F2"/>
    <w:rsid w:val="00022CA5"/>
    <w:rsid w:val="00023553"/>
    <w:rsid w:val="0002372C"/>
    <w:rsid w:val="0002393B"/>
    <w:rsid w:val="00023C69"/>
    <w:rsid w:val="00023D01"/>
    <w:rsid w:val="000245C8"/>
    <w:rsid w:val="0002460B"/>
    <w:rsid w:val="000246FB"/>
    <w:rsid w:val="00024781"/>
    <w:rsid w:val="00024ED2"/>
    <w:rsid w:val="00025BF7"/>
    <w:rsid w:val="000261D2"/>
    <w:rsid w:val="00026DF2"/>
    <w:rsid w:val="00027259"/>
    <w:rsid w:val="00027672"/>
    <w:rsid w:val="000304A8"/>
    <w:rsid w:val="00030583"/>
    <w:rsid w:val="00030B4D"/>
    <w:rsid w:val="00030C15"/>
    <w:rsid w:val="00030C98"/>
    <w:rsid w:val="000317DD"/>
    <w:rsid w:val="000323F7"/>
    <w:rsid w:val="00032985"/>
    <w:rsid w:val="00032DF9"/>
    <w:rsid w:val="00033CA0"/>
    <w:rsid w:val="000343D0"/>
    <w:rsid w:val="000347B1"/>
    <w:rsid w:val="00034BF2"/>
    <w:rsid w:val="0003503B"/>
    <w:rsid w:val="00035712"/>
    <w:rsid w:val="00035923"/>
    <w:rsid w:val="00036062"/>
    <w:rsid w:val="000363A5"/>
    <w:rsid w:val="000364B1"/>
    <w:rsid w:val="00037AAA"/>
    <w:rsid w:val="00037AE6"/>
    <w:rsid w:val="00037D99"/>
    <w:rsid w:val="00040049"/>
    <w:rsid w:val="00040993"/>
    <w:rsid w:val="00040DB7"/>
    <w:rsid w:val="00040E95"/>
    <w:rsid w:val="000411CD"/>
    <w:rsid w:val="00042191"/>
    <w:rsid w:val="00042893"/>
    <w:rsid w:val="0004324E"/>
    <w:rsid w:val="0004359C"/>
    <w:rsid w:val="000435B8"/>
    <w:rsid w:val="000439D4"/>
    <w:rsid w:val="00043CD1"/>
    <w:rsid w:val="00044149"/>
    <w:rsid w:val="00044643"/>
    <w:rsid w:val="0004574A"/>
    <w:rsid w:val="000459D1"/>
    <w:rsid w:val="00046C7C"/>
    <w:rsid w:val="00046EE1"/>
    <w:rsid w:val="00047814"/>
    <w:rsid w:val="00050370"/>
    <w:rsid w:val="00050A04"/>
    <w:rsid w:val="00051BBA"/>
    <w:rsid w:val="00051DFC"/>
    <w:rsid w:val="00051EF6"/>
    <w:rsid w:val="0005269E"/>
    <w:rsid w:val="00052F4C"/>
    <w:rsid w:val="00053268"/>
    <w:rsid w:val="0005353B"/>
    <w:rsid w:val="00053D9D"/>
    <w:rsid w:val="00054112"/>
    <w:rsid w:val="000541AE"/>
    <w:rsid w:val="000553E9"/>
    <w:rsid w:val="00055881"/>
    <w:rsid w:val="00055A92"/>
    <w:rsid w:val="00055DD7"/>
    <w:rsid w:val="0005621F"/>
    <w:rsid w:val="0005677D"/>
    <w:rsid w:val="0005722E"/>
    <w:rsid w:val="000577B5"/>
    <w:rsid w:val="00060025"/>
    <w:rsid w:val="00060205"/>
    <w:rsid w:val="000605F1"/>
    <w:rsid w:val="00061544"/>
    <w:rsid w:val="00062506"/>
    <w:rsid w:val="00062D2C"/>
    <w:rsid w:val="00062E4C"/>
    <w:rsid w:val="00062FD7"/>
    <w:rsid w:val="0006419B"/>
    <w:rsid w:val="000642ED"/>
    <w:rsid w:val="00064583"/>
    <w:rsid w:val="00065357"/>
    <w:rsid w:val="000659ED"/>
    <w:rsid w:val="00065A44"/>
    <w:rsid w:val="00065E5A"/>
    <w:rsid w:val="000661C9"/>
    <w:rsid w:val="00066543"/>
    <w:rsid w:val="000665D4"/>
    <w:rsid w:val="00066721"/>
    <w:rsid w:val="00066CB2"/>
    <w:rsid w:val="00066CB5"/>
    <w:rsid w:val="00066EE4"/>
    <w:rsid w:val="0006792C"/>
    <w:rsid w:val="00067EA9"/>
    <w:rsid w:val="00067F03"/>
    <w:rsid w:val="00067FA5"/>
    <w:rsid w:val="00070623"/>
    <w:rsid w:val="00070EE2"/>
    <w:rsid w:val="000714AB"/>
    <w:rsid w:val="000720C3"/>
    <w:rsid w:val="000721A4"/>
    <w:rsid w:val="000729C6"/>
    <w:rsid w:val="00072A60"/>
    <w:rsid w:val="00073834"/>
    <w:rsid w:val="0007493F"/>
    <w:rsid w:val="00074CE9"/>
    <w:rsid w:val="00075A4D"/>
    <w:rsid w:val="00075D67"/>
    <w:rsid w:val="000769C7"/>
    <w:rsid w:val="00077784"/>
    <w:rsid w:val="0008105A"/>
    <w:rsid w:val="0008128F"/>
    <w:rsid w:val="00082A8F"/>
    <w:rsid w:val="00084086"/>
    <w:rsid w:val="00084D96"/>
    <w:rsid w:val="00084E92"/>
    <w:rsid w:val="000855F7"/>
    <w:rsid w:val="00085BAB"/>
    <w:rsid w:val="00085C1D"/>
    <w:rsid w:val="0008601D"/>
    <w:rsid w:val="00086660"/>
    <w:rsid w:val="00086EE0"/>
    <w:rsid w:val="00087321"/>
    <w:rsid w:val="00087E0B"/>
    <w:rsid w:val="0009130F"/>
    <w:rsid w:val="00091B93"/>
    <w:rsid w:val="00091C3D"/>
    <w:rsid w:val="00091F28"/>
    <w:rsid w:val="00092CFD"/>
    <w:rsid w:val="00093134"/>
    <w:rsid w:val="00093D79"/>
    <w:rsid w:val="00093EF7"/>
    <w:rsid w:val="0009496B"/>
    <w:rsid w:val="00094C8A"/>
    <w:rsid w:val="0009678E"/>
    <w:rsid w:val="00096909"/>
    <w:rsid w:val="00096B07"/>
    <w:rsid w:val="00096BF4"/>
    <w:rsid w:val="00096E7B"/>
    <w:rsid w:val="0009773B"/>
    <w:rsid w:val="000A030B"/>
    <w:rsid w:val="000A0DF4"/>
    <w:rsid w:val="000A24E0"/>
    <w:rsid w:val="000A2B4C"/>
    <w:rsid w:val="000A36A7"/>
    <w:rsid w:val="000A3EC9"/>
    <w:rsid w:val="000A4A8E"/>
    <w:rsid w:val="000A4AFC"/>
    <w:rsid w:val="000A4B80"/>
    <w:rsid w:val="000A4E97"/>
    <w:rsid w:val="000A5B41"/>
    <w:rsid w:val="000A5EF9"/>
    <w:rsid w:val="000A69B6"/>
    <w:rsid w:val="000A6AE1"/>
    <w:rsid w:val="000A6C4F"/>
    <w:rsid w:val="000A6C8F"/>
    <w:rsid w:val="000A6F8B"/>
    <w:rsid w:val="000A72B6"/>
    <w:rsid w:val="000A73B1"/>
    <w:rsid w:val="000A7877"/>
    <w:rsid w:val="000A7AB2"/>
    <w:rsid w:val="000B00B2"/>
    <w:rsid w:val="000B18C6"/>
    <w:rsid w:val="000B2156"/>
    <w:rsid w:val="000B307C"/>
    <w:rsid w:val="000B3237"/>
    <w:rsid w:val="000B3BCB"/>
    <w:rsid w:val="000B44F5"/>
    <w:rsid w:val="000B48D6"/>
    <w:rsid w:val="000B4F25"/>
    <w:rsid w:val="000B5146"/>
    <w:rsid w:val="000B6089"/>
    <w:rsid w:val="000B6441"/>
    <w:rsid w:val="000B6E0C"/>
    <w:rsid w:val="000B7778"/>
    <w:rsid w:val="000C00F7"/>
    <w:rsid w:val="000C0F5C"/>
    <w:rsid w:val="000C1261"/>
    <w:rsid w:val="000C15A9"/>
    <w:rsid w:val="000C1797"/>
    <w:rsid w:val="000C27F6"/>
    <w:rsid w:val="000C2E19"/>
    <w:rsid w:val="000C2F30"/>
    <w:rsid w:val="000C30DD"/>
    <w:rsid w:val="000C3785"/>
    <w:rsid w:val="000C429C"/>
    <w:rsid w:val="000C4936"/>
    <w:rsid w:val="000C4FDA"/>
    <w:rsid w:val="000C59F6"/>
    <w:rsid w:val="000C5F77"/>
    <w:rsid w:val="000C60F0"/>
    <w:rsid w:val="000C6A7F"/>
    <w:rsid w:val="000C7F0E"/>
    <w:rsid w:val="000D0E8B"/>
    <w:rsid w:val="000D1EC5"/>
    <w:rsid w:val="000D2238"/>
    <w:rsid w:val="000D22F1"/>
    <w:rsid w:val="000D4818"/>
    <w:rsid w:val="000D5461"/>
    <w:rsid w:val="000D57C7"/>
    <w:rsid w:val="000D5A59"/>
    <w:rsid w:val="000D6148"/>
    <w:rsid w:val="000D6430"/>
    <w:rsid w:val="000D6D53"/>
    <w:rsid w:val="000D70C0"/>
    <w:rsid w:val="000D73EE"/>
    <w:rsid w:val="000D7831"/>
    <w:rsid w:val="000D79AA"/>
    <w:rsid w:val="000E0BA7"/>
    <w:rsid w:val="000E0C07"/>
    <w:rsid w:val="000E1D65"/>
    <w:rsid w:val="000E3F0B"/>
    <w:rsid w:val="000E499C"/>
    <w:rsid w:val="000E5C48"/>
    <w:rsid w:val="000E5CF4"/>
    <w:rsid w:val="000E60CC"/>
    <w:rsid w:val="000E62F6"/>
    <w:rsid w:val="000E6E33"/>
    <w:rsid w:val="000E7303"/>
    <w:rsid w:val="000E78E9"/>
    <w:rsid w:val="000F0321"/>
    <w:rsid w:val="000F092D"/>
    <w:rsid w:val="000F0F47"/>
    <w:rsid w:val="000F2702"/>
    <w:rsid w:val="000F2C47"/>
    <w:rsid w:val="000F3234"/>
    <w:rsid w:val="000F3EA3"/>
    <w:rsid w:val="000F44E9"/>
    <w:rsid w:val="000F4544"/>
    <w:rsid w:val="000F46A1"/>
    <w:rsid w:val="000F4A3B"/>
    <w:rsid w:val="000F5260"/>
    <w:rsid w:val="000F5E04"/>
    <w:rsid w:val="000F5F00"/>
    <w:rsid w:val="000F65AF"/>
    <w:rsid w:val="000F667A"/>
    <w:rsid w:val="00100BBB"/>
    <w:rsid w:val="00103772"/>
    <w:rsid w:val="00103E83"/>
    <w:rsid w:val="00103F45"/>
    <w:rsid w:val="00104CA9"/>
    <w:rsid w:val="0010562F"/>
    <w:rsid w:val="00105B02"/>
    <w:rsid w:val="00105B58"/>
    <w:rsid w:val="00105BE3"/>
    <w:rsid w:val="001060C4"/>
    <w:rsid w:val="00106585"/>
    <w:rsid w:val="001069AF"/>
    <w:rsid w:val="00106C6C"/>
    <w:rsid w:val="00106F3A"/>
    <w:rsid w:val="00107F69"/>
    <w:rsid w:val="00111A12"/>
    <w:rsid w:val="001125BF"/>
    <w:rsid w:val="00113D67"/>
    <w:rsid w:val="001170D6"/>
    <w:rsid w:val="0011728C"/>
    <w:rsid w:val="00117AB2"/>
    <w:rsid w:val="00117F74"/>
    <w:rsid w:val="00121A41"/>
    <w:rsid w:val="00121E48"/>
    <w:rsid w:val="00121F30"/>
    <w:rsid w:val="0012211D"/>
    <w:rsid w:val="0012270D"/>
    <w:rsid w:val="0012318A"/>
    <w:rsid w:val="00124303"/>
    <w:rsid w:val="00124482"/>
    <w:rsid w:val="00124560"/>
    <w:rsid w:val="0012611B"/>
    <w:rsid w:val="00126CEF"/>
    <w:rsid w:val="00126E36"/>
    <w:rsid w:val="001274DD"/>
    <w:rsid w:val="001307C9"/>
    <w:rsid w:val="0013094F"/>
    <w:rsid w:val="00130C75"/>
    <w:rsid w:val="0013150D"/>
    <w:rsid w:val="001319A1"/>
    <w:rsid w:val="00131C90"/>
    <w:rsid w:val="00131D4E"/>
    <w:rsid w:val="00131F8D"/>
    <w:rsid w:val="001326BD"/>
    <w:rsid w:val="001328D7"/>
    <w:rsid w:val="00132CE4"/>
    <w:rsid w:val="00133346"/>
    <w:rsid w:val="00133BD3"/>
    <w:rsid w:val="00133EC1"/>
    <w:rsid w:val="0013441D"/>
    <w:rsid w:val="001349E6"/>
    <w:rsid w:val="00134BA4"/>
    <w:rsid w:val="00134C55"/>
    <w:rsid w:val="00135E6D"/>
    <w:rsid w:val="00135FFB"/>
    <w:rsid w:val="00136734"/>
    <w:rsid w:val="00137931"/>
    <w:rsid w:val="00137B6B"/>
    <w:rsid w:val="00137E17"/>
    <w:rsid w:val="00137F6C"/>
    <w:rsid w:val="001405B5"/>
    <w:rsid w:val="00140FC5"/>
    <w:rsid w:val="001415F2"/>
    <w:rsid w:val="001417E6"/>
    <w:rsid w:val="00141A91"/>
    <w:rsid w:val="00141F35"/>
    <w:rsid w:val="001422CA"/>
    <w:rsid w:val="00142573"/>
    <w:rsid w:val="001427FC"/>
    <w:rsid w:val="00144132"/>
    <w:rsid w:val="0014424E"/>
    <w:rsid w:val="001445BF"/>
    <w:rsid w:val="00144EB6"/>
    <w:rsid w:val="0014509D"/>
    <w:rsid w:val="00145750"/>
    <w:rsid w:val="00145874"/>
    <w:rsid w:val="00145E23"/>
    <w:rsid w:val="00146FEC"/>
    <w:rsid w:val="001471BD"/>
    <w:rsid w:val="00147547"/>
    <w:rsid w:val="00150614"/>
    <w:rsid w:val="00150F59"/>
    <w:rsid w:val="00151407"/>
    <w:rsid w:val="00151749"/>
    <w:rsid w:val="0015206C"/>
    <w:rsid w:val="00152AA6"/>
    <w:rsid w:val="0015303D"/>
    <w:rsid w:val="001538B0"/>
    <w:rsid w:val="00153CCF"/>
    <w:rsid w:val="00153E67"/>
    <w:rsid w:val="0015428B"/>
    <w:rsid w:val="00154326"/>
    <w:rsid w:val="00154B37"/>
    <w:rsid w:val="00154EEE"/>
    <w:rsid w:val="00155217"/>
    <w:rsid w:val="00155359"/>
    <w:rsid w:val="001554D7"/>
    <w:rsid w:val="00156A04"/>
    <w:rsid w:val="00156FF1"/>
    <w:rsid w:val="00157D75"/>
    <w:rsid w:val="00157FF4"/>
    <w:rsid w:val="0016067B"/>
    <w:rsid w:val="00160761"/>
    <w:rsid w:val="00161477"/>
    <w:rsid w:val="0016183B"/>
    <w:rsid w:val="001618B5"/>
    <w:rsid w:val="00161987"/>
    <w:rsid w:val="00161A0D"/>
    <w:rsid w:val="00161FE7"/>
    <w:rsid w:val="00162476"/>
    <w:rsid w:val="00162E25"/>
    <w:rsid w:val="00163423"/>
    <w:rsid w:val="00163584"/>
    <w:rsid w:val="00163E89"/>
    <w:rsid w:val="001641F6"/>
    <w:rsid w:val="0016587E"/>
    <w:rsid w:val="00165FAE"/>
    <w:rsid w:val="00166099"/>
    <w:rsid w:val="00166923"/>
    <w:rsid w:val="00167180"/>
    <w:rsid w:val="00167C5B"/>
    <w:rsid w:val="00167E3A"/>
    <w:rsid w:val="0017077A"/>
    <w:rsid w:val="00170B58"/>
    <w:rsid w:val="00171C60"/>
    <w:rsid w:val="00171DE4"/>
    <w:rsid w:val="00171EB5"/>
    <w:rsid w:val="00172451"/>
    <w:rsid w:val="00172B13"/>
    <w:rsid w:val="00172D8C"/>
    <w:rsid w:val="00172E0A"/>
    <w:rsid w:val="00173C3B"/>
    <w:rsid w:val="00174F40"/>
    <w:rsid w:val="00175208"/>
    <w:rsid w:val="00175A8F"/>
    <w:rsid w:val="00176767"/>
    <w:rsid w:val="00176834"/>
    <w:rsid w:val="0017694C"/>
    <w:rsid w:val="001774C1"/>
    <w:rsid w:val="001776BB"/>
    <w:rsid w:val="00177889"/>
    <w:rsid w:val="00177BA5"/>
    <w:rsid w:val="00177C26"/>
    <w:rsid w:val="0018036D"/>
    <w:rsid w:val="00180588"/>
    <w:rsid w:val="00180A72"/>
    <w:rsid w:val="00180D0D"/>
    <w:rsid w:val="00181858"/>
    <w:rsid w:val="00181CAB"/>
    <w:rsid w:val="00181FF2"/>
    <w:rsid w:val="00182B37"/>
    <w:rsid w:val="0018301B"/>
    <w:rsid w:val="001836EC"/>
    <w:rsid w:val="00183774"/>
    <w:rsid w:val="00183B36"/>
    <w:rsid w:val="00184312"/>
    <w:rsid w:val="00184695"/>
    <w:rsid w:val="001850C4"/>
    <w:rsid w:val="001850EE"/>
    <w:rsid w:val="00185327"/>
    <w:rsid w:val="001861AB"/>
    <w:rsid w:val="001867AC"/>
    <w:rsid w:val="001877E3"/>
    <w:rsid w:val="0018795F"/>
    <w:rsid w:val="00187E4A"/>
    <w:rsid w:val="00191296"/>
    <w:rsid w:val="00191F04"/>
    <w:rsid w:val="001926F6"/>
    <w:rsid w:val="001928CC"/>
    <w:rsid w:val="00192916"/>
    <w:rsid w:val="00192CFF"/>
    <w:rsid w:val="00193024"/>
    <w:rsid w:val="001933F7"/>
    <w:rsid w:val="00193D56"/>
    <w:rsid w:val="00193DCB"/>
    <w:rsid w:val="00193EC6"/>
    <w:rsid w:val="0019557C"/>
    <w:rsid w:val="00195BEF"/>
    <w:rsid w:val="001966EE"/>
    <w:rsid w:val="001972A2"/>
    <w:rsid w:val="00197B49"/>
    <w:rsid w:val="001A0D53"/>
    <w:rsid w:val="001A0FF0"/>
    <w:rsid w:val="001A1CD7"/>
    <w:rsid w:val="001A2ADD"/>
    <w:rsid w:val="001A3181"/>
    <w:rsid w:val="001A3650"/>
    <w:rsid w:val="001A5C48"/>
    <w:rsid w:val="001A62BC"/>
    <w:rsid w:val="001A6907"/>
    <w:rsid w:val="001B0509"/>
    <w:rsid w:val="001B0FE7"/>
    <w:rsid w:val="001B1316"/>
    <w:rsid w:val="001B1588"/>
    <w:rsid w:val="001B1656"/>
    <w:rsid w:val="001B1662"/>
    <w:rsid w:val="001B18EB"/>
    <w:rsid w:val="001B2537"/>
    <w:rsid w:val="001B3421"/>
    <w:rsid w:val="001B3D8A"/>
    <w:rsid w:val="001B570E"/>
    <w:rsid w:val="001B7434"/>
    <w:rsid w:val="001B77DC"/>
    <w:rsid w:val="001C0129"/>
    <w:rsid w:val="001C0AC3"/>
    <w:rsid w:val="001C0F50"/>
    <w:rsid w:val="001C10E2"/>
    <w:rsid w:val="001C289A"/>
    <w:rsid w:val="001C2D52"/>
    <w:rsid w:val="001C31AB"/>
    <w:rsid w:val="001C511A"/>
    <w:rsid w:val="001C5C0A"/>
    <w:rsid w:val="001C65E7"/>
    <w:rsid w:val="001C7165"/>
    <w:rsid w:val="001C7530"/>
    <w:rsid w:val="001C7A82"/>
    <w:rsid w:val="001D077D"/>
    <w:rsid w:val="001D1B3C"/>
    <w:rsid w:val="001D2B08"/>
    <w:rsid w:val="001D30C7"/>
    <w:rsid w:val="001D3368"/>
    <w:rsid w:val="001D3DC5"/>
    <w:rsid w:val="001D4083"/>
    <w:rsid w:val="001D45FB"/>
    <w:rsid w:val="001D4853"/>
    <w:rsid w:val="001D4CDE"/>
    <w:rsid w:val="001D519D"/>
    <w:rsid w:val="001D59F4"/>
    <w:rsid w:val="001D62E5"/>
    <w:rsid w:val="001D64D6"/>
    <w:rsid w:val="001D6F05"/>
    <w:rsid w:val="001D724E"/>
    <w:rsid w:val="001D79E1"/>
    <w:rsid w:val="001D7A1C"/>
    <w:rsid w:val="001E176A"/>
    <w:rsid w:val="001E1AFB"/>
    <w:rsid w:val="001E1D30"/>
    <w:rsid w:val="001E1FBF"/>
    <w:rsid w:val="001E2581"/>
    <w:rsid w:val="001E3C4C"/>
    <w:rsid w:val="001E3D1D"/>
    <w:rsid w:val="001E490C"/>
    <w:rsid w:val="001E4F69"/>
    <w:rsid w:val="001E50F3"/>
    <w:rsid w:val="001E54E8"/>
    <w:rsid w:val="001E5A8D"/>
    <w:rsid w:val="001E5AB1"/>
    <w:rsid w:val="001E676D"/>
    <w:rsid w:val="001E6EE4"/>
    <w:rsid w:val="001E713E"/>
    <w:rsid w:val="001E7629"/>
    <w:rsid w:val="001E7B2C"/>
    <w:rsid w:val="001F13A4"/>
    <w:rsid w:val="001F1B58"/>
    <w:rsid w:val="001F32EF"/>
    <w:rsid w:val="001F3A80"/>
    <w:rsid w:val="001F3E3D"/>
    <w:rsid w:val="001F3E8F"/>
    <w:rsid w:val="001F5A52"/>
    <w:rsid w:val="001F5B6A"/>
    <w:rsid w:val="001F5B8D"/>
    <w:rsid w:val="001F5E9E"/>
    <w:rsid w:val="001F6682"/>
    <w:rsid w:val="001F6974"/>
    <w:rsid w:val="001F756E"/>
    <w:rsid w:val="001F7664"/>
    <w:rsid w:val="001F7CE9"/>
    <w:rsid w:val="001F7DFE"/>
    <w:rsid w:val="002000B5"/>
    <w:rsid w:val="00201555"/>
    <w:rsid w:val="00201F09"/>
    <w:rsid w:val="00201FCA"/>
    <w:rsid w:val="00203A51"/>
    <w:rsid w:val="00203C54"/>
    <w:rsid w:val="00203CE1"/>
    <w:rsid w:val="00204319"/>
    <w:rsid w:val="00204990"/>
    <w:rsid w:val="0020566A"/>
    <w:rsid w:val="002056A6"/>
    <w:rsid w:val="002056F6"/>
    <w:rsid w:val="00205BA2"/>
    <w:rsid w:val="00205F4D"/>
    <w:rsid w:val="00206528"/>
    <w:rsid w:val="0020743E"/>
    <w:rsid w:val="002075C5"/>
    <w:rsid w:val="00207EB0"/>
    <w:rsid w:val="002100B1"/>
    <w:rsid w:val="00211456"/>
    <w:rsid w:val="002138D5"/>
    <w:rsid w:val="00214B14"/>
    <w:rsid w:val="00215398"/>
    <w:rsid w:val="00216606"/>
    <w:rsid w:val="00216A37"/>
    <w:rsid w:val="00216BB3"/>
    <w:rsid w:val="00216C88"/>
    <w:rsid w:val="00216CAA"/>
    <w:rsid w:val="00217BDB"/>
    <w:rsid w:val="00217E87"/>
    <w:rsid w:val="002200AC"/>
    <w:rsid w:val="002200DB"/>
    <w:rsid w:val="0022021B"/>
    <w:rsid w:val="0022075E"/>
    <w:rsid w:val="00220A26"/>
    <w:rsid w:val="00220C8A"/>
    <w:rsid w:val="00220E74"/>
    <w:rsid w:val="00220FD4"/>
    <w:rsid w:val="0022146A"/>
    <w:rsid w:val="00222283"/>
    <w:rsid w:val="00222456"/>
    <w:rsid w:val="00222823"/>
    <w:rsid w:val="00222849"/>
    <w:rsid w:val="00222BF5"/>
    <w:rsid w:val="00223060"/>
    <w:rsid w:val="002239EC"/>
    <w:rsid w:val="00223A54"/>
    <w:rsid w:val="00224BEF"/>
    <w:rsid w:val="00225033"/>
    <w:rsid w:val="0022533E"/>
    <w:rsid w:val="00226391"/>
    <w:rsid w:val="00226EE8"/>
    <w:rsid w:val="00227508"/>
    <w:rsid w:val="00230126"/>
    <w:rsid w:val="0023024D"/>
    <w:rsid w:val="0023031F"/>
    <w:rsid w:val="0023062C"/>
    <w:rsid w:val="00230919"/>
    <w:rsid w:val="00231049"/>
    <w:rsid w:val="00231079"/>
    <w:rsid w:val="00231179"/>
    <w:rsid w:val="00231965"/>
    <w:rsid w:val="00231B9F"/>
    <w:rsid w:val="00232E7D"/>
    <w:rsid w:val="002332D6"/>
    <w:rsid w:val="0023350C"/>
    <w:rsid w:val="002337CD"/>
    <w:rsid w:val="00233CD2"/>
    <w:rsid w:val="00233D31"/>
    <w:rsid w:val="00235BA0"/>
    <w:rsid w:val="00235F7F"/>
    <w:rsid w:val="00236738"/>
    <w:rsid w:val="00237286"/>
    <w:rsid w:val="00237C65"/>
    <w:rsid w:val="00237D92"/>
    <w:rsid w:val="0024071A"/>
    <w:rsid w:val="0024090B"/>
    <w:rsid w:val="0024106F"/>
    <w:rsid w:val="002418F0"/>
    <w:rsid w:val="00241F65"/>
    <w:rsid w:val="002426D1"/>
    <w:rsid w:val="0024362B"/>
    <w:rsid w:val="00244232"/>
    <w:rsid w:val="00244C2A"/>
    <w:rsid w:val="00244F62"/>
    <w:rsid w:val="002453B8"/>
    <w:rsid w:val="002455C7"/>
    <w:rsid w:val="002455FF"/>
    <w:rsid w:val="00245F03"/>
    <w:rsid w:val="002464A9"/>
    <w:rsid w:val="002475B8"/>
    <w:rsid w:val="002506D4"/>
    <w:rsid w:val="0025139D"/>
    <w:rsid w:val="00251744"/>
    <w:rsid w:val="00252655"/>
    <w:rsid w:val="00252CF3"/>
    <w:rsid w:val="00253959"/>
    <w:rsid w:val="0025421C"/>
    <w:rsid w:val="00255C0B"/>
    <w:rsid w:val="002565B2"/>
    <w:rsid w:val="0025760C"/>
    <w:rsid w:val="002577D9"/>
    <w:rsid w:val="00260131"/>
    <w:rsid w:val="00261179"/>
    <w:rsid w:val="002611DD"/>
    <w:rsid w:val="00261DA9"/>
    <w:rsid w:val="00261E2A"/>
    <w:rsid w:val="00262400"/>
    <w:rsid w:val="002635F2"/>
    <w:rsid w:val="00263AC3"/>
    <w:rsid w:val="002640B3"/>
    <w:rsid w:val="00264969"/>
    <w:rsid w:val="00264ABD"/>
    <w:rsid w:val="00264B76"/>
    <w:rsid w:val="002650F8"/>
    <w:rsid w:val="00265977"/>
    <w:rsid w:val="002665F3"/>
    <w:rsid w:val="00266E58"/>
    <w:rsid w:val="0026730D"/>
    <w:rsid w:val="00267472"/>
    <w:rsid w:val="0026792C"/>
    <w:rsid w:val="002679FE"/>
    <w:rsid w:val="0027011A"/>
    <w:rsid w:val="002716EE"/>
    <w:rsid w:val="00271881"/>
    <w:rsid w:val="00272A83"/>
    <w:rsid w:val="00272E02"/>
    <w:rsid w:val="002735C5"/>
    <w:rsid w:val="00273C41"/>
    <w:rsid w:val="0027401B"/>
    <w:rsid w:val="00274BA8"/>
    <w:rsid w:val="00274D76"/>
    <w:rsid w:val="00275B85"/>
    <w:rsid w:val="00276564"/>
    <w:rsid w:val="00277532"/>
    <w:rsid w:val="00277B97"/>
    <w:rsid w:val="00277D7D"/>
    <w:rsid w:val="0028044A"/>
    <w:rsid w:val="0028119D"/>
    <w:rsid w:val="00281E87"/>
    <w:rsid w:val="002821D4"/>
    <w:rsid w:val="00282424"/>
    <w:rsid w:val="00283198"/>
    <w:rsid w:val="00283DDF"/>
    <w:rsid w:val="002844DC"/>
    <w:rsid w:val="002850B0"/>
    <w:rsid w:val="00285717"/>
    <w:rsid w:val="00285CC6"/>
    <w:rsid w:val="0028649F"/>
    <w:rsid w:val="002865E7"/>
    <w:rsid w:val="00286D06"/>
    <w:rsid w:val="00286F6D"/>
    <w:rsid w:val="00286FA6"/>
    <w:rsid w:val="002878A2"/>
    <w:rsid w:val="00287A22"/>
    <w:rsid w:val="00287BC4"/>
    <w:rsid w:val="00287F8B"/>
    <w:rsid w:val="00290810"/>
    <w:rsid w:val="002912DE"/>
    <w:rsid w:val="0029173A"/>
    <w:rsid w:val="0029294D"/>
    <w:rsid w:val="002929CE"/>
    <w:rsid w:val="00292B99"/>
    <w:rsid w:val="0029406B"/>
    <w:rsid w:val="00294102"/>
    <w:rsid w:val="00294AA9"/>
    <w:rsid w:val="00294F7B"/>
    <w:rsid w:val="002951F1"/>
    <w:rsid w:val="00295DFC"/>
    <w:rsid w:val="002962CA"/>
    <w:rsid w:val="0029704B"/>
    <w:rsid w:val="00297770"/>
    <w:rsid w:val="002A0405"/>
    <w:rsid w:val="002A05FD"/>
    <w:rsid w:val="002A085E"/>
    <w:rsid w:val="002A0AC5"/>
    <w:rsid w:val="002A10D3"/>
    <w:rsid w:val="002A23E8"/>
    <w:rsid w:val="002A2CB6"/>
    <w:rsid w:val="002A302F"/>
    <w:rsid w:val="002A340E"/>
    <w:rsid w:val="002A35C7"/>
    <w:rsid w:val="002A3941"/>
    <w:rsid w:val="002A5099"/>
    <w:rsid w:val="002A584F"/>
    <w:rsid w:val="002A5DC6"/>
    <w:rsid w:val="002A67CB"/>
    <w:rsid w:val="002A71F6"/>
    <w:rsid w:val="002A72AE"/>
    <w:rsid w:val="002A75D4"/>
    <w:rsid w:val="002A7619"/>
    <w:rsid w:val="002A76C0"/>
    <w:rsid w:val="002A78B4"/>
    <w:rsid w:val="002B0BF2"/>
    <w:rsid w:val="002B0E49"/>
    <w:rsid w:val="002B1482"/>
    <w:rsid w:val="002B1FCD"/>
    <w:rsid w:val="002B3098"/>
    <w:rsid w:val="002B3405"/>
    <w:rsid w:val="002B4788"/>
    <w:rsid w:val="002B4CB6"/>
    <w:rsid w:val="002B4F82"/>
    <w:rsid w:val="002B63CB"/>
    <w:rsid w:val="002B7918"/>
    <w:rsid w:val="002B7C24"/>
    <w:rsid w:val="002C08D4"/>
    <w:rsid w:val="002C0963"/>
    <w:rsid w:val="002C0E1E"/>
    <w:rsid w:val="002C10CB"/>
    <w:rsid w:val="002C13DE"/>
    <w:rsid w:val="002C163C"/>
    <w:rsid w:val="002C210E"/>
    <w:rsid w:val="002C2DF3"/>
    <w:rsid w:val="002C31D1"/>
    <w:rsid w:val="002C3EDD"/>
    <w:rsid w:val="002C481E"/>
    <w:rsid w:val="002C4985"/>
    <w:rsid w:val="002C5BB5"/>
    <w:rsid w:val="002C66B4"/>
    <w:rsid w:val="002C6E77"/>
    <w:rsid w:val="002D1753"/>
    <w:rsid w:val="002D1A8E"/>
    <w:rsid w:val="002D1B42"/>
    <w:rsid w:val="002D26DF"/>
    <w:rsid w:val="002D2E38"/>
    <w:rsid w:val="002D3463"/>
    <w:rsid w:val="002D36AC"/>
    <w:rsid w:val="002D51DF"/>
    <w:rsid w:val="002D5C5D"/>
    <w:rsid w:val="002D68AA"/>
    <w:rsid w:val="002D6C6B"/>
    <w:rsid w:val="002D7428"/>
    <w:rsid w:val="002D78E4"/>
    <w:rsid w:val="002E007B"/>
    <w:rsid w:val="002E10B6"/>
    <w:rsid w:val="002E1518"/>
    <w:rsid w:val="002E1771"/>
    <w:rsid w:val="002E1A4B"/>
    <w:rsid w:val="002E305C"/>
    <w:rsid w:val="002E349F"/>
    <w:rsid w:val="002E3A35"/>
    <w:rsid w:val="002E421D"/>
    <w:rsid w:val="002E4CE0"/>
    <w:rsid w:val="002E50F6"/>
    <w:rsid w:val="002E5E3B"/>
    <w:rsid w:val="002E7225"/>
    <w:rsid w:val="002F053E"/>
    <w:rsid w:val="002F07AA"/>
    <w:rsid w:val="002F12CF"/>
    <w:rsid w:val="002F1342"/>
    <w:rsid w:val="002F1620"/>
    <w:rsid w:val="002F23A0"/>
    <w:rsid w:val="002F36DE"/>
    <w:rsid w:val="002F45B7"/>
    <w:rsid w:val="002F482F"/>
    <w:rsid w:val="002F4A16"/>
    <w:rsid w:val="002F4B34"/>
    <w:rsid w:val="002F56AD"/>
    <w:rsid w:val="002F58BB"/>
    <w:rsid w:val="002F6233"/>
    <w:rsid w:val="002F6B68"/>
    <w:rsid w:val="002F6C34"/>
    <w:rsid w:val="002F7858"/>
    <w:rsid w:val="002F7B5A"/>
    <w:rsid w:val="00300ACD"/>
    <w:rsid w:val="00301F3C"/>
    <w:rsid w:val="00302BCC"/>
    <w:rsid w:val="00303147"/>
    <w:rsid w:val="003034C7"/>
    <w:rsid w:val="0030495E"/>
    <w:rsid w:val="003052F2"/>
    <w:rsid w:val="00305DD1"/>
    <w:rsid w:val="0030611E"/>
    <w:rsid w:val="00306892"/>
    <w:rsid w:val="00306C4C"/>
    <w:rsid w:val="00306EB4"/>
    <w:rsid w:val="003074B1"/>
    <w:rsid w:val="00307676"/>
    <w:rsid w:val="003078CA"/>
    <w:rsid w:val="00310980"/>
    <w:rsid w:val="00310E48"/>
    <w:rsid w:val="00310E9B"/>
    <w:rsid w:val="003117B5"/>
    <w:rsid w:val="00311C25"/>
    <w:rsid w:val="00311D17"/>
    <w:rsid w:val="00312C6D"/>
    <w:rsid w:val="00312D47"/>
    <w:rsid w:val="00313B1C"/>
    <w:rsid w:val="00314FE8"/>
    <w:rsid w:val="0031588F"/>
    <w:rsid w:val="00315D76"/>
    <w:rsid w:val="003161A7"/>
    <w:rsid w:val="00316B1A"/>
    <w:rsid w:val="00317225"/>
    <w:rsid w:val="0032021D"/>
    <w:rsid w:val="0032080E"/>
    <w:rsid w:val="003208D9"/>
    <w:rsid w:val="00320D30"/>
    <w:rsid w:val="0032106A"/>
    <w:rsid w:val="00321472"/>
    <w:rsid w:val="0032242B"/>
    <w:rsid w:val="0032284C"/>
    <w:rsid w:val="003231E8"/>
    <w:rsid w:val="00323A8B"/>
    <w:rsid w:val="00323DB5"/>
    <w:rsid w:val="00324BF7"/>
    <w:rsid w:val="00324F71"/>
    <w:rsid w:val="00325262"/>
    <w:rsid w:val="0032528E"/>
    <w:rsid w:val="00325595"/>
    <w:rsid w:val="00325AA8"/>
    <w:rsid w:val="00326297"/>
    <w:rsid w:val="00326DC4"/>
    <w:rsid w:val="00327A14"/>
    <w:rsid w:val="00327BFE"/>
    <w:rsid w:val="003300C3"/>
    <w:rsid w:val="00330B09"/>
    <w:rsid w:val="00330D30"/>
    <w:rsid w:val="00330FB8"/>
    <w:rsid w:val="00331402"/>
    <w:rsid w:val="00331447"/>
    <w:rsid w:val="00332760"/>
    <w:rsid w:val="003329EE"/>
    <w:rsid w:val="00332D0B"/>
    <w:rsid w:val="00332D57"/>
    <w:rsid w:val="00332FB4"/>
    <w:rsid w:val="003333A8"/>
    <w:rsid w:val="00333E49"/>
    <w:rsid w:val="00335580"/>
    <w:rsid w:val="0033665C"/>
    <w:rsid w:val="00337938"/>
    <w:rsid w:val="00337A5D"/>
    <w:rsid w:val="00337B6B"/>
    <w:rsid w:val="00340AAF"/>
    <w:rsid w:val="00340C76"/>
    <w:rsid w:val="00341DE6"/>
    <w:rsid w:val="00342784"/>
    <w:rsid w:val="00342AC9"/>
    <w:rsid w:val="003430C1"/>
    <w:rsid w:val="00343159"/>
    <w:rsid w:val="00344053"/>
    <w:rsid w:val="00344611"/>
    <w:rsid w:val="00344D3B"/>
    <w:rsid w:val="003456C7"/>
    <w:rsid w:val="003459C6"/>
    <w:rsid w:val="0034623A"/>
    <w:rsid w:val="00346843"/>
    <w:rsid w:val="00346ADD"/>
    <w:rsid w:val="00347B1E"/>
    <w:rsid w:val="00347F2C"/>
    <w:rsid w:val="003501EF"/>
    <w:rsid w:val="00350A61"/>
    <w:rsid w:val="003516B8"/>
    <w:rsid w:val="003516FF"/>
    <w:rsid w:val="00352237"/>
    <w:rsid w:val="0035276D"/>
    <w:rsid w:val="00352948"/>
    <w:rsid w:val="003529A7"/>
    <w:rsid w:val="00352C39"/>
    <w:rsid w:val="00353525"/>
    <w:rsid w:val="00353D19"/>
    <w:rsid w:val="00354021"/>
    <w:rsid w:val="00354857"/>
    <w:rsid w:val="00354F62"/>
    <w:rsid w:val="003550A2"/>
    <w:rsid w:val="003552C9"/>
    <w:rsid w:val="00360768"/>
    <w:rsid w:val="00360A08"/>
    <w:rsid w:val="00360B73"/>
    <w:rsid w:val="003615FC"/>
    <w:rsid w:val="003617EE"/>
    <w:rsid w:val="003623D5"/>
    <w:rsid w:val="00362E1C"/>
    <w:rsid w:val="00362E63"/>
    <w:rsid w:val="00363273"/>
    <w:rsid w:val="003635E5"/>
    <w:rsid w:val="00363D15"/>
    <w:rsid w:val="00363F6B"/>
    <w:rsid w:val="00363FEF"/>
    <w:rsid w:val="00364427"/>
    <w:rsid w:val="00364EE9"/>
    <w:rsid w:val="003650A2"/>
    <w:rsid w:val="003656ED"/>
    <w:rsid w:val="00365C96"/>
    <w:rsid w:val="0036642C"/>
    <w:rsid w:val="00366D79"/>
    <w:rsid w:val="0037077B"/>
    <w:rsid w:val="00370CC0"/>
    <w:rsid w:val="00370F03"/>
    <w:rsid w:val="00372030"/>
    <w:rsid w:val="0037246C"/>
    <w:rsid w:val="00372487"/>
    <w:rsid w:val="00372C54"/>
    <w:rsid w:val="0037323C"/>
    <w:rsid w:val="003734BE"/>
    <w:rsid w:val="00374022"/>
    <w:rsid w:val="0037448A"/>
    <w:rsid w:val="0037480D"/>
    <w:rsid w:val="00375CA9"/>
    <w:rsid w:val="00375CCA"/>
    <w:rsid w:val="00376342"/>
    <w:rsid w:val="0037654E"/>
    <w:rsid w:val="0037760F"/>
    <w:rsid w:val="00377A29"/>
    <w:rsid w:val="00377B1F"/>
    <w:rsid w:val="00380B21"/>
    <w:rsid w:val="00380E34"/>
    <w:rsid w:val="00380ED3"/>
    <w:rsid w:val="003817FE"/>
    <w:rsid w:val="00381916"/>
    <w:rsid w:val="00381D9B"/>
    <w:rsid w:val="00382045"/>
    <w:rsid w:val="00382239"/>
    <w:rsid w:val="00382566"/>
    <w:rsid w:val="00382DF3"/>
    <w:rsid w:val="00383923"/>
    <w:rsid w:val="00383B52"/>
    <w:rsid w:val="00383C40"/>
    <w:rsid w:val="00383E65"/>
    <w:rsid w:val="00384242"/>
    <w:rsid w:val="003844B8"/>
    <w:rsid w:val="0038464D"/>
    <w:rsid w:val="0038582F"/>
    <w:rsid w:val="00385FBC"/>
    <w:rsid w:val="0038689B"/>
    <w:rsid w:val="003878C9"/>
    <w:rsid w:val="00387B4A"/>
    <w:rsid w:val="00387C61"/>
    <w:rsid w:val="00391609"/>
    <w:rsid w:val="00391BE6"/>
    <w:rsid w:val="00392BC5"/>
    <w:rsid w:val="00392D0D"/>
    <w:rsid w:val="0039308B"/>
    <w:rsid w:val="0039351C"/>
    <w:rsid w:val="0039485F"/>
    <w:rsid w:val="00394EB7"/>
    <w:rsid w:val="00395382"/>
    <w:rsid w:val="00395C0E"/>
    <w:rsid w:val="00395D0D"/>
    <w:rsid w:val="003962B2"/>
    <w:rsid w:val="00396D32"/>
    <w:rsid w:val="00397EA3"/>
    <w:rsid w:val="003A06C2"/>
    <w:rsid w:val="003A11B0"/>
    <w:rsid w:val="003A1445"/>
    <w:rsid w:val="003A29C7"/>
    <w:rsid w:val="003A3971"/>
    <w:rsid w:val="003A39EE"/>
    <w:rsid w:val="003A3EE1"/>
    <w:rsid w:val="003A43BA"/>
    <w:rsid w:val="003A4BFE"/>
    <w:rsid w:val="003A5092"/>
    <w:rsid w:val="003A50D1"/>
    <w:rsid w:val="003A5E69"/>
    <w:rsid w:val="003A6035"/>
    <w:rsid w:val="003A65CB"/>
    <w:rsid w:val="003A6F28"/>
    <w:rsid w:val="003A7414"/>
    <w:rsid w:val="003A7B9A"/>
    <w:rsid w:val="003A7CB3"/>
    <w:rsid w:val="003B05A4"/>
    <w:rsid w:val="003B07C6"/>
    <w:rsid w:val="003B18FA"/>
    <w:rsid w:val="003B263B"/>
    <w:rsid w:val="003B31C9"/>
    <w:rsid w:val="003B3FC7"/>
    <w:rsid w:val="003B4BBF"/>
    <w:rsid w:val="003B56C9"/>
    <w:rsid w:val="003B587D"/>
    <w:rsid w:val="003B5E84"/>
    <w:rsid w:val="003B6F7C"/>
    <w:rsid w:val="003B70EF"/>
    <w:rsid w:val="003C031F"/>
    <w:rsid w:val="003C0DEF"/>
    <w:rsid w:val="003C134C"/>
    <w:rsid w:val="003C200F"/>
    <w:rsid w:val="003C2DD7"/>
    <w:rsid w:val="003C3280"/>
    <w:rsid w:val="003C34BE"/>
    <w:rsid w:val="003C3A84"/>
    <w:rsid w:val="003C456F"/>
    <w:rsid w:val="003C4815"/>
    <w:rsid w:val="003C4F88"/>
    <w:rsid w:val="003C60C7"/>
    <w:rsid w:val="003C6338"/>
    <w:rsid w:val="003C735D"/>
    <w:rsid w:val="003C7413"/>
    <w:rsid w:val="003D060A"/>
    <w:rsid w:val="003D07C8"/>
    <w:rsid w:val="003D0EE7"/>
    <w:rsid w:val="003D1A51"/>
    <w:rsid w:val="003D1B25"/>
    <w:rsid w:val="003D25C3"/>
    <w:rsid w:val="003D26E7"/>
    <w:rsid w:val="003D2C4C"/>
    <w:rsid w:val="003D4083"/>
    <w:rsid w:val="003D45BD"/>
    <w:rsid w:val="003D4986"/>
    <w:rsid w:val="003D4B07"/>
    <w:rsid w:val="003D500E"/>
    <w:rsid w:val="003D579B"/>
    <w:rsid w:val="003D5DC2"/>
    <w:rsid w:val="003D61BD"/>
    <w:rsid w:val="003D662A"/>
    <w:rsid w:val="003D6891"/>
    <w:rsid w:val="003D6A33"/>
    <w:rsid w:val="003D6C69"/>
    <w:rsid w:val="003D6C78"/>
    <w:rsid w:val="003E014B"/>
    <w:rsid w:val="003E09F4"/>
    <w:rsid w:val="003E1112"/>
    <w:rsid w:val="003E12F2"/>
    <w:rsid w:val="003E1566"/>
    <w:rsid w:val="003E212D"/>
    <w:rsid w:val="003E249E"/>
    <w:rsid w:val="003E34E4"/>
    <w:rsid w:val="003E3C2B"/>
    <w:rsid w:val="003E458E"/>
    <w:rsid w:val="003E4B1F"/>
    <w:rsid w:val="003E4BB0"/>
    <w:rsid w:val="003E5894"/>
    <w:rsid w:val="003E639A"/>
    <w:rsid w:val="003E6EBA"/>
    <w:rsid w:val="003F02A3"/>
    <w:rsid w:val="003F0604"/>
    <w:rsid w:val="003F08FD"/>
    <w:rsid w:val="003F0937"/>
    <w:rsid w:val="003F0C29"/>
    <w:rsid w:val="003F12DA"/>
    <w:rsid w:val="003F25F8"/>
    <w:rsid w:val="003F263E"/>
    <w:rsid w:val="003F2EEA"/>
    <w:rsid w:val="003F33F0"/>
    <w:rsid w:val="003F35E5"/>
    <w:rsid w:val="003F38C3"/>
    <w:rsid w:val="003F3A6C"/>
    <w:rsid w:val="003F3CDE"/>
    <w:rsid w:val="003F443A"/>
    <w:rsid w:val="003F5137"/>
    <w:rsid w:val="003F5DB7"/>
    <w:rsid w:val="003F5E43"/>
    <w:rsid w:val="003F6353"/>
    <w:rsid w:val="003F637B"/>
    <w:rsid w:val="003F6886"/>
    <w:rsid w:val="003F6A6C"/>
    <w:rsid w:val="003F7C5A"/>
    <w:rsid w:val="00400E25"/>
    <w:rsid w:val="00401361"/>
    <w:rsid w:val="00401E00"/>
    <w:rsid w:val="004029DF"/>
    <w:rsid w:val="00402AB1"/>
    <w:rsid w:val="00403514"/>
    <w:rsid w:val="00404BC2"/>
    <w:rsid w:val="00405137"/>
    <w:rsid w:val="004054A0"/>
    <w:rsid w:val="00405812"/>
    <w:rsid w:val="004059DD"/>
    <w:rsid w:val="00405A37"/>
    <w:rsid w:val="00405F78"/>
    <w:rsid w:val="004069DA"/>
    <w:rsid w:val="00406C1C"/>
    <w:rsid w:val="00407BC5"/>
    <w:rsid w:val="0041031F"/>
    <w:rsid w:val="0041063C"/>
    <w:rsid w:val="004109B7"/>
    <w:rsid w:val="00410AA2"/>
    <w:rsid w:val="00411201"/>
    <w:rsid w:val="004113D9"/>
    <w:rsid w:val="00412A0D"/>
    <w:rsid w:val="00412D35"/>
    <w:rsid w:val="004142A4"/>
    <w:rsid w:val="00415902"/>
    <w:rsid w:val="004165AF"/>
    <w:rsid w:val="00416615"/>
    <w:rsid w:val="004166AA"/>
    <w:rsid w:val="00416816"/>
    <w:rsid w:val="00416C2B"/>
    <w:rsid w:val="00416CE0"/>
    <w:rsid w:val="004171CB"/>
    <w:rsid w:val="00417B47"/>
    <w:rsid w:val="00417CB2"/>
    <w:rsid w:val="004201E1"/>
    <w:rsid w:val="00420B2D"/>
    <w:rsid w:val="00420EB3"/>
    <w:rsid w:val="0042124D"/>
    <w:rsid w:val="004227BD"/>
    <w:rsid w:val="00422DBC"/>
    <w:rsid w:val="00422F7A"/>
    <w:rsid w:val="00423436"/>
    <w:rsid w:val="00424A02"/>
    <w:rsid w:val="00424CB1"/>
    <w:rsid w:val="00425A61"/>
    <w:rsid w:val="00426410"/>
    <w:rsid w:val="00430585"/>
    <w:rsid w:val="00430B73"/>
    <w:rsid w:val="00430FC5"/>
    <w:rsid w:val="004316C9"/>
    <w:rsid w:val="0043191C"/>
    <w:rsid w:val="00432541"/>
    <w:rsid w:val="00432779"/>
    <w:rsid w:val="00432DE5"/>
    <w:rsid w:val="00432E3D"/>
    <w:rsid w:val="0043339C"/>
    <w:rsid w:val="004336C8"/>
    <w:rsid w:val="00435D94"/>
    <w:rsid w:val="00436A4E"/>
    <w:rsid w:val="00436F1F"/>
    <w:rsid w:val="00436F47"/>
    <w:rsid w:val="00437139"/>
    <w:rsid w:val="0043744C"/>
    <w:rsid w:val="004375F3"/>
    <w:rsid w:val="00437729"/>
    <w:rsid w:val="0044042D"/>
    <w:rsid w:val="00441E9B"/>
    <w:rsid w:val="004426B7"/>
    <w:rsid w:val="004426C6"/>
    <w:rsid w:val="0044312B"/>
    <w:rsid w:val="004431E2"/>
    <w:rsid w:val="00443CD5"/>
    <w:rsid w:val="00444334"/>
    <w:rsid w:val="00444B04"/>
    <w:rsid w:val="00445C4D"/>
    <w:rsid w:val="00445E6E"/>
    <w:rsid w:val="004475C8"/>
    <w:rsid w:val="00447D66"/>
    <w:rsid w:val="00450043"/>
    <w:rsid w:val="0045184B"/>
    <w:rsid w:val="00451E31"/>
    <w:rsid w:val="0045213D"/>
    <w:rsid w:val="00452613"/>
    <w:rsid w:val="00452B84"/>
    <w:rsid w:val="004530CC"/>
    <w:rsid w:val="004530EE"/>
    <w:rsid w:val="00453DAC"/>
    <w:rsid w:val="00453F4C"/>
    <w:rsid w:val="004548C2"/>
    <w:rsid w:val="00455DFB"/>
    <w:rsid w:val="00456865"/>
    <w:rsid w:val="00457303"/>
    <w:rsid w:val="00457C77"/>
    <w:rsid w:val="00460E04"/>
    <w:rsid w:val="004613A2"/>
    <w:rsid w:val="004619EE"/>
    <w:rsid w:val="00462BF7"/>
    <w:rsid w:val="0046325F"/>
    <w:rsid w:val="00463431"/>
    <w:rsid w:val="00463587"/>
    <w:rsid w:val="00463A8A"/>
    <w:rsid w:val="00463F5F"/>
    <w:rsid w:val="00464A86"/>
    <w:rsid w:val="00464AAE"/>
    <w:rsid w:val="00464B86"/>
    <w:rsid w:val="00466883"/>
    <w:rsid w:val="00466938"/>
    <w:rsid w:val="00466954"/>
    <w:rsid w:val="004670B9"/>
    <w:rsid w:val="004676BD"/>
    <w:rsid w:val="0046782E"/>
    <w:rsid w:val="00467890"/>
    <w:rsid w:val="004679B9"/>
    <w:rsid w:val="00467A7E"/>
    <w:rsid w:val="0047039F"/>
    <w:rsid w:val="004706D5"/>
    <w:rsid w:val="004709CF"/>
    <w:rsid w:val="00471CB7"/>
    <w:rsid w:val="00471D28"/>
    <w:rsid w:val="00471EAC"/>
    <w:rsid w:val="00471F56"/>
    <w:rsid w:val="00472462"/>
    <w:rsid w:val="004728B7"/>
    <w:rsid w:val="00472D7A"/>
    <w:rsid w:val="00473136"/>
    <w:rsid w:val="00473CBF"/>
    <w:rsid w:val="00474194"/>
    <w:rsid w:val="004741DD"/>
    <w:rsid w:val="00474788"/>
    <w:rsid w:val="00474B00"/>
    <w:rsid w:val="00475713"/>
    <w:rsid w:val="004765AB"/>
    <w:rsid w:val="00477466"/>
    <w:rsid w:val="0047775C"/>
    <w:rsid w:val="004777EC"/>
    <w:rsid w:val="00477E32"/>
    <w:rsid w:val="00481729"/>
    <w:rsid w:val="00481FE7"/>
    <w:rsid w:val="00482BD9"/>
    <w:rsid w:val="00482D2B"/>
    <w:rsid w:val="0048375B"/>
    <w:rsid w:val="00483979"/>
    <w:rsid w:val="00484764"/>
    <w:rsid w:val="004847FD"/>
    <w:rsid w:val="00485442"/>
    <w:rsid w:val="004863D6"/>
    <w:rsid w:val="0048745F"/>
    <w:rsid w:val="00490058"/>
    <w:rsid w:val="00491230"/>
    <w:rsid w:val="004912D0"/>
    <w:rsid w:val="00493C0D"/>
    <w:rsid w:val="00493CB3"/>
    <w:rsid w:val="00494132"/>
    <w:rsid w:val="00495000"/>
    <w:rsid w:val="00495885"/>
    <w:rsid w:val="00495AFF"/>
    <w:rsid w:val="004960EC"/>
    <w:rsid w:val="004A0198"/>
    <w:rsid w:val="004A03F5"/>
    <w:rsid w:val="004A0AA5"/>
    <w:rsid w:val="004A20CE"/>
    <w:rsid w:val="004A24BA"/>
    <w:rsid w:val="004A2526"/>
    <w:rsid w:val="004A3105"/>
    <w:rsid w:val="004A39E7"/>
    <w:rsid w:val="004A4EB8"/>
    <w:rsid w:val="004A51EF"/>
    <w:rsid w:val="004A6832"/>
    <w:rsid w:val="004B049B"/>
    <w:rsid w:val="004B07DA"/>
    <w:rsid w:val="004B0859"/>
    <w:rsid w:val="004B0EBC"/>
    <w:rsid w:val="004B1487"/>
    <w:rsid w:val="004B1B6B"/>
    <w:rsid w:val="004B1C8A"/>
    <w:rsid w:val="004B3069"/>
    <w:rsid w:val="004B41C1"/>
    <w:rsid w:val="004B448A"/>
    <w:rsid w:val="004B496B"/>
    <w:rsid w:val="004B4DFA"/>
    <w:rsid w:val="004B4E3C"/>
    <w:rsid w:val="004B5328"/>
    <w:rsid w:val="004B594C"/>
    <w:rsid w:val="004B59F9"/>
    <w:rsid w:val="004B5EFE"/>
    <w:rsid w:val="004B5FDC"/>
    <w:rsid w:val="004B6239"/>
    <w:rsid w:val="004B6681"/>
    <w:rsid w:val="004B6F1D"/>
    <w:rsid w:val="004B7AD0"/>
    <w:rsid w:val="004B7C46"/>
    <w:rsid w:val="004B7F96"/>
    <w:rsid w:val="004C014F"/>
    <w:rsid w:val="004C01CA"/>
    <w:rsid w:val="004C0345"/>
    <w:rsid w:val="004C0737"/>
    <w:rsid w:val="004C0D5C"/>
    <w:rsid w:val="004C1FAC"/>
    <w:rsid w:val="004C2086"/>
    <w:rsid w:val="004C2673"/>
    <w:rsid w:val="004C387A"/>
    <w:rsid w:val="004C3ADE"/>
    <w:rsid w:val="004C3F40"/>
    <w:rsid w:val="004C420C"/>
    <w:rsid w:val="004C4326"/>
    <w:rsid w:val="004C4721"/>
    <w:rsid w:val="004C479D"/>
    <w:rsid w:val="004C4AB0"/>
    <w:rsid w:val="004C4FDE"/>
    <w:rsid w:val="004C52F0"/>
    <w:rsid w:val="004C5309"/>
    <w:rsid w:val="004C54C3"/>
    <w:rsid w:val="004C5773"/>
    <w:rsid w:val="004C5778"/>
    <w:rsid w:val="004C59B7"/>
    <w:rsid w:val="004C6E77"/>
    <w:rsid w:val="004D0106"/>
    <w:rsid w:val="004D0971"/>
    <w:rsid w:val="004D0D88"/>
    <w:rsid w:val="004D0DD7"/>
    <w:rsid w:val="004D1130"/>
    <w:rsid w:val="004D1338"/>
    <w:rsid w:val="004D1610"/>
    <w:rsid w:val="004D1E18"/>
    <w:rsid w:val="004D1EED"/>
    <w:rsid w:val="004D2840"/>
    <w:rsid w:val="004D2A7B"/>
    <w:rsid w:val="004D341F"/>
    <w:rsid w:val="004D4109"/>
    <w:rsid w:val="004D480C"/>
    <w:rsid w:val="004D494C"/>
    <w:rsid w:val="004D53CC"/>
    <w:rsid w:val="004D54B4"/>
    <w:rsid w:val="004D5CA3"/>
    <w:rsid w:val="004D645F"/>
    <w:rsid w:val="004D6747"/>
    <w:rsid w:val="004D6CBE"/>
    <w:rsid w:val="004E05C0"/>
    <w:rsid w:val="004E08B5"/>
    <w:rsid w:val="004E0BA7"/>
    <w:rsid w:val="004E0C2A"/>
    <w:rsid w:val="004E0D1D"/>
    <w:rsid w:val="004E0F34"/>
    <w:rsid w:val="004E14E0"/>
    <w:rsid w:val="004E2387"/>
    <w:rsid w:val="004E2D34"/>
    <w:rsid w:val="004E3108"/>
    <w:rsid w:val="004E40C8"/>
    <w:rsid w:val="004E432B"/>
    <w:rsid w:val="004E43C3"/>
    <w:rsid w:val="004E4F22"/>
    <w:rsid w:val="004E5079"/>
    <w:rsid w:val="004E545A"/>
    <w:rsid w:val="004E5ADD"/>
    <w:rsid w:val="004E5D65"/>
    <w:rsid w:val="004E5F14"/>
    <w:rsid w:val="004E61AB"/>
    <w:rsid w:val="004E657B"/>
    <w:rsid w:val="004E6ADD"/>
    <w:rsid w:val="004E6C92"/>
    <w:rsid w:val="004E70C5"/>
    <w:rsid w:val="004E7AD0"/>
    <w:rsid w:val="004E7F87"/>
    <w:rsid w:val="004F0102"/>
    <w:rsid w:val="004F0B58"/>
    <w:rsid w:val="004F1005"/>
    <w:rsid w:val="004F3627"/>
    <w:rsid w:val="004F3CA5"/>
    <w:rsid w:val="004F41DA"/>
    <w:rsid w:val="004F4758"/>
    <w:rsid w:val="004F4AE8"/>
    <w:rsid w:val="004F5362"/>
    <w:rsid w:val="004F6412"/>
    <w:rsid w:val="004F6752"/>
    <w:rsid w:val="004F68DE"/>
    <w:rsid w:val="004F6B84"/>
    <w:rsid w:val="004F7320"/>
    <w:rsid w:val="004F772B"/>
    <w:rsid w:val="004F778C"/>
    <w:rsid w:val="004F77FB"/>
    <w:rsid w:val="004F7AF8"/>
    <w:rsid w:val="004F7DDE"/>
    <w:rsid w:val="0050008C"/>
    <w:rsid w:val="00500AF4"/>
    <w:rsid w:val="00501D4A"/>
    <w:rsid w:val="00501D61"/>
    <w:rsid w:val="00502DD2"/>
    <w:rsid w:val="00503F7E"/>
    <w:rsid w:val="00504794"/>
    <w:rsid w:val="00504D50"/>
    <w:rsid w:val="0050568A"/>
    <w:rsid w:val="00505AE9"/>
    <w:rsid w:val="00506161"/>
    <w:rsid w:val="005068C3"/>
    <w:rsid w:val="00506AA4"/>
    <w:rsid w:val="00506BDC"/>
    <w:rsid w:val="00506ED4"/>
    <w:rsid w:val="005072B3"/>
    <w:rsid w:val="00507650"/>
    <w:rsid w:val="00507AD1"/>
    <w:rsid w:val="00510889"/>
    <w:rsid w:val="00510B9D"/>
    <w:rsid w:val="00510DEA"/>
    <w:rsid w:val="00510E94"/>
    <w:rsid w:val="00510FED"/>
    <w:rsid w:val="00511C74"/>
    <w:rsid w:val="0051266B"/>
    <w:rsid w:val="00512700"/>
    <w:rsid w:val="00512726"/>
    <w:rsid w:val="0051277F"/>
    <w:rsid w:val="00512AFC"/>
    <w:rsid w:val="00512D80"/>
    <w:rsid w:val="00512E58"/>
    <w:rsid w:val="005131A7"/>
    <w:rsid w:val="005136CC"/>
    <w:rsid w:val="00513B47"/>
    <w:rsid w:val="00513BFA"/>
    <w:rsid w:val="00513CDE"/>
    <w:rsid w:val="00513F8F"/>
    <w:rsid w:val="00514126"/>
    <w:rsid w:val="00514F41"/>
    <w:rsid w:val="005157A0"/>
    <w:rsid w:val="00515AE4"/>
    <w:rsid w:val="00516000"/>
    <w:rsid w:val="0051620B"/>
    <w:rsid w:val="00517788"/>
    <w:rsid w:val="00517A60"/>
    <w:rsid w:val="00520404"/>
    <w:rsid w:val="00520DED"/>
    <w:rsid w:val="0052236A"/>
    <w:rsid w:val="00522A89"/>
    <w:rsid w:val="0052379A"/>
    <w:rsid w:val="00523AB9"/>
    <w:rsid w:val="00525885"/>
    <w:rsid w:val="00525FCC"/>
    <w:rsid w:val="00526077"/>
    <w:rsid w:val="0052658E"/>
    <w:rsid w:val="005265A5"/>
    <w:rsid w:val="00526A27"/>
    <w:rsid w:val="00526FE0"/>
    <w:rsid w:val="00527495"/>
    <w:rsid w:val="00527C9B"/>
    <w:rsid w:val="00527CAE"/>
    <w:rsid w:val="00530781"/>
    <w:rsid w:val="00530925"/>
    <w:rsid w:val="00532647"/>
    <w:rsid w:val="00532A39"/>
    <w:rsid w:val="00532B7A"/>
    <w:rsid w:val="00532E1A"/>
    <w:rsid w:val="00533AAA"/>
    <w:rsid w:val="0053641E"/>
    <w:rsid w:val="00536489"/>
    <w:rsid w:val="0053673B"/>
    <w:rsid w:val="0053677D"/>
    <w:rsid w:val="005368A4"/>
    <w:rsid w:val="0054090B"/>
    <w:rsid w:val="00540EEB"/>
    <w:rsid w:val="00540F58"/>
    <w:rsid w:val="0054111F"/>
    <w:rsid w:val="005415D4"/>
    <w:rsid w:val="00541CA3"/>
    <w:rsid w:val="00541F31"/>
    <w:rsid w:val="00542112"/>
    <w:rsid w:val="005427B4"/>
    <w:rsid w:val="005436F4"/>
    <w:rsid w:val="00543994"/>
    <w:rsid w:val="00543B01"/>
    <w:rsid w:val="0054517C"/>
    <w:rsid w:val="00545F08"/>
    <w:rsid w:val="00546090"/>
    <w:rsid w:val="0054768C"/>
    <w:rsid w:val="00551683"/>
    <w:rsid w:val="00552071"/>
    <w:rsid w:val="0055238B"/>
    <w:rsid w:val="00553220"/>
    <w:rsid w:val="00553EF7"/>
    <w:rsid w:val="00553F9B"/>
    <w:rsid w:val="00555517"/>
    <w:rsid w:val="005555F7"/>
    <w:rsid w:val="0055576D"/>
    <w:rsid w:val="00555AE4"/>
    <w:rsid w:val="0055640C"/>
    <w:rsid w:val="00556D4E"/>
    <w:rsid w:val="005575AC"/>
    <w:rsid w:val="005579D9"/>
    <w:rsid w:val="005610AB"/>
    <w:rsid w:val="00561313"/>
    <w:rsid w:val="00561D4F"/>
    <w:rsid w:val="005632BF"/>
    <w:rsid w:val="0056378F"/>
    <w:rsid w:val="00563A60"/>
    <w:rsid w:val="00563FEB"/>
    <w:rsid w:val="005640F3"/>
    <w:rsid w:val="0056416B"/>
    <w:rsid w:val="00565326"/>
    <w:rsid w:val="00565CE1"/>
    <w:rsid w:val="005660E6"/>
    <w:rsid w:val="005663A4"/>
    <w:rsid w:val="00566B0D"/>
    <w:rsid w:val="00566E6C"/>
    <w:rsid w:val="0056705F"/>
    <w:rsid w:val="005670FB"/>
    <w:rsid w:val="00567785"/>
    <w:rsid w:val="00567793"/>
    <w:rsid w:val="00567BD8"/>
    <w:rsid w:val="005706EA"/>
    <w:rsid w:val="00570FF5"/>
    <w:rsid w:val="005710C4"/>
    <w:rsid w:val="00571BD2"/>
    <w:rsid w:val="00571FB7"/>
    <w:rsid w:val="0057244B"/>
    <w:rsid w:val="005728C2"/>
    <w:rsid w:val="0057342E"/>
    <w:rsid w:val="0057344E"/>
    <w:rsid w:val="00573543"/>
    <w:rsid w:val="00573B89"/>
    <w:rsid w:val="00573C62"/>
    <w:rsid w:val="00573F51"/>
    <w:rsid w:val="00575B93"/>
    <w:rsid w:val="005768F1"/>
    <w:rsid w:val="00577942"/>
    <w:rsid w:val="005807BD"/>
    <w:rsid w:val="00580914"/>
    <w:rsid w:val="0058099B"/>
    <w:rsid w:val="00580A60"/>
    <w:rsid w:val="005826F6"/>
    <w:rsid w:val="00582F9F"/>
    <w:rsid w:val="00583577"/>
    <w:rsid w:val="00584C18"/>
    <w:rsid w:val="005850E3"/>
    <w:rsid w:val="005859D2"/>
    <w:rsid w:val="00585F10"/>
    <w:rsid w:val="00585F72"/>
    <w:rsid w:val="00587140"/>
    <w:rsid w:val="005872E9"/>
    <w:rsid w:val="005874A0"/>
    <w:rsid w:val="00590019"/>
    <w:rsid w:val="005903A2"/>
    <w:rsid w:val="00591812"/>
    <w:rsid w:val="00591AEE"/>
    <w:rsid w:val="00592489"/>
    <w:rsid w:val="00592513"/>
    <w:rsid w:val="00592A05"/>
    <w:rsid w:val="00592A48"/>
    <w:rsid w:val="00593040"/>
    <w:rsid w:val="00593919"/>
    <w:rsid w:val="00593FA9"/>
    <w:rsid w:val="00594A7B"/>
    <w:rsid w:val="00594B55"/>
    <w:rsid w:val="00595553"/>
    <w:rsid w:val="00595EE3"/>
    <w:rsid w:val="00596875"/>
    <w:rsid w:val="00596C05"/>
    <w:rsid w:val="00596C22"/>
    <w:rsid w:val="0059756E"/>
    <w:rsid w:val="005975D8"/>
    <w:rsid w:val="00597801"/>
    <w:rsid w:val="005A007A"/>
    <w:rsid w:val="005A04AD"/>
    <w:rsid w:val="005A050D"/>
    <w:rsid w:val="005A0663"/>
    <w:rsid w:val="005A0677"/>
    <w:rsid w:val="005A3A52"/>
    <w:rsid w:val="005A3C0A"/>
    <w:rsid w:val="005A4AE0"/>
    <w:rsid w:val="005A4CB4"/>
    <w:rsid w:val="005A5044"/>
    <w:rsid w:val="005A5367"/>
    <w:rsid w:val="005A5754"/>
    <w:rsid w:val="005A6606"/>
    <w:rsid w:val="005A6B55"/>
    <w:rsid w:val="005A705F"/>
    <w:rsid w:val="005A7165"/>
    <w:rsid w:val="005A725A"/>
    <w:rsid w:val="005B02DA"/>
    <w:rsid w:val="005B07A7"/>
    <w:rsid w:val="005B0CEE"/>
    <w:rsid w:val="005B10C4"/>
    <w:rsid w:val="005B14EC"/>
    <w:rsid w:val="005B163E"/>
    <w:rsid w:val="005B1B5F"/>
    <w:rsid w:val="005B229D"/>
    <w:rsid w:val="005B2BCD"/>
    <w:rsid w:val="005B3562"/>
    <w:rsid w:val="005B3E7A"/>
    <w:rsid w:val="005B3F8D"/>
    <w:rsid w:val="005B481C"/>
    <w:rsid w:val="005B4852"/>
    <w:rsid w:val="005B4C58"/>
    <w:rsid w:val="005B4E14"/>
    <w:rsid w:val="005B5074"/>
    <w:rsid w:val="005B5564"/>
    <w:rsid w:val="005B6A0B"/>
    <w:rsid w:val="005B6ED1"/>
    <w:rsid w:val="005B7850"/>
    <w:rsid w:val="005B7B26"/>
    <w:rsid w:val="005C057E"/>
    <w:rsid w:val="005C0766"/>
    <w:rsid w:val="005C0F71"/>
    <w:rsid w:val="005C1CFF"/>
    <w:rsid w:val="005C212F"/>
    <w:rsid w:val="005C216C"/>
    <w:rsid w:val="005C27A1"/>
    <w:rsid w:val="005C2D32"/>
    <w:rsid w:val="005C2F1B"/>
    <w:rsid w:val="005C34DC"/>
    <w:rsid w:val="005C3C02"/>
    <w:rsid w:val="005C3F45"/>
    <w:rsid w:val="005C3FAF"/>
    <w:rsid w:val="005C507E"/>
    <w:rsid w:val="005C5332"/>
    <w:rsid w:val="005C5556"/>
    <w:rsid w:val="005C556C"/>
    <w:rsid w:val="005C55B6"/>
    <w:rsid w:val="005C5994"/>
    <w:rsid w:val="005C5C62"/>
    <w:rsid w:val="005C5EBC"/>
    <w:rsid w:val="005C5F65"/>
    <w:rsid w:val="005C5FF0"/>
    <w:rsid w:val="005C65E5"/>
    <w:rsid w:val="005C68C2"/>
    <w:rsid w:val="005C74BD"/>
    <w:rsid w:val="005D075F"/>
    <w:rsid w:val="005D09A4"/>
    <w:rsid w:val="005D14A1"/>
    <w:rsid w:val="005D1DAA"/>
    <w:rsid w:val="005D2594"/>
    <w:rsid w:val="005D369C"/>
    <w:rsid w:val="005D3FE3"/>
    <w:rsid w:val="005D4314"/>
    <w:rsid w:val="005D443E"/>
    <w:rsid w:val="005D48F7"/>
    <w:rsid w:val="005D506E"/>
    <w:rsid w:val="005D55D7"/>
    <w:rsid w:val="005D58B7"/>
    <w:rsid w:val="005D5ACE"/>
    <w:rsid w:val="005D5FAC"/>
    <w:rsid w:val="005D6235"/>
    <w:rsid w:val="005D6626"/>
    <w:rsid w:val="005D768D"/>
    <w:rsid w:val="005D7F25"/>
    <w:rsid w:val="005E036D"/>
    <w:rsid w:val="005E07EF"/>
    <w:rsid w:val="005E1016"/>
    <w:rsid w:val="005E1B81"/>
    <w:rsid w:val="005E1D79"/>
    <w:rsid w:val="005E2873"/>
    <w:rsid w:val="005E28BF"/>
    <w:rsid w:val="005E304F"/>
    <w:rsid w:val="005E31CA"/>
    <w:rsid w:val="005E32D4"/>
    <w:rsid w:val="005E37AE"/>
    <w:rsid w:val="005E3A83"/>
    <w:rsid w:val="005E3B44"/>
    <w:rsid w:val="005E3EE7"/>
    <w:rsid w:val="005E4AD6"/>
    <w:rsid w:val="005E537B"/>
    <w:rsid w:val="005E541B"/>
    <w:rsid w:val="005E5AE5"/>
    <w:rsid w:val="005E5C74"/>
    <w:rsid w:val="005E620B"/>
    <w:rsid w:val="005E6A08"/>
    <w:rsid w:val="005E6A4E"/>
    <w:rsid w:val="005E6C3C"/>
    <w:rsid w:val="005E6DB5"/>
    <w:rsid w:val="005E6DC2"/>
    <w:rsid w:val="005F037E"/>
    <w:rsid w:val="005F0683"/>
    <w:rsid w:val="005F06FA"/>
    <w:rsid w:val="005F1997"/>
    <w:rsid w:val="005F1B31"/>
    <w:rsid w:val="005F1DD7"/>
    <w:rsid w:val="005F2287"/>
    <w:rsid w:val="005F2F40"/>
    <w:rsid w:val="005F3A92"/>
    <w:rsid w:val="005F4139"/>
    <w:rsid w:val="005F4B59"/>
    <w:rsid w:val="005F4D77"/>
    <w:rsid w:val="005F4EA4"/>
    <w:rsid w:val="005F5068"/>
    <w:rsid w:val="005F5126"/>
    <w:rsid w:val="005F5731"/>
    <w:rsid w:val="005F5C93"/>
    <w:rsid w:val="005F723F"/>
    <w:rsid w:val="005F75FC"/>
    <w:rsid w:val="005F7836"/>
    <w:rsid w:val="005F7DE6"/>
    <w:rsid w:val="005F7E17"/>
    <w:rsid w:val="006003F9"/>
    <w:rsid w:val="00600CB9"/>
    <w:rsid w:val="0060169E"/>
    <w:rsid w:val="00601EBB"/>
    <w:rsid w:val="0060272F"/>
    <w:rsid w:val="006031F8"/>
    <w:rsid w:val="006037EA"/>
    <w:rsid w:val="006039FE"/>
    <w:rsid w:val="00603D57"/>
    <w:rsid w:val="00604CBD"/>
    <w:rsid w:val="00606205"/>
    <w:rsid w:val="0060658B"/>
    <w:rsid w:val="00606A8E"/>
    <w:rsid w:val="006072BB"/>
    <w:rsid w:val="0060735E"/>
    <w:rsid w:val="0060766D"/>
    <w:rsid w:val="0060790B"/>
    <w:rsid w:val="006079CD"/>
    <w:rsid w:val="006100AF"/>
    <w:rsid w:val="0061042E"/>
    <w:rsid w:val="00610952"/>
    <w:rsid w:val="00610B26"/>
    <w:rsid w:val="00610E83"/>
    <w:rsid w:val="006114AD"/>
    <w:rsid w:val="0061153F"/>
    <w:rsid w:val="00611671"/>
    <w:rsid w:val="00611E29"/>
    <w:rsid w:val="00612C00"/>
    <w:rsid w:val="006131E0"/>
    <w:rsid w:val="00614023"/>
    <w:rsid w:val="006143E6"/>
    <w:rsid w:val="006146C8"/>
    <w:rsid w:val="0061531E"/>
    <w:rsid w:val="006179EF"/>
    <w:rsid w:val="006203F0"/>
    <w:rsid w:val="00620DE9"/>
    <w:rsid w:val="00621CE5"/>
    <w:rsid w:val="00622132"/>
    <w:rsid w:val="006221EB"/>
    <w:rsid w:val="006222B6"/>
    <w:rsid w:val="006224C2"/>
    <w:rsid w:val="0062263D"/>
    <w:rsid w:val="00622848"/>
    <w:rsid w:val="006228F7"/>
    <w:rsid w:val="00622D8E"/>
    <w:rsid w:val="00623CF0"/>
    <w:rsid w:val="00624CF8"/>
    <w:rsid w:val="006254E0"/>
    <w:rsid w:val="0062593C"/>
    <w:rsid w:val="00625ACA"/>
    <w:rsid w:val="006261C1"/>
    <w:rsid w:val="0062673A"/>
    <w:rsid w:val="00626B31"/>
    <w:rsid w:val="006276BE"/>
    <w:rsid w:val="00627F2A"/>
    <w:rsid w:val="00630803"/>
    <w:rsid w:val="00631607"/>
    <w:rsid w:val="0063230C"/>
    <w:rsid w:val="006324D4"/>
    <w:rsid w:val="00632BA2"/>
    <w:rsid w:val="00633647"/>
    <w:rsid w:val="00633F56"/>
    <w:rsid w:val="00634EDA"/>
    <w:rsid w:val="00635518"/>
    <w:rsid w:val="0063700F"/>
    <w:rsid w:val="00637209"/>
    <w:rsid w:val="00637489"/>
    <w:rsid w:val="00637C51"/>
    <w:rsid w:val="00640134"/>
    <w:rsid w:val="0064019B"/>
    <w:rsid w:val="0064022F"/>
    <w:rsid w:val="00641305"/>
    <w:rsid w:val="006416C9"/>
    <w:rsid w:val="0064234D"/>
    <w:rsid w:val="00642409"/>
    <w:rsid w:val="00642429"/>
    <w:rsid w:val="0064246E"/>
    <w:rsid w:val="0064247C"/>
    <w:rsid w:val="00642908"/>
    <w:rsid w:val="00642DBF"/>
    <w:rsid w:val="00643717"/>
    <w:rsid w:val="00643925"/>
    <w:rsid w:val="006444F5"/>
    <w:rsid w:val="00644877"/>
    <w:rsid w:val="00644BAF"/>
    <w:rsid w:val="00645469"/>
    <w:rsid w:val="00645FA1"/>
    <w:rsid w:val="00646749"/>
    <w:rsid w:val="00646A95"/>
    <w:rsid w:val="00646AB4"/>
    <w:rsid w:val="00646C86"/>
    <w:rsid w:val="006477A8"/>
    <w:rsid w:val="00647CAF"/>
    <w:rsid w:val="00647FEF"/>
    <w:rsid w:val="00650394"/>
    <w:rsid w:val="00650452"/>
    <w:rsid w:val="0065065F"/>
    <w:rsid w:val="00652C2E"/>
    <w:rsid w:val="00652F2A"/>
    <w:rsid w:val="00653857"/>
    <w:rsid w:val="00653A15"/>
    <w:rsid w:val="00653EE2"/>
    <w:rsid w:val="00654B68"/>
    <w:rsid w:val="00654EAC"/>
    <w:rsid w:val="00654EC0"/>
    <w:rsid w:val="00655004"/>
    <w:rsid w:val="0065559B"/>
    <w:rsid w:val="00656E31"/>
    <w:rsid w:val="00656E4B"/>
    <w:rsid w:val="00656E55"/>
    <w:rsid w:val="006575B7"/>
    <w:rsid w:val="006575C2"/>
    <w:rsid w:val="00660401"/>
    <w:rsid w:val="006615A9"/>
    <w:rsid w:val="006618C2"/>
    <w:rsid w:val="00662233"/>
    <w:rsid w:val="00662821"/>
    <w:rsid w:val="006635E5"/>
    <w:rsid w:val="006642EF"/>
    <w:rsid w:val="0066432C"/>
    <w:rsid w:val="00664BE7"/>
    <w:rsid w:val="00664BE9"/>
    <w:rsid w:val="00665306"/>
    <w:rsid w:val="00665949"/>
    <w:rsid w:val="00665C1B"/>
    <w:rsid w:val="006661B3"/>
    <w:rsid w:val="00666773"/>
    <w:rsid w:val="00667D05"/>
    <w:rsid w:val="00667D58"/>
    <w:rsid w:val="00670046"/>
    <w:rsid w:val="00670078"/>
    <w:rsid w:val="006719CB"/>
    <w:rsid w:val="00673089"/>
    <w:rsid w:val="00673594"/>
    <w:rsid w:val="006736FD"/>
    <w:rsid w:val="0067370A"/>
    <w:rsid w:val="00675562"/>
    <w:rsid w:val="00676665"/>
    <w:rsid w:val="00676B85"/>
    <w:rsid w:val="00677705"/>
    <w:rsid w:val="00677C60"/>
    <w:rsid w:val="00680093"/>
    <w:rsid w:val="006801E0"/>
    <w:rsid w:val="00680AD4"/>
    <w:rsid w:val="00680EE3"/>
    <w:rsid w:val="00683368"/>
    <w:rsid w:val="006839A8"/>
    <w:rsid w:val="006846C4"/>
    <w:rsid w:val="006853E0"/>
    <w:rsid w:val="00685612"/>
    <w:rsid w:val="0068573D"/>
    <w:rsid w:val="00685D0A"/>
    <w:rsid w:val="00685EB8"/>
    <w:rsid w:val="00686060"/>
    <w:rsid w:val="0068625A"/>
    <w:rsid w:val="006865E0"/>
    <w:rsid w:val="00686C90"/>
    <w:rsid w:val="0068792B"/>
    <w:rsid w:val="00687A6E"/>
    <w:rsid w:val="006900F8"/>
    <w:rsid w:val="006902C0"/>
    <w:rsid w:val="00690308"/>
    <w:rsid w:val="0069056C"/>
    <w:rsid w:val="00690FB2"/>
    <w:rsid w:val="0069258F"/>
    <w:rsid w:val="0069287F"/>
    <w:rsid w:val="00692F12"/>
    <w:rsid w:val="00693A08"/>
    <w:rsid w:val="0069473B"/>
    <w:rsid w:val="00694F93"/>
    <w:rsid w:val="00695020"/>
    <w:rsid w:val="006951A2"/>
    <w:rsid w:val="0069541E"/>
    <w:rsid w:val="006958F0"/>
    <w:rsid w:val="0069708A"/>
    <w:rsid w:val="00697478"/>
    <w:rsid w:val="006A0358"/>
    <w:rsid w:val="006A0A3A"/>
    <w:rsid w:val="006A1059"/>
    <w:rsid w:val="006A1486"/>
    <w:rsid w:val="006A163B"/>
    <w:rsid w:val="006A259F"/>
    <w:rsid w:val="006A3C1C"/>
    <w:rsid w:val="006A4338"/>
    <w:rsid w:val="006A43E5"/>
    <w:rsid w:val="006A5CDF"/>
    <w:rsid w:val="006A60C8"/>
    <w:rsid w:val="006A671B"/>
    <w:rsid w:val="006A6EAD"/>
    <w:rsid w:val="006A77AA"/>
    <w:rsid w:val="006B0110"/>
    <w:rsid w:val="006B0469"/>
    <w:rsid w:val="006B04AD"/>
    <w:rsid w:val="006B114E"/>
    <w:rsid w:val="006B127D"/>
    <w:rsid w:val="006B196C"/>
    <w:rsid w:val="006B269C"/>
    <w:rsid w:val="006B26F5"/>
    <w:rsid w:val="006B2746"/>
    <w:rsid w:val="006B32A9"/>
    <w:rsid w:val="006B3542"/>
    <w:rsid w:val="006B37D1"/>
    <w:rsid w:val="006B3FDC"/>
    <w:rsid w:val="006B417E"/>
    <w:rsid w:val="006B4ADB"/>
    <w:rsid w:val="006B4E89"/>
    <w:rsid w:val="006B4E9F"/>
    <w:rsid w:val="006B5165"/>
    <w:rsid w:val="006B628E"/>
    <w:rsid w:val="006B6353"/>
    <w:rsid w:val="006B71EE"/>
    <w:rsid w:val="006B7392"/>
    <w:rsid w:val="006C069B"/>
    <w:rsid w:val="006C06A0"/>
    <w:rsid w:val="006C09F6"/>
    <w:rsid w:val="006C13F6"/>
    <w:rsid w:val="006C1A45"/>
    <w:rsid w:val="006C1B5B"/>
    <w:rsid w:val="006C1FC4"/>
    <w:rsid w:val="006C20FA"/>
    <w:rsid w:val="006C2118"/>
    <w:rsid w:val="006C2609"/>
    <w:rsid w:val="006C294B"/>
    <w:rsid w:val="006C2C15"/>
    <w:rsid w:val="006C2E5E"/>
    <w:rsid w:val="006C2EFF"/>
    <w:rsid w:val="006C31B9"/>
    <w:rsid w:val="006C4463"/>
    <w:rsid w:val="006C4F65"/>
    <w:rsid w:val="006C50F9"/>
    <w:rsid w:val="006C5262"/>
    <w:rsid w:val="006C68D2"/>
    <w:rsid w:val="006C6E79"/>
    <w:rsid w:val="006C721E"/>
    <w:rsid w:val="006C7C45"/>
    <w:rsid w:val="006C7FD1"/>
    <w:rsid w:val="006D02A6"/>
    <w:rsid w:val="006D0B32"/>
    <w:rsid w:val="006D1119"/>
    <w:rsid w:val="006D15B9"/>
    <w:rsid w:val="006D1AEB"/>
    <w:rsid w:val="006D1D9B"/>
    <w:rsid w:val="006D202B"/>
    <w:rsid w:val="006D2526"/>
    <w:rsid w:val="006D27E9"/>
    <w:rsid w:val="006D28E4"/>
    <w:rsid w:val="006D301C"/>
    <w:rsid w:val="006D336C"/>
    <w:rsid w:val="006D362B"/>
    <w:rsid w:val="006D3746"/>
    <w:rsid w:val="006D3D05"/>
    <w:rsid w:val="006D3FCF"/>
    <w:rsid w:val="006D42F3"/>
    <w:rsid w:val="006D42FE"/>
    <w:rsid w:val="006D5402"/>
    <w:rsid w:val="006D54A8"/>
    <w:rsid w:val="006D551F"/>
    <w:rsid w:val="006D587E"/>
    <w:rsid w:val="006D60B1"/>
    <w:rsid w:val="006D6D0B"/>
    <w:rsid w:val="006D6DD6"/>
    <w:rsid w:val="006D6E4B"/>
    <w:rsid w:val="006D7565"/>
    <w:rsid w:val="006E0623"/>
    <w:rsid w:val="006E2909"/>
    <w:rsid w:val="006E2A10"/>
    <w:rsid w:val="006E31B8"/>
    <w:rsid w:val="006E38B9"/>
    <w:rsid w:val="006E41DB"/>
    <w:rsid w:val="006E41E9"/>
    <w:rsid w:val="006E4CEC"/>
    <w:rsid w:val="006E5C61"/>
    <w:rsid w:val="006E613A"/>
    <w:rsid w:val="006E7633"/>
    <w:rsid w:val="006E7748"/>
    <w:rsid w:val="006E7C5A"/>
    <w:rsid w:val="006F0324"/>
    <w:rsid w:val="006F044C"/>
    <w:rsid w:val="006F0A77"/>
    <w:rsid w:val="006F0FD6"/>
    <w:rsid w:val="006F10D8"/>
    <w:rsid w:val="006F1811"/>
    <w:rsid w:val="006F1AB1"/>
    <w:rsid w:val="006F3127"/>
    <w:rsid w:val="006F38F6"/>
    <w:rsid w:val="006F5F5E"/>
    <w:rsid w:val="006F60F5"/>
    <w:rsid w:val="006F68D4"/>
    <w:rsid w:val="006F7215"/>
    <w:rsid w:val="0070031F"/>
    <w:rsid w:val="00700C47"/>
    <w:rsid w:val="007011DC"/>
    <w:rsid w:val="00702465"/>
    <w:rsid w:val="0070288B"/>
    <w:rsid w:val="00702C65"/>
    <w:rsid w:val="0070392D"/>
    <w:rsid w:val="00703A5D"/>
    <w:rsid w:val="00704A22"/>
    <w:rsid w:val="00704F4A"/>
    <w:rsid w:val="0070616C"/>
    <w:rsid w:val="007068AE"/>
    <w:rsid w:val="00707C0C"/>
    <w:rsid w:val="00710545"/>
    <w:rsid w:val="00710F36"/>
    <w:rsid w:val="00710FC3"/>
    <w:rsid w:val="00711453"/>
    <w:rsid w:val="00711E11"/>
    <w:rsid w:val="007121EC"/>
    <w:rsid w:val="00712CF7"/>
    <w:rsid w:val="00713568"/>
    <w:rsid w:val="007137AD"/>
    <w:rsid w:val="007143F6"/>
    <w:rsid w:val="007147A7"/>
    <w:rsid w:val="00714CCE"/>
    <w:rsid w:val="00715DCE"/>
    <w:rsid w:val="00715DD2"/>
    <w:rsid w:val="00715F1D"/>
    <w:rsid w:val="0071611E"/>
    <w:rsid w:val="007168DA"/>
    <w:rsid w:val="00716933"/>
    <w:rsid w:val="00716A05"/>
    <w:rsid w:val="00716B77"/>
    <w:rsid w:val="00717E5A"/>
    <w:rsid w:val="00720380"/>
    <w:rsid w:val="007206D9"/>
    <w:rsid w:val="007213F9"/>
    <w:rsid w:val="00721E23"/>
    <w:rsid w:val="007225F5"/>
    <w:rsid w:val="00722A4D"/>
    <w:rsid w:val="00723290"/>
    <w:rsid w:val="0072338D"/>
    <w:rsid w:val="007241B4"/>
    <w:rsid w:val="00724447"/>
    <w:rsid w:val="00724D4C"/>
    <w:rsid w:val="00724F08"/>
    <w:rsid w:val="00725605"/>
    <w:rsid w:val="00725FEE"/>
    <w:rsid w:val="00726101"/>
    <w:rsid w:val="0072628B"/>
    <w:rsid w:val="00726962"/>
    <w:rsid w:val="0072710A"/>
    <w:rsid w:val="007271D0"/>
    <w:rsid w:val="00727BE7"/>
    <w:rsid w:val="00727C96"/>
    <w:rsid w:val="007305E2"/>
    <w:rsid w:val="00730960"/>
    <w:rsid w:val="007312EA"/>
    <w:rsid w:val="007319AC"/>
    <w:rsid w:val="00731ED2"/>
    <w:rsid w:val="00733173"/>
    <w:rsid w:val="0073406E"/>
    <w:rsid w:val="00734519"/>
    <w:rsid w:val="00734875"/>
    <w:rsid w:val="00734E17"/>
    <w:rsid w:val="00735E57"/>
    <w:rsid w:val="007362DC"/>
    <w:rsid w:val="007369C9"/>
    <w:rsid w:val="00736DD0"/>
    <w:rsid w:val="00737A8A"/>
    <w:rsid w:val="00737D29"/>
    <w:rsid w:val="00740659"/>
    <w:rsid w:val="00741274"/>
    <w:rsid w:val="00741E93"/>
    <w:rsid w:val="00744D33"/>
    <w:rsid w:val="00744E00"/>
    <w:rsid w:val="00745E16"/>
    <w:rsid w:val="00745EEF"/>
    <w:rsid w:val="00745F3E"/>
    <w:rsid w:val="00746498"/>
    <w:rsid w:val="00747293"/>
    <w:rsid w:val="00747FF5"/>
    <w:rsid w:val="0075038C"/>
    <w:rsid w:val="00750FB0"/>
    <w:rsid w:val="0075109D"/>
    <w:rsid w:val="007510A1"/>
    <w:rsid w:val="00751196"/>
    <w:rsid w:val="007511FF"/>
    <w:rsid w:val="00751344"/>
    <w:rsid w:val="0075138C"/>
    <w:rsid w:val="0075162D"/>
    <w:rsid w:val="007519B8"/>
    <w:rsid w:val="00752179"/>
    <w:rsid w:val="007525E2"/>
    <w:rsid w:val="0075281B"/>
    <w:rsid w:val="00752D42"/>
    <w:rsid w:val="00754597"/>
    <w:rsid w:val="00754FBC"/>
    <w:rsid w:val="00755448"/>
    <w:rsid w:val="00757ED6"/>
    <w:rsid w:val="007601C6"/>
    <w:rsid w:val="007606BB"/>
    <w:rsid w:val="007610F9"/>
    <w:rsid w:val="0076139A"/>
    <w:rsid w:val="00761F5D"/>
    <w:rsid w:val="00762D5B"/>
    <w:rsid w:val="00762EE6"/>
    <w:rsid w:val="00762FB4"/>
    <w:rsid w:val="0076354D"/>
    <w:rsid w:val="00763E64"/>
    <w:rsid w:val="00766743"/>
    <w:rsid w:val="00766F1B"/>
    <w:rsid w:val="00767E3E"/>
    <w:rsid w:val="007703BD"/>
    <w:rsid w:val="00770628"/>
    <w:rsid w:val="00770B86"/>
    <w:rsid w:val="007720D0"/>
    <w:rsid w:val="00772FA4"/>
    <w:rsid w:val="00773C01"/>
    <w:rsid w:val="007745AD"/>
    <w:rsid w:val="007749BD"/>
    <w:rsid w:val="00775219"/>
    <w:rsid w:val="007755E4"/>
    <w:rsid w:val="00776650"/>
    <w:rsid w:val="00777899"/>
    <w:rsid w:val="00777DAC"/>
    <w:rsid w:val="007800C8"/>
    <w:rsid w:val="00781141"/>
    <w:rsid w:val="0078122F"/>
    <w:rsid w:val="00781369"/>
    <w:rsid w:val="007815E0"/>
    <w:rsid w:val="007826B1"/>
    <w:rsid w:val="00782E06"/>
    <w:rsid w:val="00783358"/>
    <w:rsid w:val="00783549"/>
    <w:rsid w:val="007835DB"/>
    <w:rsid w:val="00783BFD"/>
    <w:rsid w:val="00783DE1"/>
    <w:rsid w:val="0078449D"/>
    <w:rsid w:val="0078522C"/>
    <w:rsid w:val="007857EB"/>
    <w:rsid w:val="007859CC"/>
    <w:rsid w:val="00786759"/>
    <w:rsid w:val="00786AAA"/>
    <w:rsid w:val="0078768D"/>
    <w:rsid w:val="007908A8"/>
    <w:rsid w:val="00790C4A"/>
    <w:rsid w:val="00791620"/>
    <w:rsid w:val="00792165"/>
    <w:rsid w:val="00792605"/>
    <w:rsid w:val="00792622"/>
    <w:rsid w:val="007929C0"/>
    <w:rsid w:val="00793F12"/>
    <w:rsid w:val="00794150"/>
    <w:rsid w:val="00794C34"/>
    <w:rsid w:val="00794D10"/>
    <w:rsid w:val="007956D7"/>
    <w:rsid w:val="00795B5B"/>
    <w:rsid w:val="00795EEE"/>
    <w:rsid w:val="00795F7B"/>
    <w:rsid w:val="00796930"/>
    <w:rsid w:val="00796AF5"/>
    <w:rsid w:val="00796C81"/>
    <w:rsid w:val="0079740F"/>
    <w:rsid w:val="00797516"/>
    <w:rsid w:val="00797AB2"/>
    <w:rsid w:val="007A048D"/>
    <w:rsid w:val="007A0B33"/>
    <w:rsid w:val="007A1680"/>
    <w:rsid w:val="007A1EF7"/>
    <w:rsid w:val="007A2B60"/>
    <w:rsid w:val="007A3110"/>
    <w:rsid w:val="007A3DC3"/>
    <w:rsid w:val="007A4EA2"/>
    <w:rsid w:val="007A50AB"/>
    <w:rsid w:val="007A53F6"/>
    <w:rsid w:val="007A5D06"/>
    <w:rsid w:val="007A5E30"/>
    <w:rsid w:val="007A71FE"/>
    <w:rsid w:val="007B0038"/>
    <w:rsid w:val="007B0551"/>
    <w:rsid w:val="007B0D71"/>
    <w:rsid w:val="007B0DDE"/>
    <w:rsid w:val="007B1402"/>
    <w:rsid w:val="007B30CF"/>
    <w:rsid w:val="007B37D8"/>
    <w:rsid w:val="007B3ED6"/>
    <w:rsid w:val="007B4922"/>
    <w:rsid w:val="007B590C"/>
    <w:rsid w:val="007B6601"/>
    <w:rsid w:val="007B7774"/>
    <w:rsid w:val="007B7DE6"/>
    <w:rsid w:val="007B7EE5"/>
    <w:rsid w:val="007C013F"/>
    <w:rsid w:val="007C0333"/>
    <w:rsid w:val="007C0437"/>
    <w:rsid w:val="007C07A7"/>
    <w:rsid w:val="007C12A2"/>
    <w:rsid w:val="007C12B4"/>
    <w:rsid w:val="007C174B"/>
    <w:rsid w:val="007C19C1"/>
    <w:rsid w:val="007C1F20"/>
    <w:rsid w:val="007C25C0"/>
    <w:rsid w:val="007C298E"/>
    <w:rsid w:val="007C2F78"/>
    <w:rsid w:val="007C2FB4"/>
    <w:rsid w:val="007C3192"/>
    <w:rsid w:val="007C3C4D"/>
    <w:rsid w:val="007C4374"/>
    <w:rsid w:val="007C585A"/>
    <w:rsid w:val="007C65AB"/>
    <w:rsid w:val="007C677C"/>
    <w:rsid w:val="007C6A41"/>
    <w:rsid w:val="007C6EA2"/>
    <w:rsid w:val="007C7079"/>
    <w:rsid w:val="007C7214"/>
    <w:rsid w:val="007C7252"/>
    <w:rsid w:val="007C7288"/>
    <w:rsid w:val="007C7A56"/>
    <w:rsid w:val="007C7A6B"/>
    <w:rsid w:val="007C7FFC"/>
    <w:rsid w:val="007D023D"/>
    <w:rsid w:val="007D1CB5"/>
    <w:rsid w:val="007D37B0"/>
    <w:rsid w:val="007D38F3"/>
    <w:rsid w:val="007D440F"/>
    <w:rsid w:val="007D4C47"/>
    <w:rsid w:val="007D4CFD"/>
    <w:rsid w:val="007D5240"/>
    <w:rsid w:val="007D67F6"/>
    <w:rsid w:val="007D69CB"/>
    <w:rsid w:val="007D6D29"/>
    <w:rsid w:val="007D7423"/>
    <w:rsid w:val="007D74BD"/>
    <w:rsid w:val="007D7A00"/>
    <w:rsid w:val="007D7DA6"/>
    <w:rsid w:val="007E05E8"/>
    <w:rsid w:val="007E3145"/>
    <w:rsid w:val="007E3DA7"/>
    <w:rsid w:val="007E3E03"/>
    <w:rsid w:val="007E50AD"/>
    <w:rsid w:val="007E53E6"/>
    <w:rsid w:val="007E5574"/>
    <w:rsid w:val="007E56C2"/>
    <w:rsid w:val="007E6245"/>
    <w:rsid w:val="007E6B7E"/>
    <w:rsid w:val="007E6E5C"/>
    <w:rsid w:val="007E716F"/>
    <w:rsid w:val="007E79D1"/>
    <w:rsid w:val="007E7C7A"/>
    <w:rsid w:val="007E7D7B"/>
    <w:rsid w:val="007F02FF"/>
    <w:rsid w:val="007F03BF"/>
    <w:rsid w:val="007F0957"/>
    <w:rsid w:val="007F09C1"/>
    <w:rsid w:val="007F0DE5"/>
    <w:rsid w:val="007F180E"/>
    <w:rsid w:val="007F1E2E"/>
    <w:rsid w:val="007F236B"/>
    <w:rsid w:val="007F395D"/>
    <w:rsid w:val="007F3E34"/>
    <w:rsid w:val="007F4826"/>
    <w:rsid w:val="007F4AA8"/>
    <w:rsid w:val="007F57E8"/>
    <w:rsid w:val="007F5C1E"/>
    <w:rsid w:val="007F5DEB"/>
    <w:rsid w:val="007F6131"/>
    <w:rsid w:val="007F6E84"/>
    <w:rsid w:val="007F756E"/>
    <w:rsid w:val="007F76A0"/>
    <w:rsid w:val="007F7A4A"/>
    <w:rsid w:val="007F7C30"/>
    <w:rsid w:val="00800208"/>
    <w:rsid w:val="00800C42"/>
    <w:rsid w:val="00800E9E"/>
    <w:rsid w:val="00801273"/>
    <w:rsid w:val="00801398"/>
    <w:rsid w:val="00801B4F"/>
    <w:rsid w:val="008020BB"/>
    <w:rsid w:val="00803FA6"/>
    <w:rsid w:val="00804358"/>
    <w:rsid w:val="00804691"/>
    <w:rsid w:val="00804B81"/>
    <w:rsid w:val="00805097"/>
    <w:rsid w:val="00806367"/>
    <w:rsid w:val="008070DE"/>
    <w:rsid w:val="008071E0"/>
    <w:rsid w:val="00807B7A"/>
    <w:rsid w:val="00810839"/>
    <w:rsid w:val="00810F82"/>
    <w:rsid w:val="00810FE0"/>
    <w:rsid w:val="0081108E"/>
    <w:rsid w:val="00812755"/>
    <w:rsid w:val="008139AB"/>
    <w:rsid w:val="00813D1C"/>
    <w:rsid w:val="008140BC"/>
    <w:rsid w:val="008147A9"/>
    <w:rsid w:val="00814933"/>
    <w:rsid w:val="00814FA5"/>
    <w:rsid w:val="008158E6"/>
    <w:rsid w:val="008165C4"/>
    <w:rsid w:val="0081792D"/>
    <w:rsid w:val="00817FA9"/>
    <w:rsid w:val="008205EE"/>
    <w:rsid w:val="00820989"/>
    <w:rsid w:val="00820CC7"/>
    <w:rsid w:val="00821313"/>
    <w:rsid w:val="00821775"/>
    <w:rsid w:val="00821DF2"/>
    <w:rsid w:val="00822D8C"/>
    <w:rsid w:val="00823F50"/>
    <w:rsid w:val="008240F2"/>
    <w:rsid w:val="0082476A"/>
    <w:rsid w:val="00824AD7"/>
    <w:rsid w:val="00824E0D"/>
    <w:rsid w:val="00825E18"/>
    <w:rsid w:val="00825E3D"/>
    <w:rsid w:val="0082634F"/>
    <w:rsid w:val="00827113"/>
    <w:rsid w:val="00827C47"/>
    <w:rsid w:val="008305E1"/>
    <w:rsid w:val="00830AFA"/>
    <w:rsid w:val="00831C22"/>
    <w:rsid w:val="0083220C"/>
    <w:rsid w:val="0083296C"/>
    <w:rsid w:val="0083358A"/>
    <w:rsid w:val="0083389F"/>
    <w:rsid w:val="0083544C"/>
    <w:rsid w:val="00835779"/>
    <w:rsid w:val="00835944"/>
    <w:rsid w:val="00835D7B"/>
    <w:rsid w:val="00837CC0"/>
    <w:rsid w:val="008407DD"/>
    <w:rsid w:val="00840ADD"/>
    <w:rsid w:val="00840F54"/>
    <w:rsid w:val="0084100B"/>
    <w:rsid w:val="00841316"/>
    <w:rsid w:val="00841631"/>
    <w:rsid w:val="00841DFF"/>
    <w:rsid w:val="008421D8"/>
    <w:rsid w:val="00842A87"/>
    <w:rsid w:val="00842D78"/>
    <w:rsid w:val="00843021"/>
    <w:rsid w:val="0084385B"/>
    <w:rsid w:val="00843C71"/>
    <w:rsid w:val="0084427F"/>
    <w:rsid w:val="00844910"/>
    <w:rsid w:val="00846326"/>
    <w:rsid w:val="00846B2C"/>
    <w:rsid w:val="0084721B"/>
    <w:rsid w:val="008475F2"/>
    <w:rsid w:val="0084771E"/>
    <w:rsid w:val="00850219"/>
    <w:rsid w:val="00850F91"/>
    <w:rsid w:val="0085126E"/>
    <w:rsid w:val="00851796"/>
    <w:rsid w:val="00851D09"/>
    <w:rsid w:val="0085223A"/>
    <w:rsid w:val="00852B9D"/>
    <w:rsid w:val="00852C96"/>
    <w:rsid w:val="00853B97"/>
    <w:rsid w:val="008540E3"/>
    <w:rsid w:val="00854BFC"/>
    <w:rsid w:val="00856C7A"/>
    <w:rsid w:val="0085745F"/>
    <w:rsid w:val="00860215"/>
    <w:rsid w:val="0086059F"/>
    <w:rsid w:val="00861D06"/>
    <w:rsid w:val="00864121"/>
    <w:rsid w:val="00865907"/>
    <w:rsid w:val="00865E4E"/>
    <w:rsid w:val="00866207"/>
    <w:rsid w:val="008663BE"/>
    <w:rsid w:val="0086705E"/>
    <w:rsid w:val="00867528"/>
    <w:rsid w:val="008677AA"/>
    <w:rsid w:val="00867E16"/>
    <w:rsid w:val="00871D94"/>
    <w:rsid w:val="0087243E"/>
    <w:rsid w:val="008729A9"/>
    <w:rsid w:val="0087499A"/>
    <w:rsid w:val="00874E4A"/>
    <w:rsid w:val="00874E53"/>
    <w:rsid w:val="00880228"/>
    <w:rsid w:val="00880C81"/>
    <w:rsid w:val="00882EA4"/>
    <w:rsid w:val="00883F72"/>
    <w:rsid w:val="00885126"/>
    <w:rsid w:val="00885184"/>
    <w:rsid w:val="00886169"/>
    <w:rsid w:val="00886780"/>
    <w:rsid w:val="00886DDB"/>
    <w:rsid w:val="00887EBB"/>
    <w:rsid w:val="00890BFD"/>
    <w:rsid w:val="0089117D"/>
    <w:rsid w:val="008917B1"/>
    <w:rsid w:val="00891B10"/>
    <w:rsid w:val="00892BB7"/>
    <w:rsid w:val="00893008"/>
    <w:rsid w:val="00893294"/>
    <w:rsid w:val="00894FD6"/>
    <w:rsid w:val="0089502A"/>
    <w:rsid w:val="00895AF0"/>
    <w:rsid w:val="00895CAD"/>
    <w:rsid w:val="00896864"/>
    <w:rsid w:val="00896E9C"/>
    <w:rsid w:val="00896F10"/>
    <w:rsid w:val="00897530"/>
    <w:rsid w:val="0089763F"/>
    <w:rsid w:val="0089793E"/>
    <w:rsid w:val="00897D6B"/>
    <w:rsid w:val="008A0C25"/>
    <w:rsid w:val="008A0EE3"/>
    <w:rsid w:val="008A13B8"/>
    <w:rsid w:val="008A15A9"/>
    <w:rsid w:val="008A16A6"/>
    <w:rsid w:val="008A177B"/>
    <w:rsid w:val="008A1A3D"/>
    <w:rsid w:val="008A1B52"/>
    <w:rsid w:val="008A210D"/>
    <w:rsid w:val="008A2B5E"/>
    <w:rsid w:val="008A2DEA"/>
    <w:rsid w:val="008A376E"/>
    <w:rsid w:val="008A37C8"/>
    <w:rsid w:val="008A3A02"/>
    <w:rsid w:val="008A4001"/>
    <w:rsid w:val="008A403C"/>
    <w:rsid w:val="008A4E21"/>
    <w:rsid w:val="008A5138"/>
    <w:rsid w:val="008A58D8"/>
    <w:rsid w:val="008A5918"/>
    <w:rsid w:val="008A5CDF"/>
    <w:rsid w:val="008A6064"/>
    <w:rsid w:val="008A634C"/>
    <w:rsid w:val="008A77C8"/>
    <w:rsid w:val="008A7C5A"/>
    <w:rsid w:val="008A7D81"/>
    <w:rsid w:val="008B004B"/>
    <w:rsid w:val="008B0583"/>
    <w:rsid w:val="008B0D8A"/>
    <w:rsid w:val="008B2B7A"/>
    <w:rsid w:val="008B346E"/>
    <w:rsid w:val="008B38C8"/>
    <w:rsid w:val="008B3B26"/>
    <w:rsid w:val="008B516E"/>
    <w:rsid w:val="008B5BF2"/>
    <w:rsid w:val="008B5F76"/>
    <w:rsid w:val="008B66F2"/>
    <w:rsid w:val="008B753F"/>
    <w:rsid w:val="008C03B7"/>
    <w:rsid w:val="008C0ACD"/>
    <w:rsid w:val="008C1183"/>
    <w:rsid w:val="008C1E35"/>
    <w:rsid w:val="008C2A5D"/>
    <w:rsid w:val="008C33CA"/>
    <w:rsid w:val="008C3C12"/>
    <w:rsid w:val="008C3E10"/>
    <w:rsid w:val="008C40DF"/>
    <w:rsid w:val="008C443C"/>
    <w:rsid w:val="008C5366"/>
    <w:rsid w:val="008C54E5"/>
    <w:rsid w:val="008C6BE2"/>
    <w:rsid w:val="008C7186"/>
    <w:rsid w:val="008C73A8"/>
    <w:rsid w:val="008C7675"/>
    <w:rsid w:val="008C76F6"/>
    <w:rsid w:val="008C77A0"/>
    <w:rsid w:val="008C7C31"/>
    <w:rsid w:val="008C7F44"/>
    <w:rsid w:val="008D0000"/>
    <w:rsid w:val="008D055F"/>
    <w:rsid w:val="008D05B0"/>
    <w:rsid w:val="008D07E0"/>
    <w:rsid w:val="008D085E"/>
    <w:rsid w:val="008D1072"/>
    <w:rsid w:val="008D1908"/>
    <w:rsid w:val="008D32F6"/>
    <w:rsid w:val="008D3354"/>
    <w:rsid w:val="008D38CA"/>
    <w:rsid w:val="008D57D9"/>
    <w:rsid w:val="008D612D"/>
    <w:rsid w:val="008D6161"/>
    <w:rsid w:val="008D62D9"/>
    <w:rsid w:val="008D66F2"/>
    <w:rsid w:val="008E0B40"/>
    <w:rsid w:val="008E0BAF"/>
    <w:rsid w:val="008E14C7"/>
    <w:rsid w:val="008E1736"/>
    <w:rsid w:val="008E2AA4"/>
    <w:rsid w:val="008E36A0"/>
    <w:rsid w:val="008E40B7"/>
    <w:rsid w:val="008E439C"/>
    <w:rsid w:val="008E65F4"/>
    <w:rsid w:val="008E6600"/>
    <w:rsid w:val="008E6856"/>
    <w:rsid w:val="008E71C2"/>
    <w:rsid w:val="008E7389"/>
    <w:rsid w:val="008E76CE"/>
    <w:rsid w:val="008E7F0A"/>
    <w:rsid w:val="008E7FC7"/>
    <w:rsid w:val="008F059C"/>
    <w:rsid w:val="008F0C7F"/>
    <w:rsid w:val="008F102D"/>
    <w:rsid w:val="008F1757"/>
    <w:rsid w:val="008F17ED"/>
    <w:rsid w:val="008F1E2A"/>
    <w:rsid w:val="008F2B4D"/>
    <w:rsid w:val="008F2DC2"/>
    <w:rsid w:val="008F32B2"/>
    <w:rsid w:val="008F3A31"/>
    <w:rsid w:val="008F3E02"/>
    <w:rsid w:val="008F4B9E"/>
    <w:rsid w:val="008F4F37"/>
    <w:rsid w:val="008F56FF"/>
    <w:rsid w:val="008F67A8"/>
    <w:rsid w:val="0090099A"/>
    <w:rsid w:val="00900CDC"/>
    <w:rsid w:val="009013DD"/>
    <w:rsid w:val="00903039"/>
    <w:rsid w:val="00903455"/>
    <w:rsid w:val="00903A5C"/>
    <w:rsid w:val="00904C7C"/>
    <w:rsid w:val="00904E90"/>
    <w:rsid w:val="009058C2"/>
    <w:rsid w:val="009060D9"/>
    <w:rsid w:val="00907023"/>
    <w:rsid w:val="0090737A"/>
    <w:rsid w:val="00907C52"/>
    <w:rsid w:val="00911C36"/>
    <w:rsid w:val="00911C9B"/>
    <w:rsid w:val="009121AB"/>
    <w:rsid w:val="0091271B"/>
    <w:rsid w:val="00912939"/>
    <w:rsid w:val="00913BBC"/>
    <w:rsid w:val="00913C2D"/>
    <w:rsid w:val="00913EED"/>
    <w:rsid w:val="00914855"/>
    <w:rsid w:val="00915036"/>
    <w:rsid w:val="00915174"/>
    <w:rsid w:val="00915403"/>
    <w:rsid w:val="00915F74"/>
    <w:rsid w:val="00916BFD"/>
    <w:rsid w:val="009172DF"/>
    <w:rsid w:val="009173FD"/>
    <w:rsid w:val="009176B1"/>
    <w:rsid w:val="00917C17"/>
    <w:rsid w:val="00920E1B"/>
    <w:rsid w:val="00921A6F"/>
    <w:rsid w:val="009228CB"/>
    <w:rsid w:val="009232CF"/>
    <w:rsid w:val="00923657"/>
    <w:rsid w:val="009237F8"/>
    <w:rsid w:val="00924582"/>
    <w:rsid w:val="009248F7"/>
    <w:rsid w:val="0092502B"/>
    <w:rsid w:val="009263A6"/>
    <w:rsid w:val="00926673"/>
    <w:rsid w:val="00927203"/>
    <w:rsid w:val="0092799F"/>
    <w:rsid w:val="009279FC"/>
    <w:rsid w:val="009302E5"/>
    <w:rsid w:val="00930634"/>
    <w:rsid w:val="00931A55"/>
    <w:rsid w:val="00931F70"/>
    <w:rsid w:val="009327B2"/>
    <w:rsid w:val="00932C80"/>
    <w:rsid w:val="009341BB"/>
    <w:rsid w:val="00934494"/>
    <w:rsid w:val="009344AD"/>
    <w:rsid w:val="009344C2"/>
    <w:rsid w:val="00934576"/>
    <w:rsid w:val="00934709"/>
    <w:rsid w:val="009349A1"/>
    <w:rsid w:val="00935196"/>
    <w:rsid w:val="00935654"/>
    <w:rsid w:val="00937CAC"/>
    <w:rsid w:val="009405B2"/>
    <w:rsid w:val="009406E3"/>
    <w:rsid w:val="00941397"/>
    <w:rsid w:val="00942D0E"/>
    <w:rsid w:val="00943730"/>
    <w:rsid w:val="00943A91"/>
    <w:rsid w:val="0094458E"/>
    <w:rsid w:val="00946589"/>
    <w:rsid w:val="00946C9E"/>
    <w:rsid w:val="00946F4D"/>
    <w:rsid w:val="00947592"/>
    <w:rsid w:val="009476A8"/>
    <w:rsid w:val="009502DF"/>
    <w:rsid w:val="0095038A"/>
    <w:rsid w:val="009523C9"/>
    <w:rsid w:val="009523D5"/>
    <w:rsid w:val="00952776"/>
    <w:rsid w:val="00952D7D"/>
    <w:rsid w:val="00953CE8"/>
    <w:rsid w:val="00954C5F"/>
    <w:rsid w:val="00955B9E"/>
    <w:rsid w:val="009571B2"/>
    <w:rsid w:val="00957389"/>
    <w:rsid w:val="0095764C"/>
    <w:rsid w:val="00957B48"/>
    <w:rsid w:val="00957CFF"/>
    <w:rsid w:val="009602F6"/>
    <w:rsid w:val="009610E6"/>
    <w:rsid w:val="00961671"/>
    <w:rsid w:val="00962A00"/>
    <w:rsid w:val="009639C8"/>
    <w:rsid w:val="00964F47"/>
    <w:rsid w:val="00966084"/>
    <w:rsid w:val="0096627A"/>
    <w:rsid w:val="00966338"/>
    <w:rsid w:val="0096673B"/>
    <w:rsid w:val="0097081F"/>
    <w:rsid w:val="00971C1D"/>
    <w:rsid w:val="0097222D"/>
    <w:rsid w:val="00973022"/>
    <w:rsid w:val="009731A5"/>
    <w:rsid w:val="00973884"/>
    <w:rsid w:val="00973EB2"/>
    <w:rsid w:val="009742DA"/>
    <w:rsid w:val="009746E3"/>
    <w:rsid w:val="00974A92"/>
    <w:rsid w:val="009759D6"/>
    <w:rsid w:val="00976A37"/>
    <w:rsid w:val="00981116"/>
    <w:rsid w:val="009812B3"/>
    <w:rsid w:val="009812D5"/>
    <w:rsid w:val="009821AD"/>
    <w:rsid w:val="0098228F"/>
    <w:rsid w:val="00982DC8"/>
    <w:rsid w:val="00983867"/>
    <w:rsid w:val="00983942"/>
    <w:rsid w:val="00983BB5"/>
    <w:rsid w:val="00983DF7"/>
    <w:rsid w:val="00983F0A"/>
    <w:rsid w:val="00984C83"/>
    <w:rsid w:val="00985066"/>
    <w:rsid w:val="0098529C"/>
    <w:rsid w:val="0098656E"/>
    <w:rsid w:val="00986988"/>
    <w:rsid w:val="009873E4"/>
    <w:rsid w:val="00990283"/>
    <w:rsid w:val="009907BD"/>
    <w:rsid w:val="0099101D"/>
    <w:rsid w:val="00991372"/>
    <w:rsid w:val="00991C6A"/>
    <w:rsid w:val="00991D35"/>
    <w:rsid w:val="00992153"/>
    <w:rsid w:val="009930C1"/>
    <w:rsid w:val="00993286"/>
    <w:rsid w:val="00993730"/>
    <w:rsid w:val="00993771"/>
    <w:rsid w:val="00993AAF"/>
    <w:rsid w:val="009945A4"/>
    <w:rsid w:val="009947E9"/>
    <w:rsid w:val="0099497F"/>
    <w:rsid w:val="009956FA"/>
    <w:rsid w:val="00995730"/>
    <w:rsid w:val="009958D8"/>
    <w:rsid w:val="00996FE1"/>
    <w:rsid w:val="009973ED"/>
    <w:rsid w:val="00997451"/>
    <w:rsid w:val="009975A1"/>
    <w:rsid w:val="009A0483"/>
    <w:rsid w:val="009A15EE"/>
    <w:rsid w:val="009A1DB6"/>
    <w:rsid w:val="009A209E"/>
    <w:rsid w:val="009A2377"/>
    <w:rsid w:val="009A23C3"/>
    <w:rsid w:val="009A3464"/>
    <w:rsid w:val="009A3553"/>
    <w:rsid w:val="009A3B73"/>
    <w:rsid w:val="009A3D91"/>
    <w:rsid w:val="009A3EC6"/>
    <w:rsid w:val="009A3F43"/>
    <w:rsid w:val="009A4288"/>
    <w:rsid w:val="009A4468"/>
    <w:rsid w:val="009A4986"/>
    <w:rsid w:val="009A5163"/>
    <w:rsid w:val="009A532C"/>
    <w:rsid w:val="009A669E"/>
    <w:rsid w:val="009A71F1"/>
    <w:rsid w:val="009A787C"/>
    <w:rsid w:val="009A79F9"/>
    <w:rsid w:val="009B00FD"/>
    <w:rsid w:val="009B016E"/>
    <w:rsid w:val="009B0418"/>
    <w:rsid w:val="009B08D9"/>
    <w:rsid w:val="009B134B"/>
    <w:rsid w:val="009B176E"/>
    <w:rsid w:val="009B1AE9"/>
    <w:rsid w:val="009B1AFF"/>
    <w:rsid w:val="009B1F89"/>
    <w:rsid w:val="009B2A1E"/>
    <w:rsid w:val="009B2BB6"/>
    <w:rsid w:val="009B3724"/>
    <w:rsid w:val="009B3814"/>
    <w:rsid w:val="009B4066"/>
    <w:rsid w:val="009B44BF"/>
    <w:rsid w:val="009B4BC5"/>
    <w:rsid w:val="009B6415"/>
    <w:rsid w:val="009B6861"/>
    <w:rsid w:val="009B6D94"/>
    <w:rsid w:val="009C0C71"/>
    <w:rsid w:val="009C12BA"/>
    <w:rsid w:val="009C27A3"/>
    <w:rsid w:val="009C2F88"/>
    <w:rsid w:val="009C2FC2"/>
    <w:rsid w:val="009C33C5"/>
    <w:rsid w:val="009C4D7D"/>
    <w:rsid w:val="009C4E9E"/>
    <w:rsid w:val="009C5CB6"/>
    <w:rsid w:val="009C5ED1"/>
    <w:rsid w:val="009C6729"/>
    <w:rsid w:val="009C6E5F"/>
    <w:rsid w:val="009C7170"/>
    <w:rsid w:val="009D13D0"/>
    <w:rsid w:val="009D14C4"/>
    <w:rsid w:val="009D1B88"/>
    <w:rsid w:val="009D2649"/>
    <w:rsid w:val="009D2778"/>
    <w:rsid w:val="009D374D"/>
    <w:rsid w:val="009D3986"/>
    <w:rsid w:val="009D3B43"/>
    <w:rsid w:val="009D3BFB"/>
    <w:rsid w:val="009D3E6C"/>
    <w:rsid w:val="009D48F7"/>
    <w:rsid w:val="009D4A90"/>
    <w:rsid w:val="009D4EE5"/>
    <w:rsid w:val="009D5126"/>
    <w:rsid w:val="009D57A1"/>
    <w:rsid w:val="009D5A98"/>
    <w:rsid w:val="009D62A6"/>
    <w:rsid w:val="009D6911"/>
    <w:rsid w:val="009D6E8E"/>
    <w:rsid w:val="009D70F5"/>
    <w:rsid w:val="009D74AC"/>
    <w:rsid w:val="009D74D7"/>
    <w:rsid w:val="009D7D1D"/>
    <w:rsid w:val="009E0140"/>
    <w:rsid w:val="009E0142"/>
    <w:rsid w:val="009E0181"/>
    <w:rsid w:val="009E037B"/>
    <w:rsid w:val="009E2DB6"/>
    <w:rsid w:val="009E3D3D"/>
    <w:rsid w:val="009E3D7B"/>
    <w:rsid w:val="009E4580"/>
    <w:rsid w:val="009E4C59"/>
    <w:rsid w:val="009E5571"/>
    <w:rsid w:val="009E6BC1"/>
    <w:rsid w:val="009E7599"/>
    <w:rsid w:val="009E75F1"/>
    <w:rsid w:val="009F03D3"/>
    <w:rsid w:val="009F13EC"/>
    <w:rsid w:val="009F1E57"/>
    <w:rsid w:val="009F256A"/>
    <w:rsid w:val="009F27C3"/>
    <w:rsid w:val="009F2BA2"/>
    <w:rsid w:val="009F39D1"/>
    <w:rsid w:val="009F3AA1"/>
    <w:rsid w:val="009F45D3"/>
    <w:rsid w:val="009F45DF"/>
    <w:rsid w:val="009F475B"/>
    <w:rsid w:val="009F4764"/>
    <w:rsid w:val="009F4B15"/>
    <w:rsid w:val="009F4B86"/>
    <w:rsid w:val="009F4C24"/>
    <w:rsid w:val="009F520A"/>
    <w:rsid w:val="009F52FF"/>
    <w:rsid w:val="009F54D0"/>
    <w:rsid w:val="009F56A3"/>
    <w:rsid w:val="009F67D1"/>
    <w:rsid w:val="009F701F"/>
    <w:rsid w:val="009F745C"/>
    <w:rsid w:val="009F76FD"/>
    <w:rsid w:val="009F779E"/>
    <w:rsid w:val="009F7929"/>
    <w:rsid w:val="00A0165A"/>
    <w:rsid w:val="00A018CF"/>
    <w:rsid w:val="00A030C0"/>
    <w:rsid w:val="00A037DA"/>
    <w:rsid w:val="00A0388C"/>
    <w:rsid w:val="00A04C80"/>
    <w:rsid w:val="00A0636C"/>
    <w:rsid w:val="00A0639B"/>
    <w:rsid w:val="00A065C0"/>
    <w:rsid w:val="00A070DD"/>
    <w:rsid w:val="00A0735E"/>
    <w:rsid w:val="00A07408"/>
    <w:rsid w:val="00A075F2"/>
    <w:rsid w:val="00A10AA7"/>
    <w:rsid w:val="00A121ED"/>
    <w:rsid w:val="00A12CC3"/>
    <w:rsid w:val="00A1329A"/>
    <w:rsid w:val="00A13550"/>
    <w:rsid w:val="00A1385F"/>
    <w:rsid w:val="00A15752"/>
    <w:rsid w:val="00A15DD5"/>
    <w:rsid w:val="00A161A9"/>
    <w:rsid w:val="00A16243"/>
    <w:rsid w:val="00A16437"/>
    <w:rsid w:val="00A17833"/>
    <w:rsid w:val="00A20EF4"/>
    <w:rsid w:val="00A21690"/>
    <w:rsid w:val="00A21989"/>
    <w:rsid w:val="00A21DA5"/>
    <w:rsid w:val="00A22759"/>
    <w:rsid w:val="00A2362E"/>
    <w:rsid w:val="00A237CB"/>
    <w:rsid w:val="00A239AD"/>
    <w:rsid w:val="00A23E69"/>
    <w:rsid w:val="00A25A08"/>
    <w:rsid w:val="00A26CDB"/>
    <w:rsid w:val="00A26FE0"/>
    <w:rsid w:val="00A27026"/>
    <w:rsid w:val="00A2799A"/>
    <w:rsid w:val="00A30E32"/>
    <w:rsid w:val="00A310F0"/>
    <w:rsid w:val="00A31757"/>
    <w:rsid w:val="00A31FA1"/>
    <w:rsid w:val="00A32157"/>
    <w:rsid w:val="00A32223"/>
    <w:rsid w:val="00A322B9"/>
    <w:rsid w:val="00A3250B"/>
    <w:rsid w:val="00A336E8"/>
    <w:rsid w:val="00A3393E"/>
    <w:rsid w:val="00A344D7"/>
    <w:rsid w:val="00A3498A"/>
    <w:rsid w:val="00A35161"/>
    <w:rsid w:val="00A3594C"/>
    <w:rsid w:val="00A36566"/>
    <w:rsid w:val="00A378AF"/>
    <w:rsid w:val="00A37BA0"/>
    <w:rsid w:val="00A40B64"/>
    <w:rsid w:val="00A40C77"/>
    <w:rsid w:val="00A4225C"/>
    <w:rsid w:val="00A42636"/>
    <w:rsid w:val="00A42BD4"/>
    <w:rsid w:val="00A42FD1"/>
    <w:rsid w:val="00A4309D"/>
    <w:rsid w:val="00A433E5"/>
    <w:rsid w:val="00A435A2"/>
    <w:rsid w:val="00A43F36"/>
    <w:rsid w:val="00A4481C"/>
    <w:rsid w:val="00A450F3"/>
    <w:rsid w:val="00A455DA"/>
    <w:rsid w:val="00A45834"/>
    <w:rsid w:val="00A4609A"/>
    <w:rsid w:val="00A47A06"/>
    <w:rsid w:val="00A47CCD"/>
    <w:rsid w:val="00A5039B"/>
    <w:rsid w:val="00A50664"/>
    <w:rsid w:val="00A508A2"/>
    <w:rsid w:val="00A50932"/>
    <w:rsid w:val="00A511B5"/>
    <w:rsid w:val="00A512EC"/>
    <w:rsid w:val="00A52440"/>
    <w:rsid w:val="00A5271F"/>
    <w:rsid w:val="00A52830"/>
    <w:rsid w:val="00A5371D"/>
    <w:rsid w:val="00A537B0"/>
    <w:rsid w:val="00A5445F"/>
    <w:rsid w:val="00A5449C"/>
    <w:rsid w:val="00A5568D"/>
    <w:rsid w:val="00A563AD"/>
    <w:rsid w:val="00A5648E"/>
    <w:rsid w:val="00A5661D"/>
    <w:rsid w:val="00A5689A"/>
    <w:rsid w:val="00A5766C"/>
    <w:rsid w:val="00A579DE"/>
    <w:rsid w:val="00A57B26"/>
    <w:rsid w:val="00A607B8"/>
    <w:rsid w:val="00A6125D"/>
    <w:rsid w:val="00A61356"/>
    <w:rsid w:val="00A61899"/>
    <w:rsid w:val="00A62465"/>
    <w:rsid w:val="00A6276B"/>
    <w:rsid w:val="00A62B7C"/>
    <w:rsid w:val="00A62C8A"/>
    <w:rsid w:val="00A6307B"/>
    <w:rsid w:val="00A65195"/>
    <w:rsid w:val="00A658D4"/>
    <w:rsid w:val="00A65EBC"/>
    <w:rsid w:val="00A6657E"/>
    <w:rsid w:val="00A66FAC"/>
    <w:rsid w:val="00A67B2D"/>
    <w:rsid w:val="00A67B3D"/>
    <w:rsid w:val="00A67D3F"/>
    <w:rsid w:val="00A67D45"/>
    <w:rsid w:val="00A706F8"/>
    <w:rsid w:val="00A70E43"/>
    <w:rsid w:val="00A71385"/>
    <w:rsid w:val="00A7176C"/>
    <w:rsid w:val="00A7218F"/>
    <w:rsid w:val="00A72483"/>
    <w:rsid w:val="00A72749"/>
    <w:rsid w:val="00A72BCF"/>
    <w:rsid w:val="00A72C3A"/>
    <w:rsid w:val="00A73210"/>
    <w:rsid w:val="00A7331E"/>
    <w:rsid w:val="00A733F6"/>
    <w:rsid w:val="00A73EC7"/>
    <w:rsid w:val="00A747D7"/>
    <w:rsid w:val="00A7481D"/>
    <w:rsid w:val="00A7553B"/>
    <w:rsid w:val="00A75895"/>
    <w:rsid w:val="00A763F6"/>
    <w:rsid w:val="00A765C7"/>
    <w:rsid w:val="00A770E2"/>
    <w:rsid w:val="00A80E5C"/>
    <w:rsid w:val="00A8106F"/>
    <w:rsid w:val="00A81098"/>
    <w:rsid w:val="00A812F2"/>
    <w:rsid w:val="00A8147F"/>
    <w:rsid w:val="00A81713"/>
    <w:rsid w:val="00A82FBA"/>
    <w:rsid w:val="00A83A21"/>
    <w:rsid w:val="00A84CAA"/>
    <w:rsid w:val="00A8580A"/>
    <w:rsid w:val="00A858DE"/>
    <w:rsid w:val="00A85B04"/>
    <w:rsid w:val="00A8640A"/>
    <w:rsid w:val="00A8665C"/>
    <w:rsid w:val="00A86C60"/>
    <w:rsid w:val="00A86F6F"/>
    <w:rsid w:val="00A871E1"/>
    <w:rsid w:val="00A87240"/>
    <w:rsid w:val="00A87A96"/>
    <w:rsid w:val="00A87ADA"/>
    <w:rsid w:val="00A9033D"/>
    <w:rsid w:val="00A904DB"/>
    <w:rsid w:val="00A90E88"/>
    <w:rsid w:val="00A9136F"/>
    <w:rsid w:val="00A926AE"/>
    <w:rsid w:val="00A92E8D"/>
    <w:rsid w:val="00A9373C"/>
    <w:rsid w:val="00A93F06"/>
    <w:rsid w:val="00A94872"/>
    <w:rsid w:val="00A94E31"/>
    <w:rsid w:val="00A95263"/>
    <w:rsid w:val="00A95779"/>
    <w:rsid w:val="00A96413"/>
    <w:rsid w:val="00A965EA"/>
    <w:rsid w:val="00A966F0"/>
    <w:rsid w:val="00A96834"/>
    <w:rsid w:val="00A968DD"/>
    <w:rsid w:val="00A9692E"/>
    <w:rsid w:val="00A96B6F"/>
    <w:rsid w:val="00A96DA3"/>
    <w:rsid w:val="00A96EF0"/>
    <w:rsid w:val="00A96F2E"/>
    <w:rsid w:val="00A97119"/>
    <w:rsid w:val="00A9728F"/>
    <w:rsid w:val="00A97F17"/>
    <w:rsid w:val="00AA0281"/>
    <w:rsid w:val="00AA03B0"/>
    <w:rsid w:val="00AA08F7"/>
    <w:rsid w:val="00AA1920"/>
    <w:rsid w:val="00AA1A0F"/>
    <w:rsid w:val="00AA2270"/>
    <w:rsid w:val="00AA25BB"/>
    <w:rsid w:val="00AA2E16"/>
    <w:rsid w:val="00AA349C"/>
    <w:rsid w:val="00AA34E4"/>
    <w:rsid w:val="00AA372E"/>
    <w:rsid w:val="00AA4249"/>
    <w:rsid w:val="00AA4E28"/>
    <w:rsid w:val="00AA61BE"/>
    <w:rsid w:val="00AA6C59"/>
    <w:rsid w:val="00AA6ED5"/>
    <w:rsid w:val="00AB0A6F"/>
    <w:rsid w:val="00AB0CF5"/>
    <w:rsid w:val="00AB10DF"/>
    <w:rsid w:val="00AB18CF"/>
    <w:rsid w:val="00AB2383"/>
    <w:rsid w:val="00AB26FE"/>
    <w:rsid w:val="00AB2792"/>
    <w:rsid w:val="00AB2FEA"/>
    <w:rsid w:val="00AB36E9"/>
    <w:rsid w:val="00AB3DD6"/>
    <w:rsid w:val="00AB4205"/>
    <w:rsid w:val="00AB4F0E"/>
    <w:rsid w:val="00AB60A5"/>
    <w:rsid w:val="00AB692C"/>
    <w:rsid w:val="00AC00F1"/>
    <w:rsid w:val="00AC028F"/>
    <w:rsid w:val="00AC0557"/>
    <w:rsid w:val="00AC059D"/>
    <w:rsid w:val="00AC07A7"/>
    <w:rsid w:val="00AC12CE"/>
    <w:rsid w:val="00AC15ED"/>
    <w:rsid w:val="00AC1802"/>
    <w:rsid w:val="00AC285B"/>
    <w:rsid w:val="00AC2E4F"/>
    <w:rsid w:val="00AC3896"/>
    <w:rsid w:val="00AC4087"/>
    <w:rsid w:val="00AC40DE"/>
    <w:rsid w:val="00AC5367"/>
    <w:rsid w:val="00AC5578"/>
    <w:rsid w:val="00AC6198"/>
    <w:rsid w:val="00AC6ECC"/>
    <w:rsid w:val="00AC7DF7"/>
    <w:rsid w:val="00AD1072"/>
    <w:rsid w:val="00AD1D46"/>
    <w:rsid w:val="00AD1DF1"/>
    <w:rsid w:val="00AD1FE1"/>
    <w:rsid w:val="00AD2311"/>
    <w:rsid w:val="00AD3FF3"/>
    <w:rsid w:val="00AD470E"/>
    <w:rsid w:val="00AD4A25"/>
    <w:rsid w:val="00AD4B12"/>
    <w:rsid w:val="00AD59C2"/>
    <w:rsid w:val="00AD5A08"/>
    <w:rsid w:val="00AD5B26"/>
    <w:rsid w:val="00AD6F5E"/>
    <w:rsid w:val="00AD703F"/>
    <w:rsid w:val="00AD74C4"/>
    <w:rsid w:val="00AD7996"/>
    <w:rsid w:val="00AD7BF7"/>
    <w:rsid w:val="00AE0567"/>
    <w:rsid w:val="00AE0759"/>
    <w:rsid w:val="00AE0E74"/>
    <w:rsid w:val="00AE1FAA"/>
    <w:rsid w:val="00AE2571"/>
    <w:rsid w:val="00AE25C6"/>
    <w:rsid w:val="00AE2606"/>
    <w:rsid w:val="00AE265A"/>
    <w:rsid w:val="00AE3E21"/>
    <w:rsid w:val="00AE4A63"/>
    <w:rsid w:val="00AE4AB2"/>
    <w:rsid w:val="00AE4E50"/>
    <w:rsid w:val="00AE52EA"/>
    <w:rsid w:val="00AE5A8F"/>
    <w:rsid w:val="00AE667B"/>
    <w:rsid w:val="00AE6AFF"/>
    <w:rsid w:val="00AE7015"/>
    <w:rsid w:val="00AE7BEE"/>
    <w:rsid w:val="00AF03C3"/>
    <w:rsid w:val="00AF1B57"/>
    <w:rsid w:val="00AF1E79"/>
    <w:rsid w:val="00AF26EB"/>
    <w:rsid w:val="00AF2E99"/>
    <w:rsid w:val="00AF4581"/>
    <w:rsid w:val="00AF4886"/>
    <w:rsid w:val="00AF489A"/>
    <w:rsid w:val="00AF4F5C"/>
    <w:rsid w:val="00AF528B"/>
    <w:rsid w:val="00AF5465"/>
    <w:rsid w:val="00AF5580"/>
    <w:rsid w:val="00AF566F"/>
    <w:rsid w:val="00AF5E1F"/>
    <w:rsid w:val="00AF6446"/>
    <w:rsid w:val="00AF667B"/>
    <w:rsid w:val="00AF7ACE"/>
    <w:rsid w:val="00AF7F11"/>
    <w:rsid w:val="00B000EA"/>
    <w:rsid w:val="00B00C25"/>
    <w:rsid w:val="00B01C7F"/>
    <w:rsid w:val="00B021D9"/>
    <w:rsid w:val="00B024F9"/>
    <w:rsid w:val="00B030A3"/>
    <w:rsid w:val="00B033D2"/>
    <w:rsid w:val="00B03CCA"/>
    <w:rsid w:val="00B04233"/>
    <w:rsid w:val="00B04FCC"/>
    <w:rsid w:val="00B0552B"/>
    <w:rsid w:val="00B0573D"/>
    <w:rsid w:val="00B06B5D"/>
    <w:rsid w:val="00B06C7A"/>
    <w:rsid w:val="00B073BF"/>
    <w:rsid w:val="00B073F7"/>
    <w:rsid w:val="00B076AE"/>
    <w:rsid w:val="00B07C41"/>
    <w:rsid w:val="00B10066"/>
    <w:rsid w:val="00B10696"/>
    <w:rsid w:val="00B1114D"/>
    <w:rsid w:val="00B11F1D"/>
    <w:rsid w:val="00B1214E"/>
    <w:rsid w:val="00B127E4"/>
    <w:rsid w:val="00B13074"/>
    <w:rsid w:val="00B13410"/>
    <w:rsid w:val="00B1354B"/>
    <w:rsid w:val="00B13CE2"/>
    <w:rsid w:val="00B1423E"/>
    <w:rsid w:val="00B14272"/>
    <w:rsid w:val="00B14D26"/>
    <w:rsid w:val="00B1528E"/>
    <w:rsid w:val="00B15D8D"/>
    <w:rsid w:val="00B1658C"/>
    <w:rsid w:val="00B16A25"/>
    <w:rsid w:val="00B16C0B"/>
    <w:rsid w:val="00B201FB"/>
    <w:rsid w:val="00B20C7D"/>
    <w:rsid w:val="00B22626"/>
    <w:rsid w:val="00B22CC6"/>
    <w:rsid w:val="00B22E0D"/>
    <w:rsid w:val="00B23FC5"/>
    <w:rsid w:val="00B265B1"/>
    <w:rsid w:val="00B27538"/>
    <w:rsid w:val="00B27C6F"/>
    <w:rsid w:val="00B31306"/>
    <w:rsid w:val="00B315CC"/>
    <w:rsid w:val="00B3183F"/>
    <w:rsid w:val="00B32D0A"/>
    <w:rsid w:val="00B32D36"/>
    <w:rsid w:val="00B3314A"/>
    <w:rsid w:val="00B332A5"/>
    <w:rsid w:val="00B335D5"/>
    <w:rsid w:val="00B346D0"/>
    <w:rsid w:val="00B3498C"/>
    <w:rsid w:val="00B34BBF"/>
    <w:rsid w:val="00B350C0"/>
    <w:rsid w:val="00B35F49"/>
    <w:rsid w:val="00B361D1"/>
    <w:rsid w:val="00B3633C"/>
    <w:rsid w:val="00B37435"/>
    <w:rsid w:val="00B37488"/>
    <w:rsid w:val="00B377D3"/>
    <w:rsid w:val="00B37803"/>
    <w:rsid w:val="00B37D71"/>
    <w:rsid w:val="00B409A5"/>
    <w:rsid w:val="00B409AF"/>
    <w:rsid w:val="00B40C66"/>
    <w:rsid w:val="00B41597"/>
    <w:rsid w:val="00B4161D"/>
    <w:rsid w:val="00B41F0E"/>
    <w:rsid w:val="00B420BA"/>
    <w:rsid w:val="00B42975"/>
    <w:rsid w:val="00B43FCD"/>
    <w:rsid w:val="00B444FF"/>
    <w:rsid w:val="00B44E70"/>
    <w:rsid w:val="00B45859"/>
    <w:rsid w:val="00B458BE"/>
    <w:rsid w:val="00B463A8"/>
    <w:rsid w:val="00B46868"/>
    <w:rsid w:val="00B46DCD"/>
    <w:rsid w:val="00B472CE"/>
    <w:rsid w:val="00B475C3"/>
    <w:rsid w:val="00B47805"/>
    <w:rsid w:val="00B50281"/>
    <w:rsid w:val="00B50717"/>
    <w:rsid w:val="00B50A5C"/>
    <w:rsid w:val="00B52664"/>
    <w:rsid w:val="00B52C23"/>
    <w:rsid w:val="00B52F28"/>
    <w:rsid w:val="00B540D1"/>
    <w:rsid w:val="00B5413A"/>
    <w:rsid w:val="00B542FD"/>
    <w:rsid w:val="00B550F5"/>
    <w:rsid w:val="00B55787"/>
    <w:rsid w:val="00B55AC2"/>
    <w:rsid w:val="00B55ACB"/>
    <w:rsid w:val="00B567D6"/>
    <w:rsid w:val="00B56859"/>
    <w:rsid w:val="00B56971"/>
    <w:rsid w:val="00B56B6F"/>
    <w:rsid w:val="00B56C10"/>
    <w:rsid w:val="00B56C29"/>
    <w:rsid w:val="00B60356"/>
    <w:rsid w:val="00B609B3"/>
    <w:rsid w:val="00B60E6B"/>
    <w:rsid w:val="00B60E83"/>
    <w:rsid w:val="00B61AD0"/>
    <w:rsid w:val="00B61C1E"/>
    <w:rsid w:val="00B622AB"/>
    <w:rsid w:val="00B6275A"/>
    <w:rsid w:val="00B6292F"/>
    <w:rsid w:val="00B6326A"/>
    <w:rsid w:val="00B635AC"/>
    <w:rsid w:val="00B640DD"/>
    <w:rsid w:val="00B65686"/>
    <w:rsid w:val="00B656AD"/>
    <w:rsid w:val="00B66397"/>
    <w:rsid w:val="00B66872"/>
    <w:rsid w:val="00B66893"/>
    <w:rsid w:val="00B66935"/>
    <w:rsid w:val="00B66FA7"/>
    <w:rsid w:val="00B6711C"/>
    <w:rsid w:val="00B67872"/>
    <w:rsid w:val="00B67990"/>
    <w:rsid w:val="00B7004D"/>
    <w:rsid w:val="00B702F4"/>
    <w:rsid w:val="00B70DF0"/>
    <w:rsid w:val="00B710E5"/>
    <w:rsid w:val="00B72434"/>
    <w:rsid w:val="00B72C17"/>
    <w:rsid w:val="00B72D40"/>
    <w:rsid w:val="00B734EA"/>
    <w:rsid w:val="00B73B19"/>
    <w:rsid w:val="00B73BFD"/>
    <w:rsid w:val="00B74893"/>
    <w:rsid w:val="00B754D5"/>
    <w:rsid w:val="00B756B5"/>
    <w:rsid w:val="00B7595A"/>
    <w:rsid w:val="00B76647"/>
    <w:rsid w:val="00B77761"/>
    <w:rsid w:val="00B77D86"/>
    <w:rsid w:val="00B77EDA"/>
    <w:rsid w:val="00B80179"/>
    <w:rsid w:val="00B815BD"/>
    <w:rsid w:val="00B81785"/>
    <w:rsid w:val="00B825BA"/>
    <w:rsid w:val="00B82BB5"/>
    <w:rsid w:val="00B83672"/>
    <w:rsid w:val="00B837CB"/>
    <w:rsid w:val="00B8455C"/>
    <w:rsid w:val="00B84646"/>
    <w:rsid w:val="00B858F7"/>
    <w:rsid w:val="00B85B6D"/>
    <w:rsid w:val="00B86185"/>
    <w:rsid w:val="00B870DC"/>
    <w:rsid w:val="00B87325"/>
    <w:rsid w:val="00B87DEB"/>
    <w:rsid w:val="00B9075C"/>
    <w:rsid w:val="00B92193"/>
    <w:rsid w:val="00B9221E"/>
    <w:rsid w:val="00B922CD"/>
    <w:rsid w:val="00B929B9"/>
    <w:rsid w:val="00B9371B"/>
    <w:rsid w:val="00B9458E"/>
    <w:rsid w:val="00B94747"/>
    <w:rsid w:val="00B951A6"/>
    <w:rsid w:val="00B95240"/>
    <w:rsid w:val="00B95B74"/>
    <w:rsid w:val="00B9600B"/>
    <w:rsid w:val="00B9643F"/>
    <w:rsid w:val="00B96EF2"/>
    <w:rsid w:val="00B9742C"/>
    <w:rsid w:val="00B9785C"/>
    <w:rsid w:val="00B97C65"/>
    <w:rsid w:val="00BA043D"/>
    <w:rsid w:val="00BA0D25"/>
    <w:rsid w:val="00BA1432"/>
    <w:rsid w:val="00BA16CE"/>
    <w:rsid w:val="00BA1C49"/>
    <w:rsid w:val="00BA2DAD"/>
    <w:rsid w:val="00BA30F4"/>
    <w:rsid w:val="00BA3182"/>
    <w:rsid w:val="00BA358C"/>
    <w:rsid w:val="00BA35CB"/>
    <w:rsid w:val="00BA427F"/>
    <w:rsid w:val="00BA56F2"/>
    <w:rsid w:val="00BA6CC2"/>
    <w:rsid w:val="00BA70B3"/>
    <w:rsid w:val="00BA72C0"/>
    <w:rsid w:val="00BA7697"/>
    <w:rsid w:val="00BA78F8"/>
    <w:rsid w:val="00BB0176"/>
    <w:rsid w:val="00BB136E"/>
    <w:rsid w:val="00BB1A77"/>
    <w:rsid w:val="00BB210F"/>
    <w:rsid w:val="00BB24BE"/>
    <w:rsid w:val="00BB2BCD"/>
    <w:rsid w:val="00BB3781"/>
    <w:rsid w:val="00BB3D7A"/>
    <w:rsid w:val="00BB3F23"/>
    <w:rsid w:val="00BB4069"/>
    <w:rsid w:val="00BB4ADC"/>
    <w:rsid w:val="00BB5CB3"/>
    <w:rsid w:val="00BB61F4"/>
    <w:rsid w:val="00BB6EB1"/>
    <w:rsid w:val="00BB700D"/>
    <w:rsid w:val="00BB7467"/>
    <w:rsid w:val="00BB7BD7"/>
    <w:rsid w:val="00BC00C7"/>
    <w:rsid w:val="00BC07BB"/>
    <w:rsid w:val="00BC0F55"/>
    <w:rsid w:val="00BC10FF"/>
    <w:rsid w:val="00BC176C"/>
    <w:rsid w:val="00BC18E4"/>
    <w:rsid w:val="00BC1B98"/>
    <w:rsid w:val="00BC1DBD"/>
    <w:rsid w:val="00BC1E3B"/>
    <w:rsid w:val="00BC4A2F"/>
    <w:rsid w:val="00BC4F6A"/>
    <w:rsid w:val="00BC537D"/>
    <w:rsid w:val="00BC6438"/>
    <w:rsid w:val="00BC68B5"/>
    <w:rsid w:val="00BC6A85"/>
    <w:rsid w:val="00BC703D"/>
    <w:rsid w:val="00BC75EB"/>
    <w:rsid w:val="00BC796E"/>
    <w:rsid w:val="00BD0122"/>
    <w:rsid w:val="00BD0BB6"/>
    <w:rsid w:val="00BD1CA0"/>
    <w:rsid w:val="00BD2873"/>
    <w:rsid w:val="00BD2D40"/>
    <w:rsid w:val="00BD2FA5"/>
    <w:rsid w:val="00BD3AC2"/>
    <w:rsid w:val="00BD3EBD"/>
    <w:rsid w:val="00BD428D"/>
    <w:rsid w:val="00BD46BB"/>
    <w:rsid w:val="00BD54E8"/>
    <w:rsid w:val="00BD58EA"/>
    <w:rsid w:val="00BD6B8A"/>
    <w:rsid w:val="00BD740F"/>
    <w:rsid w:val="00BE1972"/>
    <w:rsid w:val="00BE19F1"/>
    <w:rsid w:val="00BE230E"/>
    <w:rsid w:val="00BE232B"/>
    <w:rsid w:val="00BE315D"/>
    <w:rsid w:val="00BE34F1"/>
    <w:rsid w:val="00BE3584"/>
    <w:rsid w:val="00BE3849"/>
    <w:rsid w:val="00BE387E"/>
    <w:rsid w:val="00BE3DF1"/>
    <w:rsid w:val="00BE5BB8"/>
    <w:rsid w:val="00BE5C82"/>
    <w:rsid w:val="00BE5D65"/>
    <w:rsid w:val="00BE6504"/>
    <w:rsid w:val="00BE6B6F"/>
    <w:rsid w:val="00BE725C"/>
    <w:rsid w:val="00BE7684"/>
    <w:rsid w:val="00BF0B69"/>
    <w:rsid w:val="00BF0F13"/>
    <w:rsid w:val="00BF1D06"/>
    <w:rsid w:val="00BF2F17"/>
    <w:rsid w:val="00BF4370"/>
    <w:rsid w:val="00BF5B7A"/>
    <w:rsid w:val="00BF6DE6"/>
    <w:rsid w:val="00BF75DD"/>
    <w:rsid w:val="00BF7F35"/>
    <w:rsid w:val="00C0082B"/>
    <w:rsid w:val="00C00E17"/>
    <w:rsid w:val="00C01225"/>
    <w:rsid w:val="00C01C5F"/>
    <w:rsid w:val="00C01D60"/>
    <w:rsid w:val="00C01EA1"/>
    <w:rsid w:val="00C01F60"/>
    <w:rsid w:val="00C02DB7"/>
    <w:rsid w:val="00C03ACF"/>
    <w:rsid w:val="00C04224"/>
    <w:rsid w:val="00C046AC"/>
    <w:rsid w:val="00C05743"/>
    <w:rsid w:val="00C058E9"/>
    <w:rsid w:val="00C062E1"/>
    <w:rsid w:val="00C06B60"/>
    <w:rsid w:val="00C06F7D"/>
    <w:rsid w:val="00C0715A"/>
    <w:rsid w:val="00C072B9"/>
    <w:rsid w:val="00C076DE"/>
    <w:rsid w:val="00C10045"/>
    <w:rsid w:val="00C100FD"/>
    <w:rsid w:val="00C1321F"/>
    <w:rsid w:val="00C134D2"/>
    <w:rsid w:val="00C13A37"/>
    <w:rsid w:val="00C141AB"/>
    <w:rsid w:val="00C15D29"/>
    <w:rsid w:val="00C15EF9"/>
    <w:rsid w:val="00C161FD"/>
    <w:rsid w:val="00C16890"/>
    <w:rsid w:val="00C16FB6"/>
    <w:rsid w:val="00C17988"/>
    <w:rsid w:val="00C17F9E"/>
    <w:rsid w:val="00C203D4"/>
    <w:rsid w:val="00C20971"/>
    <w:rsid w:val="00C22A01"/>
    <w:rsid w:val="00C22B8F"/>
    <w:rsid w:val="00C238A5"/>
    <w:rsid w:val="00C23A37"/>
    <w:rsid w:val="00C245C0"/>
    <w:rsid w:val="00C25015"/>
    <w:rsid w:val="00C25353"/>
    <w:rsid w:val="00C25D6F"/>
    <w:rsid w:val="00C260B6"/>
    <w:rsid w:val="00C26207"/>
    <w:rsid w:val="00C26C69"/>
    <w:rsid w:val="00C279CB"/>
    <w:rsid w:val="00C30229"/>
    <w:rsid w:val="00C3093C"/>
    <w:rsid w:val="00C30B48"/>
    <w:rsid w:val="00C327E7"/>
    <w:rsid w:val="00C34151"/>
    <w:rsid w:val="00C34394"/>
    <w:rsid w:val="00C348A3"/>
    <w:rsid w:val="00C34E42"/>
    <w:rsid w:val="00C35278"/>
    <w:rsid w:val="00C35519"/>
    <w:rsid w:val="00C3562E"/>
    <w:rsid w:val="00C36583"/>
    <w:rsid w:val="00C371A1"/>
    <w:rsid w:val="00C37AAE"/>
    <w:rsid w:val="00C402B2"/>
    <w:rsid w:val="00C40B64"/>
    <w:rsid w:val="00C40CFF"/>
    <w:rsid w:val="00C40E83"/>
    <w:rsid w:val="00C411C1"/>
    <w:rsid w:val="00C413D6"/>
    <w:rsid w:val="00C4196E"/>
    <w:rsid w:val="00C42414"/>
    <w:rsid w:val="00C42622"/>
    <w:rsid w:val="00C4272A"/>
    <w:rsid w:val="00C42C84"/>
    <w:rsid w:val="00C42E72"/>
    <w:rsid w:val="00C43652"/>
    <w:rsid w:val="00C4379F"/>
    <w:rsid w:val="00C438D1"/>
    <w:rsid w:val="00C45195"/>
    <w:rsid w:val="00C45BA4"/>
    <w:rsid w:val="00C45FBC"/>
    <w:rsid w:val="00C46A45"/>
    <w:rsid w:val="00C46CA3"/>
    <w:rsid w:val="00C478E1"/>
    <w:rsid w:val="00C47A90"/>
    <w:rsid w:val="00C47DBE"/>
    <w:rsid w:val="00C47FFE"/>
    <w:rsid w:val="00C50001"/>
    <w:rsid w:val="00C50272"/>
    <w:rsid w:val="00C5117A"/>
    <w:rsid w:val="00C51DF8"/>
    <w:rsid w:val="00C527C1"/>
    <w:rsid w:val="00C5352B"/>
    <w:rsid w:val="00C538D3"/>
    <w:rsid w:val="00C540A1"/>
    <w:rsid w:val="00C540A8"/>
    <w:rsid w:val="00C5431E"/>
    <w:rsid w:val="00C54514"/>
    <w:rsid w:val="00C5478B"/>
    <w:rsid w:val="00C54D65"/>
    <w:rsid w:val="00C54E30"/>
    <w:rsid w:val="00C552F9"/>
    <w:rsid w:val="00C563F2"/>
    <w:rsid w:val="00C56535"/>
    <w:rsid w:val="00C574BC"/>
    <w:rsid w:val="00C5755F"/>
    <w:rsid w:val="00C5763A"/>
    <w:rsid w:val="00C57B07"/>
    <w:rsid w:val="00C57B52"/>
    <w:rsid w:val="00C61452"/>
    <w:rsid w:val="00C62024"/>
    <w:rsid w:val="00C62841"/>
    <w:rsid w:val="00C62B4F"/>
    <w:rsid w:val="00C62BAA"/>
    <w:rsid w:val="00C62D5E"/>
    <w:rsid w:val="00C65CA2"/>
    <w:rsid w:val="00C65E43"/>
    <w:rsid w:val="00C65EC0"/>
    <w:rsid w:val="00C65F68"/>
    <w:rsid w:val="00C670F3"/>
    <w:rsid w:val="00C67535"/>
    <w:rsid w:val="00C6769B"/>
    <w:rsid w:val="00C723BB"/>
    <w:rsid w:val="00C72D9D"/>
    <w:rsid w:val="00C742FD"/>
    <w:rsid w:val="00C74603"/>
    <w:rsid w:val="00C74939"/>
    <w:rsid w:val="00C7610B"/>
    <w:rsid w:val="00C76457"/>
    <w:rsid w:val="00C77595"/>
    <w:rsid w:val="00C80602"/>
    <w:rsid w:val="00C8086F"/>
    <w:rsid w:val="00C80E41"/>
    <w:rsid w:val="00C80E87"/>
    <w:rsid w:val="00C813B1"/>
    <w:rsid w:val="00C81B79"/>
    <w:rsid w:val="00C81EE8"/>
    <w:rsid w:val="00C82F72"/>
    <w:rsid w:val="00C830A5"/>
    <w:rsid w:val="00C8358B"/>
    <w:rsid w:val="00C8368E"/>
    <w:rsid w:val="00C8381F"/>
    <w:rsid w:val="00C83EA5"/>
    <w:rsid w:val="00C84BE7"/>
    <w:rsid w:val="00C85394"/>
    <w:rsid w:val="00C85BCC"/>
    <w:rsid w:val="00C86591"/>
    <w:rsid w:val="00C86B48"/>
    <w:rsid w:val="00C86C18"/>
    <w:rsid w:val="00C87651"/>
    <w:rsid w:val="00C87C79"/>
    <w:rsid w:val="00C90AD4"/>
    <w:rsid w:val="00C90FD2"/>
    <w:rsid w:val="00C9150D"/>
    <w:rsid w:val="00C91D03"/>
    <w:rsid w:val="00C92ADA"/>
    <w:rsid w:val="00C92CE9"/>
    <w:rsid w:val="00C92DA1"/>
    <w:rsid w:val="00C92FD7"/>
    <w:rsid w:val="00C93048"/>
    <w:rsid w:val="00C93BAC"/>
    <w:rsid w:val="00C93BFB"/>
    <w:rsid w:val="00C93F14"/>
    <w:rsid w:val="00C9417A"/>
    <w:rsid w:val="00C94854"/>
    <w:rsid w:val="00C95237"/>
    <w:rsid w:val="00C95873"/>
    <w:rsid w:val="00C96EC0"/>
    <w:rsid w:val="00C97179"/>
    <w:rsid w:val="00C977E1"/>
    <w:rsid w:val="00CA075B"/>
    <w:rsid w:val="00CA1356"/>
    <w:rsid w:val="00CA1D50"/>
    <w:rsid w:val="00CA2588"/>
    <w:rsid w:val="00CA275D"/>
    <w:rsid w:val="00CA2CE1"/>
    <w:rsid w:val="00CA384E"/>
    <w:rsid w:val="00CA3866"/>
    <w:rsid w:val="00CA3C4C"/>
    <w:rsid w:val="00CA4E82"/>
    <w:rsid w:val="00CA5472"/>
    <w:rsid w:val="00CA57CC"/>
    <w:rsid w:val="00CA7113"/>
    <w:rsid w:val="00CA7490"/>
    <w:rsid w:val="00CA74C7"/>
    <w:rsid w:val="00CB01F5"/>
    <w:rsid w:val="00CB0ABE"/>
    <w:rsid w:val="00CB0C8C"/>
    <w:rsid w:val="00CB1313"/>
    <w:rsid w:val="00CB35DD"/>
    <w:rsid w:val="00CB3850"/>
    <w:rsid w:val="00CB4104"/>
    <w:rsid w:val="00CB4CE3"/>
    <w:rsid w:val="00CB5019"/>
    <w:rsid w:val="00CB524A"/>
    <w:rsid w:val="00CB568B"/>
    <w:rsid w:val="00CB591B"/>
    <w:rsid w:val="00CB5C67"/>
    <w:rsid w:val="00CB73A1"/>
    <w:rsid w:val="00CC1769"/>
    <w:rsid w:val="00CC21B4"/>
    <w:rsid w:val="00CC27F2"/>
    <w:rsid w:val="00CC34D7"/>
    <w:rsid w:val="00CC360C"/>
    <w:rsid w:val="00CC375B"/>
    <w:rsid w:val="00CC3996"/>
    <w:rsid w:val="00CC4630"/>
    <w:rsid w:val="00CC466F"/>
    <w:rsid w:val="00CC4676"/>
    <w:rsid w:val="00CC5621"/>
    <w:rsid w:val="00CC5CA5"/>
    <w:rsid w:val="00CC6241"/>
    <w:rsid w:val="00CC64C4"/>
    <w:rsid w:val="00CC7880"/>
    <w:rsid w:val="00CD11ED"/>
    <w:rsid w:val="00CD1298"/>
    <w:rsid w:val="00CD18CB"/>
    <w:rsid w:val="00CD1B1D"/>
    <w:rsid w:val="00CD1C91"/>
    <w:rsid w:val="00CD2E41"/>
    <w:rsid w:val="00CD498A"/>
    <w:rsid w:val="00CD4997"/>
    <w:rsid w:val="00CD4ABD"/>
    <w:rsid w:val="00CD4EC5"/>
    <w:rsid w:val="00CD531F"/>
    <w:rsid w:val="00CD59C9"/>
    <w:rsid w:val="00CD6307"/>
    <w:rsid w:val="00CD6902"/>
    <w:rsid w:val="00CD6E13"/>
    <w:rsid w:val="00CD71E8"/>
    <w:rsid w:val="00CD7638"/>
    <w:rsid w:val="00CD7C43"/>
    <w:rsid w:val="00CE0072"/>
    <w:rsid w:val="00CE02B6"/>
    <w:rsid w:val="00CE04F8"/>
    <w:rsid w:val="00CE0D57"/>
    <w:rsid w:val="00CE1184"/>
    <w:rsid w:val="00CE16A8"/>
    <w:rsid w:val="00CE2603"/>
    <w:rsid w:val="00CE3F9D"/>
    <w:rsid w:val="00CE41B6"/>
    <w:rsid w:val="00CE42AF"/>
    <w:rsid w:val="00CE48DD"/>
    <w:rsid w:val="00CE48E4"/>
    <w:rsid w:val="00CE4BEF"/>
    <w:rsid w:val="00CE50C8"/>
    <w:rsid w:val="00CE568C"/>
    <w:rsid w:val="00CE571C"/>
    <w:rsid w:val="00CE6690"/>
    <w:rsid w:val="00CE6AC3"/>
    <w:rsid w:val="00CE6CFF"/>
    <w:rsid w:val="00CE7886"/>
    <w:rsid w:val="00CF03EB"/>
    <w:rsid w:val="00CF1F93"/>
    <w:rsid w:val="00CF29CD"/>
    <w:rsid w:val="00CF2FE4"/>
    <w:rsid w:val="00CF3232"/>
    <w:rsid w:val="00CF348B"/>
    <w:rsid w:val="00CF43E4"/>
    <w:rsid w:val="00CF4A2F"/>
    <w:rsid w:val="00CF5EF3"/>
    <w:rsid w:val="00CF6F81"/>
    <w:rsid w:val="00CF7D54"/>
    <w:rsid w:val="00CF7D61"/>
    <w:rsid w:val="00D011FA"/>
    <w:rsid w:val="00D016A1"/>
    <w:rsid w:val="00D0235E"/>
    <w:rsid w:val="00D0245D"/>
    <w:rsid w:val="00D0259D"/>
    <w:rsid w:val="00D026B9"/>
    <w:rsid w:val="00D027A9"/>
    <w:rsid w:val="00D0314D"/>
    <w:rsid w:val="00D03DB2"/>
    <w:rsid w:val="00D042DB"/>
    <w:rsid w:val="00D043A8"/>
    <w:rsid w:val="00D04BAF"/>
    <w:rsid w:val="00D05D18"/>
    <w:rsid w:val="00D06669"/>
    <w:rsid w:val="00D072D8"/>
    <w:rsid w:val="00D07F0B"/>
    <w:rsid w:val="00D10DA0"/>
    <w:rsid w:val="00D1104D"/>
    <w:rsid w:val="00D1176E"/>
    <w:rsid w:val="00D11EF5"/>
    <w:rsid w:val="00D12BFD"/>
    <w:rsid w:val="00D142F1"/>
    <w:rsid w:val="00D159D7"/>
    <w:rsid w:val="00D15FEE"/>
    <w:rsid w:val="00D16400"/>
    <w:rsid w:val="00D16838"/>
    <w:rsid w:val="00D1755D"/>
    <w:rsid w:val="00D1788F"/>
    <w:rsid w:val="00D17A12"/>
    <w:rsid w:val="00D17B51"/>
    <w:rsid w:val="00D17C1D"/>
    <w:rsid w:val="00D17E03"/>
    <w:rsid w:val="00D20F97"/>
    <w:rsid w:val="00D2199D"/>
    <w:rsid w:val="00D22979"/>
    <w:rsid w:val="00D2299A"/>
    <w:rsid w:val="00D23ACA"/>
    <w:rsid w:val="00D24E3E"/>
    <w:rsid w:val="00D251A9"/>
    <w:rsid w:val="00D25386"/>
    <w:rsid w:val="00D255B0"/>
    <w:rsid w:val="00D26601"/>
    <w:rsid w:val="00D269AB"/>
    <w:rsid w:val="00D27F51"/>
    <w:rsid w:val="00D300DD"/>
    <w:rsid w:val="00D30B10"/>
    <w:rsid w:val="00D30E18"/>
    <w:rsid w:val="00D322DA"/>
    <w:rsid w:val="00D323EE"/>
    <w:rsid w:val="00D32833"/>
    <w:rsid w:val="00D33332"/>
    <w:rsid w:val="00D33450"/>
    <w:rsid w:val="00D335B6"/>
    <w:rsid w:val="00D33C29"/>
    <w:rsid w:val="00D34053"/>
    <w:rsid w:val="00D3473C"/>
    <w:rsid w:val="00D34823"/>
    <w:rsid w:val="00D3537F"/>
    <w:rsid w:val="00D35ADB"/>
    <w:rsid w:val="00D3622A"/>
    <w:rsid w:val="00D37213"/>
    <w:rsid w:val="00D3797A"/>
    <w:rsid w:val="00D409F2"/>
    <w:rsid w:val="00D4191B"/>
    <w:rsid w:val="00D41B0E"/>
    <w:rsid w:val="00D420E3"/>
    <w:rsid w:val="00D423D2"/>
    <w:rsid w:val="00D42651"/>
    <w:rsid w:val="00D43200"/>
    <w:rsid w:val="00D4374C"/>
    <w:rsid w:val="00D43854"/>
    <w:rsid w:val="00D43889"/>
    <w:rsid w:val="00D445AB"/>
    <w:rsid w:val="00D44D35"/>
    <w:rsid w:val="00D451F0"/>
    <w:rsid w:val="00D46E03"/>
    <w:rsid w:val="00D47674"/>
    <w:rsid w:val="00D4785E"/>
    <w:rsid w:val="00D50D75"/>
    <w:rsid w:val="00D50E10"/>
    <w:rsid w:val="00D50F71"/>
    <w:rsid w:val="00D514C4"/>
    <w:rsid w:val="00D51AD5"/>
    <w:rsid w:val="00D51E50"/>
    <w:rsid w:val="00D52B56"/>
    <w:rsid w:val="00D537E6"/>
    <w:rsid w:val="00D53880"/>
    <w:rsid w:val="00D53D6C"/>
    <w:rsid w:val="00D54E68"/>
    <w:rsid w:val="00D55224"/>
    <w:rsid w:val="00D55311"/>
    <w:rsid w:val="00D55AE0"/>
    <w:rsid w:val="00D55BC6"/>
    <w:rsid w:val="00D5658B"/>
    <w:rsid w:val="00D569A4"/>
    <w:rsid w:val="00D57623"/>
    <w:rsid w:val="00D57A90"/>
    <w:rsid w:val="00D57EF0"/>
    <w:rsid w:val="00D600C6"/>
    <w:rsid w:val="00D61232"/>
    <w:rsid w:val="00D62253"/>
    <w:rsid w:val="00D63009"/>
    <w:rsid w:val="00D63022"/>
    <w:rsid w:val="00D63B3F"/>
    <w:rsid w:val="00D63BE2"/>
    <w:rsid w:val="00D63DDA"/>
    <w:rsid w:val="00D6462C"/>
    <w:rsid w:val="00D6474F"/>
    <w:rsid w:val="00D6521D"/>
    <w:rsid w:val="00D65FCE"/>
    <w:rsid w:val="00D663DF"/>
    <w:rsid w:val="00D66B72"/>
    <w:rsid w:val="00D66F02"/>
    <w:rsid w:val="00D675DB"/>
    <w:rsid w:val="00D67C12"/>
    <w:rsid w:val="00D7018C"/>
    <w:rsid w:val="00D7099C"/>
    <w:rsid w:val="00D70CA0"/>
    <w:rsid w:val="00D71236"/>
    <w:rsid w:val="00D71349"/>
    <w:rsid w:val="00D713EF"/>
    <w:rsid w:val="00D7177E"/>
    <w:rsid w:val="00D717A6"/>
    <w:rsid w:val="00D71B00"/>
    <w:rsid w:val="00D7247E"/>
    <w:rsid w:val="00D72C98"/>
    <w:rsid w:val="00D72CC1"/>
    <w:rsid w:val="00D72F41"/>
    <w:rsid w:val="00D73ED5"/>
    <w:rsid w:val="00D745F6"/>
    <w:rsid w:val="00D746BC"/>
    <w:rsid w:val="00D74DA1"/>
    <w:rsid w:val="00D74E23"/>
    <w:rsid w:val="00D755CF"/>
    <w:rsid w:val="00D75BEB"/>
    <w:rsid w:val="00D76356"/>
    <w:rsid w:val="00D76CC5"/>
    <w:rsid w:val="00D76CF6"/>
    <w:rsid w:val="00D7707D"/>
    <w:rsid w:val="00D770C7"/>
    <w:rsid w:val="00D77E00"/>
    <w:rsid w:val="00D806C2"/>
    <w:rsid w:val="00D815B6"/>
    <w:rsid w:val="00D81B76"/>
    <w:rsid w:val="00D81E6E"/>
    <w:rsid w:val="00D82044"/>
    <w:rsid w:val="00D820C5"/>
    <w:rsid w:val="00D825A1"/>
    <w:rsid w:val="00D8417E"/>
    <w:rsid w:val="00D843DC"/>
    <w:rsid w:val="00D843F4"/>
    <w:rsid w:val="00D84B5A"/>
    <w:rsid w:val="00D8577C"/>
    <w:rsid w:val="00D864B6"/>
    <w:rsid w:val="00D86877"/>
    <w:rsid w:val="00D8706F"/>
    <w:rsid w:val="00D8752D"/>
    <w:rsid w:val="00D90732"/>
    <w:rsid w:val="00D91AF8"/>
    <w:rsid w:val="00D91DCE"/>
    <w:rsid w:val="00D91EA9"/>
    <w:rsid w:val="00D924C6"/>
    <w:rsid w:val="00D93BCB"/>
    <w:rsid w:val="00D9506E"/>
    <w:rsid w:val="00D95890"/>
    <w:rsid w:val="00D95D84"/>
    <w:rsid w:val="00D964E5"/>
    <w:rsid w:val="00D9693A"/>
    <w:rsid w:val="00D96DF9"/>
    <w:rsid w:val="00D97927"/>
    <w:rsid w:val="00DA013F"/>
    <w:rsid w:val="00DA0242"/>
    <w:rsid w:val="00DA08AA"/>
    <w:rsid w:val="00DA1B88"/>
    <w:rsid w:val="00DA2124"/>
    <w:rsid w:val="00DA25A1"/>
    <w:rsid w:val="00DA26F2"/>
    <w:rsid w:val="00DA2F54"/>
    <w:rsid w:val="00DA3839"/>
    <w:rsid w:val="00DA3C93"/>
    <w:rsid w:val="00DA4969"/>
    <w:rsid w:val="00DA52EE"/>
    <w:rsid w:val="00DA5912"/>
    <w:rsid w:val="00DA650F"/>
    <w:rsid w:val="00DA7D3B"/>
    <w:rsid w:val="00DB0631"/>
    <w:rsid w:val="00DB0F5A"/>
    <w:rsid w:val="00DB0F8D"/>
    <w:rsid w:val="00DB1116"/>
    <w:rsid w:val="00DB1E80"/>
    <w:rsid w:val="00DB25D8"/>
    <w:rsid w:val="00DB2EF2"/>
    <w:rsid w:val="00DB3ADA"/>
    <w:rsid w:val="00DB3BE3"/>
    <w:rsid w:val="00DB4D46"/>
    <w:rsid w:val="00DB4FCC"/>
    <w:rsid w:val="00DB6081"/>
    <w:rsid w:val="00DB6682"/>
    <w:rsid w:val="00DB68CF"/>
    <w:rsid w:val="00DB71F0"/>
    <w:rsid w:val="00DB762F"/>
    <w:rsid w:val="00DB7BE4"/>
    <w:rsid w:val="00DB7D98"/>
    <w:rsid w:val="00DB7FD8"/>
    <w:rsid w:val="00DC0D7D"/>
    <w:rsid w:val="00DC15A8"/>
    <w:rsid w:val="00DC1A94"/>
    <w:rsid w:val="00DC29ED"/>
    <w:rsid w:val="00DC39B0"/>
    <w:rsid w:val="00DC44A0"/>
    <w:rsid w:val="00DC519C"/>
    <w:rsid w:val="00DC52F2"/>
    <w:rsid w:val="00DC5845"/>
    <w:rsid w:val="00DC6404"/>
    <w:rsid w:val="00DC68E4"/>
    <w:rsid w:val="00DC69D9"/>
    <w:rsid w:val="00DC6A0E"/>
    <w:rsid w:val="00DC74C2"/>
    <w:rsid w:val="00DC7B9B"/>
    <w:rsid w:val="00DC7B9E"/>
    <w:rsid w:val="00DD0EBC"/>
    <w:rsid w:val="00DD1EED"/>
    <w:rsid w:val="00DD209B"/>
    <w:rsid w:val="00DD2ADC"/>
    <w:rsid w:val="00DD2D54"/>
    <w:rsid w:val="00DD30CC"/>
    <w:rsid w:val="00DD46C9"/>
    <w:rsid w:val="00DD55D1"/>
    <w:rsid w:val="00DD5884"/>
    <w:rsid w:val="00DD682A"/>
    <w:rsid w:val="00DD6FFC"/>
    <w:rsid w:val="00DD78CE"/>
    <w:rsid w:val="00DD7C36"/>
    <w:rsid w:val="00DD7F9F"/>
    <w:rsid w:val="00DE053B"/>
    <w:rsid w:val="00DE062C"/>
    <w:rsid w:val="00DE0DC1"/>
    <w:rsid w:val="00DE0F48"/>
    <w:rsid w:val="00DE1117"/>
    <w:rsid w:val="00DE13AA"/>
    <w:rsid w:val="00DE1AE3"/>
    <w:rsid w:val="00DE1C70"/>
    <w:rsid w:val="00DE2037"/>
    <w:rsid w:val="00DE21CA"/>
    <w:rsid w:val="00DE255B"/>
    <w:rsid w:val="00DE2D62"/>
    <w:rsid w:val="00DE33D4"/>
    <w:rsid w:val="00DE3CBA"/>
    <w:rsid w:val="00DE42A4"/>
    <w:rsid w:val="00DE4A48"/>
    <w:rsid w:val="00DE4E71"/>
    <w:rsid w:val="00DE5669"/>
    <w:rsid w:val="00DE5CB7"/>
    <w:rsid w:val="00DE69D9"/>
    <w:rsid w:val="00DE7386"/>
    <w:rsid w:val="00DE7659"/>
    <w:rsid w:val="00DE7EA6"/>
    <w:rsid w:val="00DF0173"/>
    <w:rsid w:val="00DF0509"/>
    <w:rsid w:val="00DF064A"/>
    <w:rsid w:val="00DF067C"/>
    <w:rsid w:val="00DF0C2B"/>
    <w:rsid w:val="00DF1240"/>
    <w:rsid w:val="00DF1BF7"/>
    <w:rsid w:val="00DF1C51"/>
    <w:rsid w:val="00DF1CEB"/>
    <w:rsid w:val="00DF1CF8"/>
    <w:rsid w:val="00DF228F"/>
    <w:rsid w:val="00DF2D82"/>
    <w:rsid w:val="00DF39AB"/>
    <w:rsid w:val="00DF4154"/>
    <w:rsid w:val="00DF431B"/>
    <w:rsid w:val="00DF6CB2"/>
    <w:rsid w:val="00DF6CB4"/>
    <w:rsid w:val="00DF6E70"/>
    <w:rsid w:val="00DF73EC"/>
    <w:rsid w:val="00E0094D"/>
    <w:rsid w:val="00E00D2A"/>
    <w:rsid w:val="00E02391"/>
    <w:rsid w:val="00E02B1E"/>
    <w:rsid w:val="00E02F4D"/>
    <w:rsid w:val="00E0349F"/>
    <w:rsid w:val="00E03812"/>
    <w:rsid w:val="00E03AFD"/>
    <w:rsid w:val="00E03F0D"/>
    <w:rsid w:val="00E04809"/>
    <w:rsid w:val="00E05737"/>
    <w:rsid w:val="00E05C53"/>
    <w:rsid w:val="00E05EC2"/>
    <w:rsid w:val="00E05F8F"/>
    <w:rsid w:val="00E06C08"/>
    <w:rsid w:val="00E06CB2"/>
    <w:rsid w:val="00E06D05"/>
    <w:rsid w:val="00E06E1D"/>
    <w:rsid w:val="00E110E8"/>
    <w:rsid w:val="00E11AD5"/>
    <w:rsid w:val="00E1281B"/>
    <w:rsid w:val="00E12DE6"/>
    <w:rsid w:val="00E15329"/>
    <w:rsid w:val="00E15566"/>
    <w:rsid w:val="00E15B46"/>
    <w:rsid w:val="00E15D7C"/>
    <w:rsid w:val="00E16351"/>
    <w:rsid w:val="00E16BAF"/>
    <w:rsid w:val="00E16F92"/>
    <w:rsid w:val="00E1719D"/>
    <w:rsid w:val="00E174F6"/>
    <w:rsid w:val="00E2032E"/>
    <w:rsid w:val="00E20E09"/>
    <w:rsid w:val="00E213AA"/>
    <w:rsid w:val="00E21AB0"/>
    <w:rsid w:val="00E22702"/>
    <w:rsid w:val="00E22F39"/>
    <w:rsid w:val="00E22F4A"/>
    <w:rsid w:val="00E24730"/>
    <w:rsid w:val="00E24804"/>
    <w:rsid w:val="00E24846"/>
    <w:rsid w:val="00E25074"/>
    <w:rsid w:val="00E25932"/>
    <w:rsid w:val="00E25C63"/>
    <w:rsid w:val="00E268AA"/>
    <w:rsid w:val="00E26E51"/>
    <w:rsid w:val="00E27771"/>
    <w:rsid w:val="00E27CB8"/>
    <w:rsid w:val="00E27D1E"/>
    <w:rsid w:val="00E27FC9"/>
    <w:rsid w:val="00E30458"/>
    <w:rsid w:val="00E306B6"/>
    <w:rsid w:val="00E3121A"/>
    <w:rsid w:val="00E31904"/>
    <w:rsid w:val="00E32024"/>
    <w:rsid w:val="00E3290B"/>
    <w:rsid w:val="00E32AC6"/>
    <w:rsid w:val="00E33F75"/>
    <w:rsid w:val="00E345EC"/>
    <w:rsid w:val="00E34AA2"/>
    <w:rsid w:val="00E35235"/>
    <w:rsid w:val="00E35377"/>
    <w:rsid w:val="00E35E98"/>
    <w:rsid w:val="00E36A8D"/>
    <w:rsid w:val="00E36C06"/>
    <w:rsid w:val="00E36DEE"/>
    <w:rsid w:val="00E375B6"/>
    <w:rsid w:val="00E37BE2"/>
    <w:rsid w:val="00E4002F"/>
    <w:rsid w:val="00E40143"/>
    <w:rsid w:val="00E401CC"/>
    <w:rsid w:val="00E40236"/>
    <w:rsid w:val="00E40903"/>
    <w:rsid w:val="00E40B2F"/>
    <w:rsid w:val="00E40D2D"/>
    <w:rsid w:val="00E421C8"/>
    <w:rsid w:val="00E42D59"/>
    <w:rsid w:val="00E4325C"/>
    <w:rsid w:val="00E43DD1"/>
    <w:rsid w:val="00E44510"/>
    <w:rsid w:val="00E445D3"/>
    <w:rsid w:val="00E44A46"/>
    <w:rsid w:val="00E44E72"/>
    <w:rsid w:val="00E4524C"/>
    <w:rsid w:val="00E4561A"/>
    <w:rsid w:val="00E457BE"/>
    <w:rsid w:val="00E45C98"/>
    <w:rsid w:val="00E471F3"/>
    <w:rsid w:val="00E4769E"/>
    <w:rsid w:val="00E478D5"/>
    <w:rsid w:val="00E5065D"/>
    <w:rsid w:val="00E507BF"/>
    <w:rsid w:val="00E5149A"/>
    <w:rsid w:val="00E518B7"/>
    <w:rsid w:val="00E52A98"/>
    <w:rsid w:val="00E52CB9"/>
    <w:rsid w:val="00E52FBC"/>
    <w:rsid w:val="00E5312D"/>
    <w:rsid w:val="00E53521"/>
    <w:rsid w:val="00E535A6"/>
    <w:rsid w:val="00E541C3"/>
    <w:rsid w:val="00E54DFC"/>
    <w:rsid w:val="00E54E8E"/>
    <w:rsid w:val="00E54F07"/>
    <w:rsid w:val="00E54F9C"/>
    <w:rsid w:val="00E55CA4"/>
    <w:rsid w:val="00E55DD8"/>
    <w:rsid w:val="00E5693B"/>
    <w:rsid w:val="00E569E1"/>
    <w:rsid w:val="00E57276"/>
    <w:rsid w:val="00E57873"/>
    <w:rsid w:val="00E57888"/>
    <w:rsid w:val="00E60143"/>
    <w:rsid w:val="00E609F8"/>
    <w:rsid w:val="00E60FA1"/>
    <w:rsid w:val="00E61B4E"/>
    <w:rsid w:val="00E61E2E"/>
    <w:rsid w:val="00E61EA6"/>
    <w:rsid w:val="00E6218C"/>
    <w:rsid w:val="00E6234E"/>
    <w:rsid w:val="00E628F4"/>
    <w:rsid w:val="00E634AC"/>
    <w:rsid w:val="00E636FB"/>
    <w:rsid w:val="00E64047"/>
    <w:rsid w:val="00E640D5"/>
    <w:rsid w:val="00E64898"/>
    <w:rsid w:val="00E649A9"/>
    <w:rsid w:val="00E664F6"/>
    <w:rsid w:val="00E665F8"/>
    <w:rsid w:val="00E6678A"/>
    <w:rsid w:val="00E668D1"/>
    <w:rsid w:val="00E67AD7"/>
    <w:rsid w:val="00E71177"/>
    <w:rsid w:val="00E71C35"/>
    <w:rsid w:val="00E72161"/>
    <w:rsid w:val="00E7297D"/>
    <w:rsid w:val="00E73594"/>
    <w:rsid w:val="00E73935"/>
    <w:rsid w:val="00E73A48"/>
    <w:rsid w:val="00E73F3D"/>
    <w:rsid w:val="00E748B7"/>
    <w:rsid w:val="00E749D3"/>
    <w:rsid w:val="00E74E61"/>
    <w:rsid w:val="00E75EE4"/>
    <w:rsid w:val="00E81009"/>
    <w:rsid w:val="00E8117B"/>
    <w:rsid w:val="00E819B8"/>
    <w:rsid w:val="00E819E3"/>
    <w:rsid w:val="00E81A98"/>
    <w:rsid w:val="00E81C17"/>
    <w:rsid w:val="00E824F4"/>
    <w:rsid w:val="00E82A17"/>
    <w:rsid w:val="00E82D75"/>
    <w:rsid w:val="00E82F8E"/>
    <w:rsid w:val="00E831F7"/>
    <w:rsid w:val="00E836F5"/>
    <w:rsid w:val="00E838DC"/>
    <w:rsid w:val="00E83B6C"/>
    <w:rsid w:val="00E8435F"/>
    <w:rsid w:val="00E84578"/>
    <w:rsid w:val="00E8481A"/>
    <w:rsid w:val="00E84845"/>
    <w:rsid w:val="00E84B62"/>
    <w:rsid w:val="00E84CCE"/>
    <w:rsid w:val="00E850EC"/>
    <w:rsid w:val="00E85403"/>
    <w:rsid w:val="00E90312"/>
    <w:rsid w:val="00E915ED"/>
    <w:rsid w:val="00E91E7D"/>
    <w:rsid w:val="00E91F2C"/>
    <w:rsid w:val="00E92BA6"/>
    <w:rsid w:val="00E932C3"/>
    <w:rsid w:val="00E935EB"/>
    <w:rsid w:val="00E93EE1"/>
    <w:rsid w:val="00E93F75"/>
    <w:rsid w:val="00E94282"/>
    <w:rsid w:val="00E94BC0"/>
    <w:rsid w:val="00E955A2"/>
    <w:rsid w:val="00E9568E"/>
    <w:rsid w:val="00E9569E"/>
    <w:rsid w:val="00E964FB"/>
    <w:rsid w:val="00E969ED"/>
    <w:rsid w:val="00E973F7"/>
    <w:rsid w:val="00E9793C"/>
    <w:rsid w:val="00EA05C4"/>
    <w:rsid w:val="00EA09DC"/>
    <w:rsid w:val="00EA0A3F"/>
    <w:rsid w:val="00EA1495"/>
    <w:rsid w:val="00EA1BDD"/>
    <w:rsid w:val="00EA35BE"/>
    <w:rsid w:val="00EA3B2E"/>
    <w:rsid w:val="00EA3D07"/>
    <w:rsid w:val="00EA45AE"/>
    <w:rsid w:val="00EA499B"/>
    <w:rsid w:val="00EA506F"/>
    <w:rsid w:val="00EA55EF"/>
    <w:rsid w:val="00EA6147"/>
    <w:rsid w:val="00EA678D"/>
    <w:rsid w:val="00EA6B10"/>
    <w:rsid w:val="00EA7CED"/>
    <w:rsid w:val="00EA7F5F"/>
    <w:rsid w:val="00EB0F53"/>
    <w:rsid w:val="00EB16CE"/>
    <w:rsid w:val="00EB1DD8"/>
    <w:rsid w:val="00EB2299"/>
    <w:rsid w:val="00EB2907"/>
    <w:rsid w:val="00EB2A07"/>
    <w:rsid w:val="00EB3473"/>
    <w:rsid w:val="00EB351D"/>
    <w:rsid w:val="00EB366B"/>
    <w:rsid w:val="00EB3B38"/>
    <w:rsid w:val="00EB4E8E"/>
    <w:rsid w:val="00EB53DC"/>
    <w:rsid w:val="00EB58B1"/>
    <w:rsid w:val="00EB5A7F"/>
    <w:rsid w:val="00EB5B43"/>
    <w:rsid w:val="00EB6E38"/>
    <w:rsid w:val="00EB709B"/>
    <w:rsid w:val="00EB79BF"/>
    <w:rsid w:val="00EB7DA9"/>
    <w:rsid w:val="00EC033D"/>
    <w:rsid w:val="00EC036E"/>
    <w:rsid w:val="00EC0487"/>
    <w:rsid w:val="00EC0515"/>
    <w:rsid w:val="00EC07D0"/>
    <w:rsid w:val="00EC0EDB"/>
    <w:rsid w:val="00EC1346"/>
    <w:rsid w:val="00EC15DC"/>
    <w:rsid w:val="00EC1A31"/>
    <w:rsid w:val="00EC2873"/>
    <w:rsid w:val="00EC333F"/>
    <w:rsid w:val="00EC3CA4"/>
    <w:rsid w:val="00EC46A4"/>
    <w:rsid w:val="00EC635B"/>
    <w:rsid w:val="00EC69A5"/>
    <w:rsid w:val="00EC6B20"/>
    <w:rsid w:val="00EC6D1C"/>
    <w:rsid w:val="00EC6F6C"/>
    <w:rsid w:val="00EC718B"/>
    <w:rsid w:val="00EC72AA"/>
    <w:rsid w:val="00EC7ABE"/>
    <w:rsid w:val="00EC7D95"/>
    <w:rsid w:val="00ED0FBD"/>
    <w:rsid w:val="00ED0FDA"/>
    <w:rsid w:val="00ED131B"/>
    <w:rsid w:val="00ED174F"/>
    <w:rsid w:val="00ED1B37"/>
    <w:rsid w:val="00ED238D"/>
    <w:rsid w:val="00ED32CD"/>
    <w:rsid w:val="00ED3300"/>
    <w:rsid w:val="00ED5A08"/>
    <w:rsid w:val="00ED5A20"/>
    <w:rsid w:val="00ED5E8D"/>
    <w:rsid w:val="00ED7C0C"/>
    <w:rsid w:val="00ED7CF7"/>
    <w:rsid w:val="00ED7EB9"/>
    <w:rsid w:val="00EE00AA"/>
    <w:rsid w:val="00EE03B7"/>
    <w:rsid w:val="00EE08CA"/>
    <w:rsid w:val="00EE10BA"/>
    <w:rsid w:val="00EE13E6"/>
    <w:rsid w:val="00EE1851"/>
    <w:rsid w:val="00EE2098"/>
    <w:rsid w:val="00EE2DBE"/>
    <w:rsid w:val="00EE3180"/>
    <w:rsid w:val="00EE3286"/>
    <w:rsid w:val="00EE3D30"/>
    <w:rsid w:val="00EE46AF"/>
    <w:rsid w:val="00EE4C0F"/>
    <w:rsid w:val="00EE5EDB"/>
    <w:rsid w:val="00EE7A4F"/>
    <w:rsid w:val="00EE7A6C"/>
    <w:rsid w:val="00EE7F7C"/>
    <w:rsid w:val="00EE7FCD"/>
    <w:rsid w:val="00EF0EA9"/>
    <w:rsid w:val="00EF11D5"/>
    <w:rsid w:val="00EF142F"/>
    <w:rsid w:val="00EF2516"/>
    <w:rsid w:val="00EF391F"/>
    <w:rsid w:val="00EF3D64"/>
    <w:rsid w:val="00EF5373"/>
    <w:rsid w:val="00EF5485"/>
    <w:rsid w:val="00EF59C3"/>
    <w:rsid w:val="00EF5BFF"/>
    <w:rsid w:val="00EF749C"/>
    <w:rsid w:val="00EF780D"/>
    <w:rsid w:val="00EF7E8E"/>
    <w:rsid w:val="00F00F87"/>
    <w:rsid w:val="00F01138"/>
    <w:rsid w:val="00F01213"/>
    <w:rsid w:val="00F01821"/>
    <w:rsid w:val="00F0216B"/>
    <w:rsid w:val="00F02BCF"/>
    <w:rsid w:val="00F02E71"/>
    <w:rsid w:val="00F03434"/>
    <w:rsid w:val="00F03F96"/>
    <w:rsid w:val="00F04B51"/>
    <w:rsid w:val="00F05693"/>
    <w:rsid w:val="00F05C0B"/>
    <w:rsid w:val="00F05F57"/>
    <w:rsid w:val="00F065E2"/>
    <w:rsid w:val="00F0672E"/>
    <w:rsid w:val="00F068D8"/>
    <w:rsid w:val="00F06B8D"/>
    <w:rsid w:val="00F076C3"/>
    <w:rsid w:val="00F1055E"/>
    <w:rsid w:val="00F10C87"/>
    <w:rsid w:val="00F1291D"/>
    <w:rsid w:val="00F13D37"/>
    <w:rsid w:val="00F13DA2"/>
    <w:rsid w:val="00F140FC"/>
    <w:rsid w:val="00F1447D"/>
    <w:rsid w:val="00F148C0"/>
    <w:rsid w:val="00F154F1"/>
    <w:rsid w:val="00F1554A"/>
    <w:rsid w:val="00F157FD"/>
    <w:rsid w:val="00F158DA"/>
    <w:rsid w:val="00F16BD7"/>
    <w:rsid w:val="00F178B5"/>
    <w:rsid w:val="00F1798F"/>
    <w:rsid w:val="00F20827"/>
    <w:rsid w:val="00F209C5"/>
    <w:rsid w:val="00F20FDD"/>
    <w:rsid w:val="00F210FC"/>
    <w:rsid w:val="00F2126B"/>
    <w:rsid w:val="00F23493"/>
    <w:rsid w:val="00F235E6"/>
    <w:rsid w:val="00F23B7C"/>
    <w:rsid w:val="00F23D34"/>
    <w:rsid w:val="00F242E9"/>
    <w:rsid w:val="00F246D7"/>
    <w:rsid w:val="00F24898"/>
    <w:rsid w:val="00F24B09"/>
    <w:rsid w:val="00F24C30"/>
    <w:rsid w:val="00F24D76"/>
    <w:rsid w:val="00F2543D"/>
    <w:rsid w:val="00F255F0"/>
    <w:rsid w:val="00F25636"/>
    <w:rsid w:val="00F25C31"/>
    <w:rsid w:val="00F25C40"/>
    <w:rsid w:val="00F2628C"/>
    <w:rsid w:val="00F2722F"/>
    <w:rsid w:val="00F2737C"/>
    <w:rsid w:val="00F30460"/>
    <w:rsid w:val="00F31170"/>
    <w:rsid w:val="00F313BA"/>
    <w:rsid w:val="00F32D96"/>
    <w:rsid w:val="00F34121"/>
    <w:rsid w:val="00F34196"/>
    <w:rsid w:val="00F34D1A"/>
    <w:rsid w:val="00F34E61"/>
    <w:rsid w:val="00F3538A"/>
    <w:rsid w:val="00F3567C"/>
    <w:rsid w:val="00F35AD7"/>
    <w:rsid w:val="00F35B72"/>
    <w:rsid w:val="00F36566"/>
    <w:rsid w:val="00F36B8F"/>
    <w:rsid w:val="00F36C6C"/>
    <w:rsid w:val="00F3719C"/>
    <w:rsid w:val="00F4006F"/>
    <w:rsid w:val="00F40080"/>
    <w:rsid w:val="00F40574"/>
    <w:rsid w:val="00F407E8"/>
    <w:rsid w:val="00F40FFE"/>
    <w:rsid w:val="00F411C7"/>
    <w:rsid w:val="00F41217"/>
    <w:rsid w:val="00F42407"/>
    <w:rsid w:val="00F427BC"/>
    <w:rsid w:val="00F43AC9"/>
    <w:rsid w:val="00F43D3D"/>
    <w:rsid w:val="00F450F4"/>
    <w:rsid w:val="00F450FD"/>
    <w:rsid w:val="00F45728"/>
    <w:rsid w:val="00F45BD7"/>
    <w:rsid w:val="00F47BA6"/>
    <w:rsid w:val="00F50CA4"/>
    <w:rsid w:val="00F51692"/>
    <w:rsid w:val="00F51A83"/>
    <w:rsid w:val="00F524F0"/>
    <w:rsid w:val="00F532BA"/>
    <w:rsid w:val="00F533F8"/>
    <w:rsid w:val="00F5366F"/>
    <w:rsid w:val="00F53D39"/>
    <w:rsid w:val="00F54E38"/>
    <w:rsid w:val="00F55D9E"/>
    <w:rsid w:val="00F56433"/>
    <w:rsid w:val="00F568D2"/>
    <w:rsid w:val="00F571A4"/>
    <w:rsid w:val="00F57255"/>
    <w:rsid w:val="00F575F7"/>
    <w:rsid w:val="00F57F82"/>
    <w:rsid w:val="00F60A5A"/>
    <w:rsid w:val="00F60B07"/>
    <w:rsid w:val="00F6184D"/>
    <w:rsid w:val="00F61F02"/>
    <w:rsid w:val="00F6231B"/>
    <w:rsid w:val="00F62376"/>
    <w:rsid w:val="00F6285D"/>
    <w:rsid w:val="00F62DEB"/>
    <w:rsid w:val="00F62FF1"/>
    <w:rsid w:val="00F63995"/>
    <w:rsid w:val="00F63B2E"/>
    <w:rsid w:val="00F64326"/>
    <w:rsid w:val="00F645C9"/>
    <w:rsid w:val="00F64AFD"/>
    <w:rsid w:val="00F65623"/>
    <w:rsid w:val="00F65694"/>
    <w:rsid w:val="00F65865"/>
    <w:rsid w:val="00F660B8"/>
    <w:rsid w:val="00F664DD"/>
    <w:rsid w:val="00F66913"/>
    <w:rsid w:val="00F66916"/>
    <w:rsid w:val="00F66C63"/>
    <w:rsid w:val="00F66EF9"/>
    <w:rsid w:val="00F670B9"/>
    <w:rsid w:val="00F67304"/>
    <w:rsid w:val="00F674A2"/>
    <w:rsid w:val="00F676A6"/>
    <w:rsid w:val="00F67875"/>
    <w:rsid w:val="00F67B56"/>
    <w:rsid w:val="00F67B8B"/>
    <w:rsid w:val="00F70219"/>
    <w:rsid w:val="00F70271"/>
    <w:rsid w:val="00F70C80"/>
    <w:rsid w:val="00F70DAC"/>
    <w:rsid w:val="00F71394"/>
    <w:rsid w:val="00F714A6"/>
    <w:rsid w:val="00F71529"/>
    <w:rsid w:val="00F71EB7"/>
    <w:rsid w:val="00F728C9"/>
    <w:rsid w:val="00F72C49"/>
    <w:rsid w:val="00F7473E"/>
    <w:rsid w:val="00F75035"/>
    <w:rsid w:val="00F752DD"/>
    <w:rsid w:val="00F75797"/>
    <w:rsid w:val="00F77276"/>
    <w:rsid w:val="00F7756C"/>
    <w:rsid w:val="00F77CE4"/>
    <w:rsid w:val="00F80277"/>
    <w:rsid w:val="00F80E61"/>
    <w:rsid w:val="00F819A6"/>
    <w:rsid w:val="00F81BD3"/>
    <w:rsid w:val="00F820C0"/>
    <w:rsid w:val="00F827BF"/>
    <w:rsid w:val="00F834C7"/>
    <w:rsid w:val="00F83AC6"/>
    <w:rsid w:val="00F83E8D"/>
    <w:rsid w:val="00F8403E"/>
    <w:rsid w:val="00F84CE2"/>
    <w:rsid w:val="00F87CC5"/>
    <w:rsid w:val="00F87DEA"/>
    <w:rsid w:val="00F90103"/>
    <w:rsid w:val="00F909F1"/>
    <w:rsid w:val="00F91440"/>
    <w:rsid w:val="00F91FAA"/>
    <w:rsid w:val="00F92CE6"/>
    <w:rsid w:val="00F9311E"/>
    <w:rsid w:val="00F935F7"/>
    <w:rsid w:val="00F93891"/>
    <w:rsid w:val="00F93DCF"/>
    <w:rsid w:val="00F93E3F"/>
    <w:rsid w:val="00F95360"/>
    <w:rsid w:val="00F957B1"/>
    <w:rsid w:val="00F97455"/>
    <w:rsid w:val="00F97C29"/>
    <w:rsid w:val="00FA00C2"/>
    <w:rsid w:val="00FA0F8E"/>
    <w:rsid w:val="00FA16A6"/>
    <w:rsid w:val="00FA16F2"/>
    <w:rsid w:val="00FA20B0"/>
    <w:rsid w:val="00FA283B"/>
    <w:rsid w:val="00FA3071"/>
    <w:rsid w:val="00FA3193"/>
    <w:rsid w:val="00FA32EB"/>
    <w:rsid w:val="00FA58FC"/>
    <w:rsid w:val="00FA59EF"/>
    <w:rsid w:val="00FA5B44"/>
    <w:rsid w:val="00FA6073"/>
    <w:rsid w:val="00FA654E"/>
    <w:rsid w:val="00FA691F"/>
    <w:rsid w:val="00FA6CF7"/>
    <w:rsid w:val="00FB0077"/>
    <w:rsid w:val="00FB0D80"/>
    <w:rsid w:val="00FB0D94"/>
    <w:rsid w:val="00FB146C"/>
    <w:rsid w:val="00FB29B3"/>
    <w:rsid w:val="00FB357E"/>
    <w:rsid w:val="00FB3BBE"/>
    <w:rsid w:val="00FB429D"/>
    <w:rsid w:val="00FB44FC"/>
    <w:rsid w:val="00FB53DA"/>
    <w:rsid w:val="00FB5E4B"/>
    <w:rsid w:val="00FB5EB6"/>
    <w:rsid w:val="00FB6874"/>
    <w:rsid w:val="00FB6B5D"/>
    <w:rsid w:val="00FB710D"/>
    <w:rsid w:val="00FB730A"/>
    <w:rsid w:val="00FB75E9"/>
    <w:rsid w:val="00FB7883"/>
    <w:rsid w:val="00FC1001"/>
    <w:rsid w:val="00FC125F"/>
    <w:rsid w:val="00FC1624"/>
    <w:rsid w:val="00FC1653"/>
    <w:rsid w:val="00FC2316"/>
    <w:rsid w:val="00FC2623"/>
    <w:rsid w:val="00FC2D76"/>
    <w:rsid w:val="00FC32F5"/>
    <w:rsid w:val="00FC35F4"/>
    <w:rsid w:val="00FC39A9"/>
    <w:rsid w:val="00FC3DA2"/>
    <w:rsid w:val="00FC423C"/>
    <w:rsid w:val="00FC4FD7"/>
    <w:rsid w:val="00FC5230"/>
    <w:rsid w:val="00FC5D6B"/>
    <w:rsid w:val="00FC607C"/>
    <w:rsid w:val="00FC62C8"/>
    <w:rsid w:val="00FC6343"/>
    <w:rsid w:val="00FC6CBF"/>
    <w:rsid w:val="00FC6DA3"/>
    <w:rsid w:val="00FD1138"/>
    <w:rsid w:val="00FD1411"/>
    <w:rsid w:val="00FD14C8"/>
    <w:rsid w:val="00FD2396"/>
    <w:rsid w:val="00FD3AF6"/>
    <w:rsid w:val="00FD4D94"/>
    <w:rsid w:val="00FD57E0"/>
    <w:rsid w:val="00FD643F"/>
    <w:rsid w:val="00FD69A6"/>
    <w:rsid w:val="00FD7F7C"/>
    <w:rsid w:val="00FE0A65"/>
    <w:rsid w:val="00FE0CD0"/>
    <w:rsid w:val="00FE0EEE"/>
    <w:rsid w:val="00FE0F20"/>
    <w:rsid w:val="00FE1027"/>
    <w:rsid w:val="00FE15B0"/>
    <w:rsid w:val="00FE19E1"/>
    <w:rsid w:val="00FE2861"/>
    <w:rsid w:val="00FE2DCF"/>
    <w:rsid w:val="00FE31D2"/>
    <w:rsid w:val="00FE425C"/>
    <w:rsid w:val="00FE54A0"/>
    <w:rsid w:val="00FE56EC"/>
    <w:rsid w:val="00FE5E00"/>
    <w:rsid w:val="00FE6FC4"/>
    <w:rsid w:val="00FF0029"/>
    <w:rsid w:val="00FF006F"/>
    <w:rsid w:val="00FF045A"/>
    <w:rsid w:val="00FF11C1"/>
    <w:rsid w:val="00FF1F0B"/>
    <w:rsid w:val="00FF2617"/>
    <w:rsid w:val="00FF2919"/>
    <w:rsid w:val="00FF355D"/>
    <w:rsid w:val="00FF3A2C"/>
    <w:rsid w:val="00FF3A83"/>
    <w:rsid w:val="00FF4A28"/>
    <w:rsid w:val="00FF5738"/>
    <w:rsid w:val="00FF5D87"/>
    <w:rsid w:val="00FF66E6"/>
    <w:rsid w:val="00FF6D1B"/>
    <w:rsid w:val="02547436"/>
    <w:rsid w:val="03B646CD"/>
    <w:rsid w:val="0BF832E7"/>
    <w:rsid w:val="0DA61E47"/>
    <w:rsid w:val="0DF630A1"/>
    <w:rsid w:val="125C6256"/>
    <w:rsid w:val="12C12076"/>
    <w:rsid w:val="137B631C"/>
    <w:rsid w:val="13891D65"/>
    <w:rsid w:val="161C0D90"/>
    <w:rsid w:val="162D05A1"/>
    <w:rsid w:val="16784AB8"/>
    <w:rsid w:val="1BD32E2B"/>
    <w:rsid w:val="1D1E0382"/>
    <w:rsid w:val="229D5523"/>
    <w:rsid w:val="24C56F09"/>
    <w:rsid w:val="253723F0"/>
    <w:rsid w:val="26533D0F"/>
    <w:rsid w:val="2AC75C36"/>
    <w:rsid w:val="2B332A45"/>
    <w:rsid w:val="2CED6F55"/>
    <w:rsid w:val="3626433E"/>
    <w:rsid w:val="3A017AB2"/>
    <w:rsid w:val="3ABA0B3C"/>
    <w:rsid w:val="3BF9655B"/>
    <w:rsid w:val="3C085FC8"/>
    <w:rsid w:val="3D0A233B"/>
    <w:rsid w:val="3F7C18B9"/>
    <w:rsid w:val="3F803192"/>
    <w:rsid w:val="408539D9"/>
    <w:rsid w:val="41BC685D"/>
    <w:rsid w:val="45776D20"/>
    <w:rsid w:val="46275704"/>
    <w:rsid w:val="4867066A"/>
    <w:rsid w:val="4A672B07"/>
    <w:rsid w:val="4AEE5FBE"/>
    <w:rsid w:val="4AFF13AD"/>
    <w:rsid w:val="4B485EBC"/>
    <w:rsid w:val="4CEF0D01"/>
    <w:rsid w:val="4EBE3560"/>
    <w:rsid w:val="506011E4"/>
    <w:rsid w:val="50C60734"/>
    <w:rsid w:val="5280789E"/>
    <w:rsid w:val="540E50C5"/>
    <w:rsid w:val="583E4ECB"/>
    <w:rsid w:val="59465EA3"/>
    <w:rsid w:val="5A1F491C"/>
    <w:rsid w:val="5B5100EE"/>
    <w:rsid w:val="5E1D72BB"/>
    <w:rsid w:val="5E383909"/>
    <w:rsid w:val="5E492C67"/>
    <w:rsid w:val="6055437F"/>
    <w:rsid w:val="60627522"/>
    <w:rsid w:val="64606BEE"/>
    <w:rsid w:val="66323831"/>
    <w:rsid w:val="66812482"/>
    <w:rsid w:val="66832C38"/>
    <w:rsid w:val="66AB519F"/>
    <w:rsid w:val="673551CD"/>
    <w:rsid w:val="68936CED"/>
    <w:rsid w:val="692C77B8"/>
    <w:rsid w:val="6C7667FE"/>
    <w:rsid w:val="6C97776F"/>
    <w:rsid w:val="6CCC44D4"/>
    <w:rsid w:val="73557BC7"/>
    <w:rsid w:val="745C6DCE"/>
    <w:rsid w:val="74CB0B2C"/>
    <w:rsid w:val="78924A0F"/>
    <w:rsid w:val="78E47FA8"/>
    <w:rsid w:val="7AA47B3F"/>
    <w:rsid w:val="7B3C4B7B"/>
    <w:rsid w:val="7CCA35D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31"/>
    <w:qFormat/>
    <w:uiPriority w:val="9"/>
    <w:pPr>
      <w:widowControl/>
      <w:spacing w:before="100" w:beforeAutospacing="1" w:after="100" w:afterAutospacing="1"/>
      <w:jc w:val="left"/>
      <w:outlineLvl w:val="0"/>
    </w:pPr>
    <w:rPr>
      <w:rFonts w:ascii="宋体" w:hAnsi="宋体"/>
      <w:b/>
      <w:bCs/>
      <w:kern w:val="36"/>
      <w:sz w:val="48"/>
      <w:szCs w:val="48"/>
    </w:rPr>
  </w:style>
  <w:style w:type="paragraph" w:styleId="3">
    <w:name w:val="heading 2"/>
    <w:basedOn w:val="1"/>
    <w:next w:val="1"/>
    <w:link w:val="32"/>
    <w:qFormat/>
    <w:uiPriority w:val="9"/>
    <w:pPr>
      <w:keepNext/>
      <w:keepLines/>
      <w:spacing w:before="260" w:after="260" w:line="416" w:lineRule="auto"/>
      <w:jc w:val="center"/>
      <w:outlineLvl w:val="1"/>
    </w:pPr>
    <w:rPr>
      <w:rFonts w:ascii="Arial" w:hAnsi="Arial" w:eastAsia="黑体"/>
      <w:b/>
      <w:sz w:val="32"/>
    </w:rPr>
  </w:style>
  <w:style w:type="paragraph" w:styleId="4">
    <w:name w:val="heading 3"/>
    <w:basedOn w:val="1"/>
    <w:next w:val="1"/>
    <w:link w:val="33"/>
    <w:qFormat/>
    <w:uiPriority w:val="9"/>
    <w:pPr>
      <w:keepNext/>
      <w:keepLines/>
      <w:spacing w:before="260" w:after="260" w:line="416" w:lineRule="auto"/>
      <w:outlineLvl w:val="2"/>
    </w:pPr>
    <w:rPr>
      <w:b/>
      <w:bCs/>
      <w:sz w:val="32"/>
      <w:szCs w:val="32"/>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1260"/>
      <w:jc w:val="left"/>
    </w:pPr>
    <w:rPr>
      <w:rFonts w:asciiTheme="minorHAnsi" w:hAnsiTheme="minorHAnsi" w:cstheme="minorHAnsi"/>
      <w:sz w:val="18"/>
      <w:szCs w:val="18"/>
    </w:rPr>
  </w:style>
  <w:style w:type="paragraph" w:styleId="6">
    <w:name w:val="caption"/>
    <w:basedOn w:val="1"/>
    <w:next w:val="1"/>
    <w:unhideWhenUsed/>
    <w:qFormat/>
    <w:uiPriority w:val="35"/>
    <w:rPr>
      <w:rFonts w:eastAsia="黑体" w:asciiTheme="majorHAnsi" w:hAnsiTheme="majorHAnsi" w:cstheme="majorBidi"/>
      <w:sz w:val="20"/>
      <w:szCs w:val="20"/>
    </w:rPr>
  </w:style>
  <w:style w:type="paragraph" w:styleId="7">
    <w:name w:val="Document Map"/>
    <w:basedOn w:val="1"/>
    <w:link w:val="85"/>
    <w:semiHidden/>
    <w:unhideWhenUsed/>
    <w:qFormat/>
    <w:uiPriority w:val="99"/>
    <w:rPr>
      <w:rFonts w:ascii="宋体"/>
      <w:sz w:val="18"/>
      <w:szCs w:val="18"/>
    </w:rPr>
  </w:style>
  <w:style w:type="paragraph" w:styleId="8">
    <w:name w:val="annotation text"/>
    <w:basedOn w:val="1"/>
    <w:link w:val="82"/>
    <w:semiHidden/>
    <w:unhideWhenUsed/>
    <w:qFormat/>
    <w:uiPriority w:val="99"/>
    <w:pPr>
      <w:jc w:val="left"/>
    </w:pPr>
  </w:style>
  <w:style w:type="paragraph" w:styleId="9">
    <w:name w:val="Body Text"/>
    <w:basedOn w:val="1"/>
    <w:link w:val="34"/>
    <w:unhideWhenUsed/>
    <w:qFormat/>
    <w:uiPriority w:val="99"/>
    <w:pPr>
      <w:spacing w:before="120" w:after="120" w:line="360" w:lineRule="auto"/>
      <w:jc w:val="left"/>
    </w:pPr>
    <w:rPr>
      <w:rFonts w:ascii="宋体" w:hAnsi="宋体"/>
      <w:color w:val="000000"/>
      <w:sz w:val="24"/>
    </w:rPr>
  </w:style>
  <w:style w:type="paragraph" w:styleId="10">
    <w:name w:val="toc 5"/>
    <w:basedOn w:val="1"/>
    <w:next w:val="1"/>
    <w:unhideWhenUsed/>
    <w:qFormat/>
    <w:uiPriority w:val="39"/>
    <w:pPr>
      <w:ind w:left="840"/>
      <w:jc w:val="left"/>
    </w:pPr>
    <w:rPr>
      <w:rFonts w:asciiTheme="minorHAnsi" w:hAnsiTheme="minorHAnsi" w:cstheme="minorHAnsi"/>
      <w:sz w:val="18"/>
      <w:szCs w:val="18"/>
    </w:rPr>
  </w:style>
  <w:style w:type="paragraph" w:styleId="11">
    <w:name w:val="toc 3"/>
    <w:basedOn w:val="1"/>
    <w:next w:val="1"/>
    <w:unhideWhenUsed/>
    <w:qFormat/>
    <w:uiPriority w:val="39"/>
    <w:pPr>
      <w:ind w:left="420"/>
      <w:jc w:val="left"/>
    </w:pPr>
    <w:rPr>
      <w:rFonts w:asciiTheme="minorHAnsi" w:hAnsiTheme="minorHAnsi" w:cstheme="minorHAnsi"/>
      <w:i/>
      <w:iCs/>
      <w:sz w:val="20"/>
      <w:szCs w:val="20"/>
    </w:rPr>
  </w:style>
  <w:style w:type="paragraph" w:styleId="12">
    <w:name w:val="toc 8"/>
    <w:basedOn w:val="1"/>
    <w:next w:val="1"/>
    <w:unhideWhenUsed/>
    <w:qFormat/>
    <w:uiPriority w:val="39"/>
    <w:pPr>
      <w:ind w:left="1470"/>
      <w:jc w:val="left"/>
    </w:pPr>
    <w:rPr>
      <w:rFonts w:asciiTheme="minorHAnsi" w:hAnsiTheme="minorHAnsi" w:cstheme="minorHAnsi"/>
      <w:sz w:val="18"/>
      <w:szCs w:val="18"/>
    </w:rPr>
  </w:style>
  <w:style w:type="paragraph" w:styleId="13">
    <w:name w:val="Date"/>
    <w:basedOn w:val="1"/>
    <w:next w:val="1"/>
    <w:link w:val="35"/>
    <w:unhideWhenUsed/>
    <w:qFormat/>
    <w:uiPriority w:val="99"/>
    <w:pPr>
      <w:ind w:left="100" w:leftChars="2500"/>
    </w:pPr>
    <w:rPr>
      <w:rFonts w:asciiTheme="minorHAnsi" w:hAnsiTheme="minorHAnsi" w:eastAsiaTheme="minorEastAsia" w:cstheme="minorBidi"/>
    </w:rPr>
  </w:style>
  <w:style w:type="paragraph" w:styleId="14">
    <w:name w:val="Balloon Text"/>
    <w:basedOn w:val="1"/>
    <w:link w:val="37"/>
    <w:semiHidden/>
    <w:unhideWhenUsed/>
    <w:qFormat/>
    <w:uiPriority w:val="99"/>
    <w:rPr>
      <w:sz w:val="18"/>
      <w:szCs w:val="18"/>
    </w:rPr>
  </w:style>
  <w:style w:type="paragraph" w:styleId="15">
    <w:name w:val="footer"/>
    <w:basedOn w:val="1"/>
    <w:link w:val="38"/>
    <w:unhideWhenUsed/>
    <w:qFormat/>
    <w:uiPriority w:val="99"/>
    <w:pPr>
      <w:tabs>
        <w:tab w:val="center" w:pos="4153"/>
        <w:tab w:val="right" w:pos="8306"/>
      </w:tabs>
      <w:snapToGrid w:val="0"/>
      <w:jc w:val="left"/>
    </w:pPr>
    <w:rPr>
      <w:sz w:val="18"/>
      <w:szCs w:val="18"/>
    </w:rPr>
  </w:style>
  <w:style w:type="paragraph" w:styleId="16">
    <w:name w:val="header"/>
    <w:basedOn w:val="1"/>
    <w:link w:val="39"/>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spacing w:before="120" w:after="120"/>
      <w:jc w:val="left"/>
    </w:pPr>
    <w:rPr>
      <w:rFonts w:asciiTheme="minorHAnsi" w:hAnsiTheme="minorHAnsi" w:cstheme="minorHAnsi"/>
      <w:b/>
      <w:bCs/>
      <w:caps/>
      <w:sz w:val="20"/>
      <w:szCs w:val="20"/>
    </w:rPr>
  </w:style>
  <w:style w:type="paragraph" w:styleId="18">
    <w:name w:val="toc 4"/>
    <w:basedOn w:val="1"/>
    <w:next w:val="1"/>
    <w:unhideWhenUsed/>
    <w:qFormat/>
    <w:uiPriority w:val="39"/>
    <w:pPr>
      <w:ind w:left="630"/>
      <w:jc w:val="left"/>
    </w:pPr>
    <w:rPr>
      <w:rFonts w:asciiTheme="minorHAnsi" w:hAnsiTheme="minorHAnsi" w:cstheme="minorHAnsi"/>
      <w:sz w:val="18"/>
      <w:szCs w:val="18"/>
    </w:rPr>
  </w:style>
  <w:style w:type="paragraph" w:styleId="19">
    <w:name w:val="toc 6"/>
    <w:basedOn w:val="1"/>
    <w:next w:val="1"/>
    <w:unhideWhenUsed/>
    <w:qFormat/>
    <w:uiPriority w:val="39"/>
    <w:pPr>
      <w:ind w:left="1050"/>
      <w:jc w:val="left"/>
    </w:pPr>
    <w:rPr>
      <w:rFonts w:asciiTheme="minorHAnsi" w:hAnsiTheme="minorHAnsi" w:cstheme="minorHAnsi"/>
      <w:sz w:val="18"/>
      <w:szCs w:val="18"/>
    </w:rPr>
  </w:style>
  <w:style w:type="paragraph" w:styleId="20">
    <w:name w:val="toc 2"/>
    <w:basedOn w:val="1"/>
    <w:next w:val="1"/>
    <w:qFormat/>
    <w:uiPriority w:val="39"/>
    <w:pPr>
      <w:ind w:left="210"/>
      <w:jc w:val="left"/>
    </w:pPr>
    <w:rPr>
      <w:rFonts w:asciiTheme="minorHAnsi" w:hAnsiTheme="minorHAnsi" w:cstheme="minorHAnsi"/>
      <w:smallCaps/>
      <w:sz w:val="20"/>
      <w:szCs w:val="20"/>
    </w:rPr>
  </w:style>
  <w:style w:type="paragraph" w:styleId="21">
    <w:name w:val="toc 9"/>
    <w:basedOn w:val="1"/>
    <w:next w:val="1"/>
    <w:unhideWhenUsed/>
    <w:qFormat/>
    <w:uiPriority w:val="39"/>
    <w:pPr>
      <w:ind w:left="1680"/>
      <w:jc w:val="left"/>
    </w:pPr>
    <w:rPr>
      <w:rFonts w:asciiTheme="minorHAnsi" w:hAnsiTheme="minorHAnsi" w:cstheme="minorHAnsi"/>
      <w:sz w:val="18"/>
      <w:szCs w:val="18"/>
    </w:rPr>
  </w:style>
  <w:style w:type="paragraph" w:styleId="22">
    <w:name w:val="Normal (Web)"/>
    <w:basedOn w:val="1"/>
    <w:unhideWhenUsed/>
    <w:qFormat/>
    <w:uiPriority w:val="0"/>
    <w:pPr>
      <w:widowControl/>
      <w:spacing w:before="100" w:beforeAutospacing="1" w:after="100" w:afterAutospacing="1"/>
      <w:jc w:val="left"/>
    </w:pPr>
    <w:rPr>
      <w:rFonts w:ascii="宋体" w:hAnsi="宋体" w:cs="宋体"/>
      <w:kern w:val="0"/>
      <w:sz w:val="24"/>
      <w:szCs w:val="24"/>
    </w:rPr>
  </w:style>
  <w:style w:type="paragraph" w:styleId="23">
    <w:name w:val="annotation subject"/>
    <w:basedOn w:val="8"/>
    <w:next w:val="8"/>
    <w:link w:val="83"/>
    <w:semiHidden/>
    <w:unhideWhenUsed/>
    <w:qFormat/>
    <w:uiPriority w:val="99"/>
    <w:rPr>
      <w:b/>
      <w:bCs/>
    </w:rPr>
  </w:style>
  <w:style w:type="table" w:styleId="25">
    <w:name w:val="Table Grid"/>
    <w:basedOn w:val="24"/>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page number"/>
    <w:qFormat/>
    <w:uiPriority w:val="0"/>
    <w:rPr>
      <w:rFonts w:cs="Times New Roman"/>
    </w:rPr>
  </w:style>
  <w:style w:type="character" w:styleId="28">
    <w:name w:val="Emphasis"/>
    <w:qFormat/>
    <w:uiPriority w:val="20"/>
    <w:rPr>
      <w:i/>
      <w:iCs/>
    </w:rPr>
  </w:style>
  <w:style w:type="character" w:styleId="29">
    <w:name w:val="Hyperlink"/>
    <w:unhideWhenUsed/>
    <w:qFormat/>
    <w:uiPriority w:val="99"/>
    <w:rPr>
      <w:color w:val="0000FF"/>
      <w:u w:val="single"/>
    </w:rPr>
  </w:style>
  <w:style w:type="character" w:styleId="30">
    <w:name w:val="annotation reference"/>
    <w:unhideWhenUsed/>
    <w:qFormat/>
    <w:uiPriority w:val="0"/>
    <w:rPr>
      <w:sz w:val="21"/>
      <w:szCs w:val="21"/>
    </w:rPr>
  </w:style>
  <w:style w:type="character" w:customStyle="1" w:styleId="31">
    <w:name w:val="标题 1 Char"/>
    <w:basedOn w:val="26"/>
    <w:link w:val="2"/>
    <w:qFormat/>
    <w:uiPriority w:val="9"/>
    <w:rPr>
      <w:rFonts w:ascii="宋体" w:hAnsi="宋体" w:eastAsia="宋体" w:cs="Times New Roman"/>
      <w:b/>
      <w:bCs/>
      <w:kern w:val="36"/>
      <w:sz w:val="48"/>
      <w:szCs w:val="48"/>
    </w:rPr>
  </w:style>
  <w:style w:type="character" w:customStyle="1" w:styleId="32">
    <w:name w:val="标题 2 Char"/>
    <w:basedOn w:val="26"/>
    <w:link w:val="3"/>
    <w:qFormat/>
    <w:uiPriority w:val="9"/>
    <w:rPr>
      <w:rFonts w:ascii="Arial" w:hAnsi="Arial" w:eastAsia="黑体" w:cs="Times New Roman"/>
      <w:b/>
      <w:sz w:val="32"/>
    </w:rPr>
  </w:style>
  <w:style w:type="character" w:customStyle="1" w:styleId="33">
    <w:name w:val="标题 3 Char"/>
    <w:basedOn w:val="26"/>
    <w:link w:val="4"/>
    <w:qFormat/>
    <w:uiPriority w:val="9"/>
    <w:rPr>
      <w:rFonts w:ascii="Times New Roman" w:hAnsi="Times New Roman" w:eastAsia="宋体" w:cs="Times New Roman"/>
      <w:b/>
      <w:bCs/>
      <w:sz w:val="32"/>
      <w:szCs w:val="32"/>
    </w:rPr>
  </w:style>
  <w:style w:type="character" w:customStyle="1" w:styleId="34">
    <w:name w:val="正文文本 Char"/>
    <w:basedOn w:val="26"/>
    <w:link w:val="9"/>
    <w:qFormat/>
    <w:uiPriority w:val="99"/>
    <w:rPr>
      <w:rFonts w:ascii="宋体" w:hAnsi="宋体" w:eastAsia="宋体" w:cs="Times New Roman"/>
      <w:color w:val="000000"/>
      <w:sz w:val="24"/>
    </w:rPr>
  </w:style>
  <w:style w:type="character" w:customStyle="1" w:styleId="35">
    <w:name w:val="日期 Char1"/>
    <w:basedOn w:val="26"/>
    <w:link w:val="13"/>
    <w:qFormat/>
    <w:uiPriority w:val="99"/>
  </w:style>
  <w:style w:type="character" w:customStyle="1" w:styleId="36">
    <w:name w:val="日期 Char"/>
    <w:basedOn w:val="26"/>
    <w:qFormat/>
    <w:uiPriority w:val="99"/>
    <w:rPr>
      <w:rFonts w:ascii="Times New Roman" w:hAnsi="Times New Roman" w:eastAsia="宋体" w:cs="Times New Roman"/>
    </w:rPr>
  </w:style>
  <w:style w:type="character" w:customStyle="1" w:styleId="37">
    <w:name w:val="批注框文本 Char"/>
    <w:basedOn w:val="26"/>
    <w:link w:val="14"/>
    <w:semiHidden/>
    <w:qFormat/>
    <w:uiPriority w:val="99"/>
    <w:rPr>
      <w:rFonts w:ascii="Times New Roman" w:hAnsi="Times New Roman" w:eastAsia="宋体" w:cs="Times New Roman"/>
      <w:sz w:val="18"/>
      <w:szCs w:val="18"/>
    </w:rPr>
  </w:style>
  <w:style w:type="character" w:customStyle="1" w:styleId="38">
    <w:name w:val="页脚 Char"/>
    <w:basedOn w:val="26"/>
    <w:link w:val="15"/>
    <w:qFormat/>
    <w:uiPriority w:val="99"/>
    <w:rPr>
      <w:rFonts w:ascii="Times New Roman" w:hAnsi="Times New Roman" w:eastAsia="宋体" w:cs="Times New Roman"/>
      <w:sz w:val="18"/>
      <w:szCs w:val="18"/>
    </w:rPr>
  </w:style>
  <w:style w:type="character" w:customStyle="1" w:styleId="39">
    <w:name w:val="页眉 Char"/>
    <w:basedOn w:val="26"/>
    <w:link w:val="16"/>
    <w:qFormat/>
    <w:uiPriority w:val="99"/>
    <w:rPr>
      <w:rFonts w:ascii="Times New Roman" w:hAnsi="Times New Roman" w:eastAsia="宋体" w:cs="Times New Roman"/>
      <w:sz w:val="18"/>
      <w:szCs w:val="18"/>
    </w:rPr>
  </w:style>
  <w:style w:type="character" w:customStyle="1" w:styleId="40">
    <w:name w:val="font11"/>
    <w:basedOn w:val="26"/>
    <w:qFormat/>
    <w:uiPriority w:val="0"/>
    <w:rPr>
      <w:rFonts w:hint="default" w:ascii="Times New Roman" w:hAnsi="Times New Roman" w:cs="Times New Roman"/>
      <w:color w:val="000000"/>
      <w:sz w:val="22"/>
      <w:szCs w:val="22"/>
      <w:u w:val="none"/>
    </w:rPr>
  </w:style>
  <w:style w:type="character" w:customStyle="1" w:styleId="41">
    <w:name w:val="Table caption|2 + MingLiU"/>
    <w:basedOn w:val="42"/>
    <w:unhideWhenUsed/>
    <w:qFormat/>
    <w:uiPriority w:val="0"/>
    <w:rPr>
      <w:rFonts w:ascii="MingLiU" w:hAnsi="MingLiU" w:eastAsia="MingLiU" w:cs="MingLiU"/>
      <w:color w:val="000000"/>
      <w:spacing w:val="0"/>
      <w:w w:val="100"/>
      <w:position w:val="0"/>
      <w:sz w:val="34"/>
      <w:szCs w:val="34"/>
      <w:shd w:val="clear" w:color="auto" w:fill="FFFFFF"/>
      <w:lang w:val="en-US" w:eastAsia="en-US" w:bidi="en-US"/>
    </w:rPr>
  </w:style>
  <w:style w:type="character" w:customStyle="1" w:styleId="42">
    <w:name w:val="Table caption|2_"/>
    <w:basedOn w:val="26"/>
    <w:link w:val="43"/>
    <w:qFormat/>
    <w:uiPriority w:val="0"/>
    <w:rPr>
      <w:rFonts w:ascii="PMingLiU" w:hAnsi="PMingLiU" w:eastAsia="PMingLiU" w:cs="PMingLiU"/>
      <w:spacing w:val="20"/>
      <w:sz w:val="34"/>
      <w:szCs w:val="34"/>
      <w:shd w:val="clear" w:color="auto" w:fill="FFFFFF"/>
    </w:rPr>
  </w:style>
  <w:style w:type="paragraph" w:customStyle="1" w:styleId="43">
    <w:name w:val="Table caption|2"/>
    <w:basedOn w:val="1"/>
    <w:link w:val="42"/>
    <w:qFormat/>
    <w:uiPriority w:val="0"/>
    <w:pPr>
      <w:shd w:val="clear" w:color="auto" w:fill="FFFFFF"/>
      <w:spacing w:line="340" w:lineRule="exact"/>
    </w:pPr>
    <w:rPr>
      <w:rFonts w:ascii="PMingLiU" w:hAnsi="PMingLiU" w:eastAsia="PMingLiU" w:cs="PMingLiU"/>
      <w:spacing w:val="20"/>
      <w:sz w:val="34"/>
      <w:szCs w:val="34"/>
    </w:rPr>
  </w:style>
  <w:style w:type="character" w:customStyle="1" w:styleId="44">
    <w:name w:val="t"/>
    <w:basedOn w:val="26"/>
    <w:qFormat/>
    <w:uiPriority w:val="0"/>
  </w:style>
  <w:style w:type="character" w:customStyle="1" w:styleId="45">
    <w:name w:val="Body text|2 + Spacing 4 pt"/>
    <w:basedOn w:val="46"/>
    <w:unhideWhenUsed/>
    <w:qFormat/>
    <w:uiPriority w:val="0"/>
    <w:rPr>
      <w:rFonts w:ascii="PMingLiU" w:hAnsi="PMingLiU" w:eastAsia="PMingLiU" w:cs="PMingLiU"/>
      <w:color w:val="000000"/>
      <w:spacing w:val="80"/>
      <w:w w:val="100"/>
      <w:position w:val="0"/>
      <w:sz w:val="38"/>
      <w:szCs w:val="38"/>
      <w:shd w:val="clear" w:color="auto" w:fill="FFFFFF"/>
      <w:lang w:val="zh-CN" w:eastAsia="zh-CN" w:bidi="zh-CN"/>
    </w:rPr>
  </w:style>
  <w:style w:type="character" w:customStyle="1" w:styleId="46">
    <w:name w:val="Body text|2_"/>
    <w:basedOn w:val="26"/>
    <w:link w:val="47"/>
    <w:qFormat/>
    <w:uiPriority w:val="0"/>
    <w:rPr>
      <w:rFonts w:ascii="PMingLiU" w:hAnsi="PMingLiU" w:eastAsia="PMingLiU" w:cs="PMingLiU"/>
      <w:spacing w:val="20"/>
      <w:sz w:val="38"/>
      <w:szCs w:val="38"/>
      <w:shd w:val="clear" w:color="auto" w:fill="FFFFFF"/>
    </w:rPr>
  </w:style>
  <w:style w:type="paragraph" w:customStyle="1" w:styleId="47">
    <w:name w:val="Body text|2"/>
    <w:basedOn w:val="1"/>
    <w:link w:val="46"/>
    <w:qFormat/>
    <w:uiPriority w:val="0"/>
    <w:pPr>
      <w:shd w:val="clear" w:color="auto" w:fill="FFFFFF"/>
      <w:spacing w:before="420" w:after="6600" w:line="380" w:lineRule="exact"/>
      <w:ind w:hanging="860"/>
      <w:jc w:val="right"/>
    </w:pPr>
    <w:rPr>
      <w:rFonts w:ascii="PMingLiU" w:hAnsi="PMingLiU" w:eastAsia="PMingLiU" w:cs="PMingLiU"/>
      <w:spacing w:val="20"/>
      <w:sz w:val="38"/>
      <w:szCs w:val="38"/>
    </w:rPr>
  </w:style>
  <w:style w:type="character" w:customStyle="1" w:styleId="48">
    <w:name w:val="Body text|2 + 17 pt"/>
    <w:basedOn w:val="46"/>
    <w:unhideWhenUsed/>
    <w:qFormat/>
    <w:uiPriority w:val="0"/>
    <w:rPr>
      <w:rFonts w:ascii="PMingLiU" w:hAnsi="PMingLiU" w:eastAsia="PMingLiU" w:cs="PMingLiU"/>
      <w:color w:val="000000"/>
      <w:spacing w:val="20"/>
      <w:w w:val="100"/>
      <w:position w:val="0"/>
      <w:sz w:val="34"/>
      <w:szCs w:val="34"/>
      <w:shd w:val="clear" w:color="auto" w:fill="FFFFFF"/>
      <w:lang w:val="zh-CN" w:eastAsia="zh-CN" w:bidi="zh-CN"/>
    </w:rPr>
  </w:style>
  <w:style w:type="character" w:customStyle="1" w:styleId="49">
    <w:name w:val="font21"/>
    <w:basedOn w:val="26"/>
    <w:qFormat/>
    <w:uiPriority w:val="0"/>
    <w:rPr>
      <w:rFonts w:hint="eastAsia" w:ascii="宋体" w:hAnsi="宋体" w:eastAsia="宋体" w:cs="宋体"/>
      <w:color w:val="000000"/>
      <w:sz w:val="22"/>
      <w:szCs w:val="22"/>
      <w:u w:val="none"/>
    </w:rPr>
  </w:style>
  <w:style w:type="character" w:customStyle="1" w:styleId="50">
    <w:name w:val="javascript"/>
    <w:basedOn w:val="26"/>
    <w:qFormat/>
    <w:uiPriority w:val="0"/>
  </w:style>
  <w:style w:type="character" w:customStyle="1" w:styleId="51">
    <w:name w:val="段 Char"/>
    <w:link w:val="52"/>
    <w:qFormat/>
    <w:uiPriority w:val="0"/>
    <w:rPr>
      <w:rFonts w:ascii="宋体"/>
    </w:rPr>
  </w:style>
  <w:style w:type="paragraph" w:customStyle="1" w:styleId="52">
    <w:name w:val="段"/>
    <w:link w:val="51"/>
    <w:qFormat/>
    <w:uiPriority w:val="0"/>
    <w:pPr>
      <w:tabs>
        <w:tab w:val="center" w:pos="4201"/>
        <w:tab w:val="right" w:leader="dot" w:pos="9298"/>
      </w:tabs>
      <w:autoSpaceDE w:val="0"/>
      <w:autoSpaceDN w:val="0"/>
      <w:ind w:firstLine="420" w:firstLineChars="200"/>
      <w:jc w:val="both"/>
    </w:pPr>
    <w:rPr>
      <w:rFonts w:ascii="宋体" w:hAnsiTheme="minorHAnsi" w:eastAsiaTheme="minorEastAsia" w:cstheme="minorBidi"/>
      <w:kern w:val="2"/>
      <w:sz w:val="21"/>
      <w:szCs w:val="22"/>
      <w:lang w:val="en-US" w:eastAsia="zh-CN" w:bidi="ar-SA"/>
    </w:rPr>
  </w:style>
  <w:style w:type="character" w:customStyle="1" w:styleId="53">
    <w:name w:val="Body text|2 + MingLiU"/>
    <w:basedOn w:val="46"/>
    <w:unhideWhenUsed/>
    <w:qFormat/>
    <w:uiPriority w:val="0"/>
    <w:rPr>
      <w:rFonts w:ascii="MingLiU" w:hAnsi="MingLiU" w:eastAsia="MingLiU" w:cs="MingLiU"/>
      <w:color w:val="000000"/>
      <w:spacing w:val="0"/>
      <w:w w:val="100"/>
      <w:position w:val="0"/>
      <w:sz w:val="34"/>
      <w:szCs w:val="34"/>
      <w:shd w:val="clear" w:color="auto" w:fill="FFFFFF"/>
      <w:lang w:val="en-US" w:eastAsia="en-US" w:bidi="en-US"/>
    </w:rPr>
  </w:style>
  <w:style w:type="character" w:customStyle="1" w:styleId="54">
    <w:name w:val="Body text|6_"/>
    <w:basedOn w:val="26"/>
    <w:link w:val="55"/>
    <w:qFormat/>
    <w:uiPriority w:val="0"/>
    <w:rPr>
      <w:rFonts w:ascii="PMingLiU" w:hAnsi="PMingLiU" w:eastAsia="PMingLiU" w:cs="PMingLiU"/>
      <w:spacing w:val="20"/>
      <w:sz w:val="36"/>
      <w:szCs w:val="36"/>
      <w:shd w:val="clear" w:color="auto" w:fill="FFFFFF"/>
    </w:rPr>
  </w:style>
  <w:style w:type="paragraph" w:customStyle="1" w:styleId="55">
    <w:name w:val="Body text|6"/>
    <w:basedOn w:val="1"/>
    <w:link w:val="54"/>
    <w:qFormat/>
    <w:uiPriority w:val="0"/>
    <w:pPr>
      <w:shd w:val="clear" w:color="auto" w:fill="FFFFFF"/>
      <w:spacing w:line="940" w:lineRule="exact"/>
    </w:pPr>
    <w:rPr>
      <w:rFonts w:ascii="PMingLiU" w:hAnsi="PMingLiU" w:eastAsia="PMingLiU" w:cs="PMingLiU"/>
      <w:spacing w:val="20"/>
      <w:sz w:val="36"/>
      <w:szCs w:val="36"/>
    </w:rPr>
  </w:style>
  <w:style w:type="character" w:customStyle="1" w:styleId="56">
    <w:name w:val="样式3 Char"/>
    <w:link w:val="57"/>
    <w:qFormat/>
    <w:locked/>
    <w:uiPriority w:val="99"/>
    <w:rPr>
      <w:rFonts w:ascii="宋体" w:hAnsi="宋体"/>
    </w:rPr>
  </w:style>
  <w:style w:type="paragraph" w:customStyle="1" w:styleId="57">
    <w:name w:val="样式3"/>
    <w:basedOn w:val="1"/>
    <w:link w:val="56"/>
    <w:qFormat/>
    <w:uiPriority w:val="99"/>
    <w:pPr>
      <w:ind w:firstLine="420"/>
      <w:jc w:val="left"/>
    </w:pPr>
    <w:rPr>
      <w:rFonts w:ascii="宋体" w:hAnsi="宋体" w:eastAsiaTheme="minorEastAsia" w:cstheme="minorBidi"/>
    </w:rPr>
  </w:style>
  <w:style w:type="character" w:customStyle="1" w:styleId="58">
    <w:name w:val="Body text|2 + SimSun"/>
    <w:basedOn w:val="46"/>
    <w:unhideWhenUsed/>
    <w:qFormat/>
    <w:uiPriority w:val="0"/>
    <w:rPr>
      <w:rFonts w:ascii="宋体" w:hAnsi="宋体" w:eastAsia="宋体" w:cs="宋体"/>
      <w:color w:val="000000"/>
      <w:spacing w:val="20"/>
      <w:w w:val="100"/>
      <w:position w:val="0"/>
      <w:sz w:val="42"/>
      <w:szCs w:val="42"/>
      <w:shd w:val="clear" w:color="auto" w:fill="FFFFFF"/>
      <w:lang w:val="zh-CN" w:eastAsia="zh-CN" w:bidi="zh-CN"/>
    </w:rPr>
  </w:style>
  <w:style w:type="character" w:customStyle="1" w:styleId="59">
    <w:name w:val="Body text|6 + Spacing 4 pt"/>
    <w:basedOn w:val="54"/>
    <w:unhideWhenUsed/>
    <w:qFormat/>
    <w:uiPriority w:val="0"/>
    <w:rPr>
      <w:rFonts w:ascii="PMingLiU" w:hAnsi="PMingLiU" w:eastAsia="PMingLiU" w:cs="PMingLiU"/>
      <w:color w:val="000000"/>
      <w:spacing w:val="80"/>
      <w:w w:val="100"/>
      <w:position w:val="0"/>
      <w:sz w:val="36"/>
      <w:szCs w:val="36"/>
      <w:shd w:val="clear" w:color="auto" w:fill="FFFFFF"/>
      <w:lang w:val="zh-CN" w:eastAsia="zh-CN" w:bidi="zh-CN"/>
    </w:rPr>
  </w:style>
  <w:style w:type="paragraph" w:customStyle="1" w:styleId="60">
    <w:name w:val="正文表标题"/>
    <w:next w:val="52"/>
    <w:qFormat/>
    <w:uiPriority w:val="0"/>
    <w:p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61">
    <w:name w:val="列出段落1"/>
    <w:basedOn w:val="1"/>
    <w:qFormat/>
    <w:uiPriority w:val="99"/>
    <w:pPr>
      <w:ind w:firstLine="420" w:firstLineChars="200"/>
    </w:pPr>
  </w:style>
  <w:style w:type="paragraph" w:customStyle="1" w:styleId="62">
    <w:name w:val="样式 论文正文"/>
    <w:basedOn w:val="1"/>
    <w:qFormat/>
    <w:uiPriority w:val="0"/>
    <w:pPr>
      <w:spacing w:line="400" w:lineRule="exact"/>
      <w:ind w:firstLine="480" w:firstLineChars="200"/>
    </w:pPr>
    <w:rPr>
      <w:rFonts w:cs="宋体"/>
      <w:sz w:val="24"/>
      <w:szCs w:val="20"/>
    </w:rPr>
  </w:style>
  <w:style w:type="paragraph" w:customStyle="1" w:styleId="63">
    <w:name w:val="p12"/>
    <w:basedOn w:val="1"/>
    <w:qFormat/>
    <w:uiPriority w:val="0"/>
    <w:pPr>
      <w:widowControl/>
      <w:spacing w:before="100" w:beforeAutospacing="1" w:after="100" w:afterAutospacing="1" w:line="330" w:lineRule="atLeast"/>
      <w:jc w:val="left"/>
    </w:pPr>
    <w:rPr>
      <w:kern w:val="0"/>
      <w:sz w:val="18"/>
      <w:szCs w:val="18"/>
    </w:rPr>
  </w:style>
  <w:style w:type="paragraph" w:customStyle="1" w:styleId="64">
    <w:name w:val="正文 + 行距: 固定值 24 磅"/>
    <w:basedOn w:val="1"/>
    <w:qFormat/>
    <w:uiPriority w:val="0"/>
    <w:pPr>
      <w:spacing w:line="480" w:lineRule="auto"/>
      <w:ind w:left="420"/>
    </w:pPr>
    <w:rPr>
      <w:rFonts w:ascii="宋体" w:hAnsi="宋体"/>
      <w:sz w:val="24"/>
    </w:rPr>
  </w:style>
  <w:style w:type="paragraph" w:customStyle="1" w:styleId="65">
    <w:name w:val="一级条标题"/>
    <w:next w:val="52"/>
    <w:qFormat/>
    <w:uiPriority w:val="0"/>
    <w:pPr>
      <w:spacing w:beforeLines="50" w:afterLines="50"/>
      <w:outlineLvl w:val="2"/>
    </w:pPr>
    <w:rPr>
      <w:rFonts w:ascii="黑体" w:hAnsi="Times New Roman" w:eastAsia="黑体" w:cs="Times New Roman"/>
      <w:sz w:val="21"/>
      <w:szCs w:val="21"/>
      <w:lang w:val="en-US" w:eastAsia="zh-CN" w:bidi="ar-SA"/>
    </w:rPr>
  </w:style>
  <w:style w:type="paragraph" w:styleId="66">
    <w:name w:val="List Paragraph"/>
    <w:basedOn w:val="1"/>
    <w:qFormat/>
    <w:uiPriority w:val="99"/>
    <w:pPr>
      <w:ind w:firstLine="420" w:firstLineChars="200"/>
    </w:pPr>
    <w:rPr>
      <w:rFonts w:ascii="宋体" w:hAnsi="宋体"/>
      <w:sz w:val="24"/>
      <w:szCs w:val="24"/>
    </w:rPr>
  </w:style>
  <w:style w:type="paragraph" w:customStyle="1" w:styleId="67">
    <w:name w:val="Body"/>
    <w:basedOn w:val="1"/>
    <w:link w:val="68"/>
    <w:qFormat/>
    <w:uiPriority w:val="99"/>
    <w:pPr>
      <w:numPr>
        <w:ilvl w:val="2"/>
        <w:numId w:val="1"/>
      </w:numPr>
      <w:tabs>
        <w:tab w:val="left" w:pos="3261"/>
      </w:tabs>
      <w:adjustRightInd w:val="0"/>
      <w:spacing w:line="360" w:lineRule="auto"/>
      <w:outlineLvl w:val="2"/>
    </w:pPr>
    <w:rPr>
      <w:color w:val="000000"/>
      <w:sz w:val="24"/>
      <w:szCs w:val="20"/>
    </w:rPr>
  </w:style>
  <w:style w:type="character" w:customStyle="1" w:styleId="68">
    <w:name w:val="Body Char"/>
    <w:link w:val="67"/>
    <w:qFormat/>
    <w:locked/>
    <w:uiPriority w:val="99"/>
    <w:rPr>
      <w:rFonts w:ascii="Times New Roman" w:hAnsi="Times New Roman" w:eastAsia="宋体" w:cs="Times New Roman"/>
      <w:color w:val="000000"/>
      <w:sz w:val="24"/>
      <w:szCs w:val="20"/>
    </w:rPr>
  </w:style>
  <w:style w:type="paragraph" w:customStyle="1" w:styleId="69">
    <w:name w:val="article title"/>
    <w:basedOn w:val="1"/>
    <w:qFormat/>
    <w:uiPriority w:val="99"/>
    <w:pPr>
      <w:widowControl/>
      <w:numPr>
        <w:ilvl w:val="0"/>
        <w:numId w:val="1"/>
      </w:numPr>
      <w:spacing w:line="360" w:lineRule="auto"/>
      <w:jc w:val="center"/>
      <w:outlineLvl w:val="0"/>
    </w:pPr>
    <w:rPr>
      <w:rFonts w:ascii="黑体" w:hAnsi="黑体" w:eastAsia="黑体"/>
      <w:b/>
      <w:color w:val="000000"/>
      <w:kern w:val="0"/>
      <w:sz w:val="28"/>
      <w:szCs w:val="20"/>
      <w:lang w:eastAsia="en-US"/>
    </w:rPr>
  </w:style>
  <w:style w:type="paragraph" w:customStyle="1" w:styleId="70">
    <w:name w:val="charter title"/>
    <w:basedOn w:val="1"/>
    <w:qFormat/>
    <w:uiPriority w:val="99"/>
    <w:pPr>
      <w:numPr>
        <w:ilvl w:val="1"/>
        <w:numId w:val="1"/>
      </w:numPr>
      <w:spacing w:before="312" w:after="312" w:line="360" w:lineRule="auto"/>
      <w:ind w:firstLine="0"/>
      <w:jc w:val="center"/>
      <w:outlineLvl w:val="1"/>
    </w:pPr>
    <w:rPr>
      <w:rFonts w:ascii="黑体" w:hAnsi="黑体" w:eastAsia="黑体"/>
      <w:b/>
      <w:color w:val="000000"/>
      <w:sz w:val="24"/>
      <w:szCs w:val="20"/>
    </w:rPr>
  </w:style>
  <w:style w:type="character" w:customStyle="1" w:styleId="71">
    <w:name w:val="样式 +中文标题 小四"/>
    <w:basedOn w:val="26"/>
    <w:qFormat/>
    <w:uiPriority w:val="0"/>
    <w:rPr>
      <w:rFonts w:asciiTheme="majorEastAsia" w:hAnsiTheme="majorEastAsia" w:eastAsiaTheme="majorEastAsia" w:cstheme="majorBidi"/>
      <w:b/>
      <w:bCs/>
      <w:kern w:val="2"/>
      <w:sz w:val="24"/>
      <w:szCs w:val="28"/>
    </w:rPr>
  </w:style>
  <w:style w:type="paragraph" w:customStyle="1" w:styleId="72">
    <w:name w:val="正文内容"/>
    <w:basedOn w:val="1"/>
    <w:link w:val="73"/>
    <w:qFormat/>
    <w:uiPriority w:val="0"/>
    <w:pPr>
      <w:adjustRightInd w:val="0"/>
      <w:snapToGrid w:val="0"/>
      <w:spacing w:line="400" w:lineRule="exact"/>
      <w:ind w:firstLine="420" w:firstLineChars="200"/>
    </w:pPr>
  </w:style>
  <w:style w:type="character" w:customStyle="1" w:styleId="73">
    <w:name w:val="正文内容 Char"/>
    <w:basedOn w:val="26"/>
    <w:link w:val="72"/>
    <w:qFormat/>
    <w:uiPriority w:val="0"/>
    <w:rPr>
      <w:rFonts w:ascii="Times New Roman" w:hAnsi="Times New Roman" w:eastAsia="宋体" w:cs="Times New Roman"/>
    </w:rPr>
  </w:style>
  <w:style w:type="paragraph" w:customStyle="1" w:styleId="74">
    <w:name w:val="条文说明"/>
    <w:basedOn w:val="1"/>
    <w:link w:val="75"/>
    <w:qFormat/>
    <w:uiPriority w:val="0"/>
    <w:pPr>
      <w:adjustRightInd w:val="0"/>
      <w:snapToGrid w:val="0"/>
      <w:spacing w:line="400" w:lineRule="exact"/>
      <w:ind w:firstLine="420" w:firstLineChars="200"/>
      <w:jc w:val="left"/>
    </w:pPr>
    <w:rPr>
      <w:rFonts w:eastAsia="仿宋_GB2312"/>
      <w:i/>
      <w:szCs w:val="21"/>
    </w:rPr>
  </w:style>
  <w:style w:type="character" w:customStyle="1" w:styleId="75">
    <w:name w:val="条文说明 Char"/>
    <w:basedOn w:val="26"/>
    <w:link w:val="74"/>
    <w:qFormat/>
    <w:uiPriority w:val="0"/>
    <w:rPr>
      <w:rFonts w:ascii="Times New Roman" w:hAnsi="Times New Roman" w:eastAsia="仿宋_GB2312" w:cs="Times New Roman"/>
      <w:i/>
      <w:szCs w:val="21"/>
    </w:rPr>
  </w:style>
  <w:style w:type="paragraph" w:customStyle="1" w:styleId="76">
    <w:name w:val="表头"/>
    <w:basedOn w:val="1"/>
    <w:link w:val="77"/>
    <w:qFormat/>
    <w:uiPriority w:val="0"/>
    <w:pPr>
      <w:adjustRightInd w:val="0"/>
      <w:snapToGrid w:val="0"/>
      <w:spacing w:beforeLines="50" w:line="400" w:lineRule="exact"/>
      <w:jc w:val="center"/>
    </w:pPr>
    <w:rPr>
      <w:rFonts w:ascii="黑体" w:hAnsi="黑体" w:eastAsia="黑体" w:cstheme="minorBidi"/>
      <w:szCs w:val="21"/>
    </w:rPr>
  </w:style>
  <w:style w:type="character" w:customStyle="1" w:styleId="77">
    <w:name w:val="表头 Char"/>
    <w:basedOn w:val="26"/>
    <w:link w:val="76"/>
    <w:qFormat/>
    <w:uiPriority w:val="0"/>
    <w:rPr>
      <w:rFonts w:ascii="黑体" w:hAnsi="黑体" w:eastAsia="黑体"/>
      <w:szCs w:val="21"/>
    </w:rPr>
  </w:style>
  <w:style w:type="paragraph" w:customStyle="1" w:styleId="78">
    <w:name w:val="图名"/>
    <w:basedOn w:val="76"/>
    <w:link w:val="79"/>
    <w:qFormat/>
    <w:uiPriority w:val="0"/>
    <w:pPr>
      <w:spacing w:beforeLines="0" w:afterLines="50"/>
    </w:pPr>
  </w:style>
  <w:style w:type="character" w:customStyle="1" w:styleId="79">
    <w:name w:val="图名 Char"/>
    <w:basedOn w:val="77"/>
    <w:link w:val="78"/>
    <w:qFormat/>
    <w:uiPriority w:val="0"/>
    <w:rPr>
      <w:rFonts w:ascii="黑体" w:hAnsi="黑体" w:eastAsia="黑体"/>
      <w:szCs w:val="21"/>
    </w:rPr>
  </w:style>
  <w:style w:type="paragraph" w:customStyle="1" w:styleId="80">
    <w:name w:val="内容细则"/>
    <w:basedOn w:val="72"/>
    <w:link w:val="81"/>
    <w:qFormat/>
    <w:uiPriority w:val="0"/>
    <w:pPr>
      <w:ind w:left="945" w:leftChars="300" w:hanging="315" w:hangingChars="150"/>
    </w:pPr>
    <w:rPr>
      <w:szCs w:val="21"/>
      <w:shd w:val="clear" w:color="auto" w:fill="FFFFFF"/>
    </w:rPr>
  </w:style>
  <w:style w:type="character" w:customStyle="1" w:styleId="81">
    <w:name w:val="内容细则 Char"/>
    <w:basedOn w:val="73"/>
    <w:link w:val="80"/>
    <w:qFormat/>
    <w:uiPriority w:val="0"/>
    <w:rPr>
      <w:rFonts w:ascii="Times New Roman" w:hAnsi="Times New Roman" w:eastAsia="宋体" w:cs="Times New Roman"/>
      <w:szCs w:val="21"/>
    </w:rPr>
  </w:style>
  <w:style w:type="character" w:customStyle="1" w:styleId="82">
    <w:name w:val="批注文字 Char"/>
    <w:basedOn w:val="26"/>
    <w:link w:val="8"/>
    <w:semiHidden/>
    <w:qFormat/>
    <w:uiPriority w:val="99"/>
    <w:rPr>
      <w:rFonts w:ascii="Times New Roman" w:hAnsi="Times New Roman" w:eastAsia="宋体" w:cs="Times New Roman"/>
    </w:rPr>
  </w:style>
  <w:style w:type="character" w:customStyle="1" w:styleId="83">
    <w:name w:val="批注主题 Char"/>
    <w:basedOn w:val="82"/>
    <w:link w:val="23"/>
    <w:semiHidden/>
    <w:qFormat/>
    <w:uiPriority w:val="99"/>
    <w:rPr>
      <w:rFonts w:ascii="Times New Roman" w:hAnsi="Times New Roman" w:eastAsia="宋体" w:cs="Times New Roman"/>
      <w:b/>
      <w:bCs/>
    </w:rPr>
  </w:style>
  <w:style w:type="character" w:styleId="84">
    <w:name w:val="Placeholder Text"/>
    <w:basedOn w:val="26"/>
    <w:semiHidden/>
    <w:qFormat/>
    <w:uiPriority w:val="99"/>
    <w:rPr>
      <w:color w:val="808080"/>
    </w:rPr>
  </w:style>
  <w:style w:type="character" w:customStyle="1" w:styleId="85">
    <w:name w:val="文档结构图 Char"/>
    <w:basedOn w:val="26"/>
    <w:link w:val="7"/>
    <w:semiHidden/>
    <w:qFormat/>
    <w:uiPriority w:val="99"/>
    <w:rPr>
      <w:rFonts w:ascii="宋体" w:hAnsi="Times New Roman" w:eastAsia="宋体" w:cs="Times New Roman"/>
      <w:sz w:val="18"/>
      <w:szCs w:val="18"/>
    </w:rPr>
  </w:style>
  <w:style w:type="paragraph" w:customStyle="1" w:styleId="86">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87">
    <w:name w:val="图名 Char Char"/>
    <w:qFormat/>
    <w:locked/>
    <w:uiPriority w:val="0"/>
    <w:rPr>
      <w:rFonts w:ascii="宋体" w:hAnsi="宋体"/>
      <w:b/>
      <w:sz w:val="21"/>
      <w:szCs w:val="18"/>
    </w:rPr>
  </w:style>
  <w:style w:type="paragraph" w:customStyle="1" w:styleId="88">
    <w:name w:val="修订1"/>
    <w:hidden/>
    <w:semiHidden/>
    <w:qFormat/>
    <w:uiPriority w:val="99"/>
    <w:rPr>
      <w:rFonts w:ascii="Times New Roman" w:hAnsi="Times New Roman" w:eastAsia="宋体" w:cs="Times New Roman"/>
      <w:kern w:val="2"/>
      <w:sz w:val="21"/>
      <w:szCs w:val="22"/>
      <w:lang w:val="en-US" w:eastAsia="zh-CN" w:bidi="ar-SA"/>
    </w:rPr>
  </w:style>
  <w:style w:type="paragraph" w:customStyle="1" w:styleId="89">
    <w:name w:val="条文说明1"/>
    <w:basedOn w:val="1"/>
    <w:link w:val="91"/>
    <w:qFormat/>
    <w:uiPriority w:val="0"/>
    <w:pPr>
      <w:spacing w:line="300" w:lineRule="auto"/>
      <w:jc w:val="center"/>
      <w:outlineLvl w:val="0"/>
    </w:pPr>
    <w:rPr>
      <w:rFonts w:eastAsiaTheme="minorEastAsia"/>
      <w:b/>
      <w:kern w:val="44"/>
      <w:sz w:val="28"/>
      <w:szCs w:val="28"/>
    </w:rPr>
  </w:style>
  <w:style w:type="paragraph" w:customStyle="1" w:styleId="90">
    <w:name w:val="条文说明2"/>
    <w:basedOn w:val="89"/>
    <w:link w:val="92"/>
    <w:qFormat/>
    <w:uiPriority w:val="0"/>
    <w:pPr>
      <w:spacing w:line="360" w:lineRule="auto"/>
      <w:outlineLvl w:val="1"/>
    </w:pPr>
    <w:rPr>
      <w:sz w:val="24"/>
    </w:rPr>
  </w:style>
  <w:style w:type="character" w:customStyle="1" w:styleId="91">
    <w:name w:val="条文说明1 Char"/>
    <w:basedOn w:val="26"/>
    <w:link w:val="89"/>
    <w:qFormat/>
    <w:uiPriority w:val="0"/>
    <w:rPr>
      <w:rFonts w:ascii="Times New Roman" w:hAnsi="Times New Roman" w:cs="Times New Roman"/>
      <w:b/>
      <w:kern w:val="44"/>
      <w:sz w:val="28"/>
      <w:szCs w:val="28"/>
    </w:rPr>
  </w:style>
  <w:style w:type="character" w:customStyle="1" w:styleId="92">
    <w:name w:val="条文说明2 Char"/>
    <w:basedOn w:val="91"/>
    <w:link w:val="90"/>
    <w:qFormat/>
    <w:uiPriority w:val="0"/>
    <w:rPr>
      <w:rFonts w:ascii="Times New Roman" w:hAnsi="Times New Roman" w:cs="Times New Roman"/>
      <w:kern w:val="44"/>
      <w:sz w:val="24"/>
      <w:szCs w:val="28"/>
    </w:rPr>
  </w:style>
  <w:style w:type="paragraph" w:customStyle="1" w:styleId="93">
    <w:name w:val="Revision"/>
    <w:hidden/>
    <w:semiHidden/>
    <w:qFormat/>
    <w:uiPriority w:val="99"/>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6.bin"/><Relationship Id="rId98" Type="http://schemas.openxmlformats.org/officeDocument/2006/relationships/oleObject" Target="embeddings/oleObject45.bin"/><Relationship Id="rId97" Type="http://schemas.openxmlformats.org/officeDocument/2006/relationships/image" Target="media/image44.wmf"/><Relationship Id="rId96" Type="http://schemas.openxmlformats.org/officeDocument/2006/relationships/oleObject" Target="embeddings/oleObject44.bin"/><Relationship Id="rId95" Type="http://schemas.openxmlformats.org/officeDocument/2006/relationships/image" Target="media/image43.wmf"/><Relationship Id="rId94" Type="http://schemas.openxmlformats.org/officeDocument/2006/relationships/oleObject" Target="embeddings/oleObject43.bin"/><Relationship Id="rId93" Type="http://schemas.openxmlformats.org/officeDocument/2006/relationships/image" Target="media/image42.wmf"/><Relationship Id="rId92" Type="http://schemas.openxmlformats.org/officeDocument/2006/relationships/oleObject" Target="embeddings/oleObject42.bin"/><Relationship Id="rId91" Type="http://schemas.openxmlformats.org/officeDocument/2006/relationships/image" Target="media/image41.emf"/><Relationship Id="rId90" Type="http://schemas.openxmlformats.org/officeDocument/2006/relationships/image" Target="media/image40.emf"/><Relationship Id="rId9" Type="http://schemas.openxmlformats.org/officeDocument/2006/relationships/theme" Target="theme/theme1.xml"/><Relationship Id="rId89" Type="http://schemas.openxmlformats.org/officeDocument/2006/relationships/image" Target="media/image39.emf"/><Relationship Id="rId88" Type="http://schemas.openxmlformats.org/officeDocument/2006/relationships/oleObject" Target="embeddings/oleObject41.bin"/><Relationship Id="rId87" Type="http://schemas.openxmlformats.org/officeDocument/2006/relationships/image" Target="media/image38.wmf"/><Relationship Id="rId86" Type="http://schemas.openxmlformats.org/officeDocument/2006/relationships/oleObject" Target="embeddings/oleObject40.bin"/><Relationship Id="rId85" Type="http://schemas.openxmlformats.org/officeDocument/2006/relationships/oleObject" Target="embeddings/oleObject39.bin"/><Relationship Id="rId84" Type="http://schemas.openxmlformats.org/officeDocument/2006/relationships/oleObject" Target="embeddings/oleObject38.bin"/><Relationship Id="rId83" Type="http://schemas.openxmlformats.org/officeDocument/2006/relationships/image" Target="media/image37.wmf"/><Relationship Id="rId82" Type="http://schemas.openxmlformats.org/officeDocument/2006/relationships/oleObject" Target="embeddings/oleObject37.bin"/><Relationship Id="rId81" Type="http://schemas.openxmlformats.org/officeDocument/2006/relationships/image" Target="media/image36.wmf"/><Relationship Id="rId80" Type="http://schemas.openxmlformats.org/officeDocument/2006/relationships/oleObject" Target="embeddings/oleObject36.bin"/><Relationship Id="rId8" Type="http://schemas.openxmlformats.org/officeDocument/2006/relationships/footer" Target="footer4.xml"/><Relationship Id="rId79" Type="http://schemas.openxmlformats.org/officeDocument/2006/relationships/image" Target="media/image35.wmf"/><Relationship Id="rId78" Type="http://schemas.openxmlformats.org/officeDocument/2006/relationships/oleObject" Target="embeddings/oleObject35.bin"/><Relationship Id="rId77" Type="http://schemas.openxmlformats.org/officeDocument/2006/relationships/image" Target="media/image34.wmf"/><Relationship Id="rId76" Type="http://schemas.openxmlformats.org/officeDocument/2006/relationships/oleObject" Target="embeddings/oleObject34.bin"/><Relationship Id="rId75" Type="http://schemas.openxmlformats.org/officeDocument/2006/relationships/image" Target="media/image33.wmf"/><Relationship Id="rId74" Type="http://schemas.openxmlformats.org/officeDocument/2006/relationships/oleObject" Target="embeddings/oleObject33.bin"/><Relationship Id="rId73" Type="http://schemas.openxmlformats.org/officeDocument/2006/relationships/image" Target="media/image32.wmf"/><Relationship Id="rId72" Type="http://schemas.openxmlformats.org/officeDocument/2006/relationships/oleObject" Target="embeddings/oleObject32.bin"/><Relationship Id="rId71" Type="http://schemas.openxmlformats.org/officeDocument/2006/relationships/image" Target="media/image31.wmf"/><Relationship Id="rId70" Type="http://schemas.openxmlformats.org/officeDocument/2006/relationships/oleObject" Target="embeddings/oleObject31.bin"/><Relationship Id="rId7" Type="http://schemas.openxmlformats.org/officeDocument/2006/relationships/header" Target="header2.xml"/><Relationship Id="rId69" Type="http://schemas.openxmlformats.org/officeDocument/2006/relationships/image" Target="media/image30.wmf"/><Relationship Id="rId68" Type="http://schemas.openxmlformats.org/officeDocument/2006/relationships/oleObject" Target="embeddings/oleObject30.bin"/><Relationship Id="rId67" Type="http://schemas.openxmlformats.org/officeDocument/2006/relationships/image" Target="media/image29.wmf"/><Relationship Id="rId66" Type="http://schemas.openxmlformats.org/officeDocument/2006/relationships/oleObject" Target="embeddings/oleObject29.bin"/><Relationship Id="rId65" Type="http://schemas.openxmlformats.org/officeDocument/2006/relationships/image" Target="media/image28.emf"/><Relationship Id="rId64" Type="http://schemas.openxmlformats.org/officeDocument/2006/relationships/oleObject" Target="embeddings/oleObject28.bin"/><Relationship Id="rId63" Type="http://schemas.openxmlformats.org/officeDocument/2006/relationships/image" Target="media/image27.wmf"/><Relationship Id="rId62" Type="http://schemas.openxmlformats.org/officeDocument/2006/relationships/oleObject" Target="embeddings/oleObject27.bin"/><Relationship Id="rId61" Type="http://schemas.openxmlformats.org/officeDocument/2006/relationships/image" Target="media/image26.wmf"/><Relationship Id="rId60" Type="http://schemas.openxmlformats.org/officeDocument/2006/relationships/oleObject" Target="embeddings/oleObject26.bin"/><Relationship Id="rId6" Type="http://schemas.openxmlformats.org/officeDocument/2006/relationships/footer" Target="footer3.xml"/><Relationship Id="rId59" Type="http://schemas.openxmlformats.org/officeDocument/2006/relationships/image" Target="media/image25.wmf"/><Relationship Id="rId58" Type="http://schemas.openxmlformats.org/officeDocument/2006/relationships/oleObject" Target="embeddings/oleObject25.bin"/><Relationship Id="rId57" Type="http://schemas.openxmlformats.org/officeDocument/2006/relationships/image" Target="media/image24.wmf"/><Relationship Id="rId56" Type="http://schemas.openxmlformats.org/officeDocument/2006/relationships/oleObject" Target="embeddings/oleObject24.bin"/><Relationship Id="rId55" Type="http://schemas.openxmlformats.org/officeDocument/2006/relationships/image" Target="media/image23.wmf"/><Relationship Id="rId54" Type="http://schemas.openxmlformats.org/officeDocument/2006/relationships/oleObject" Target="embeddings/oleObject23.bin"/><Relationship Id="rId53" Type="http://schemas.openxmlformats.org/officeDocument/2006/relationships/image" Target="media/image22.wmf"/><Relationship Id="rId52" Type="http://schemas.openxmlformats.org/officeDocument/2006/relationships/oleObject" Target="embeddings/oleObject22.bin"/><Relationship Id="rId51" Type="http://schemas.openxmlformats.org/officeDocument/2006/relationships/image" Target="media/image21.wmf"/><Relationship Id="rId50" Type="http://schemas.openxmlformats.org/officeDocument/2006/relationships/oleObject" Target="embeddings/oleObject21.bin"/><Relationship Id="rId5" Type="http://schemas.openxmlformats.org/officeDocument/2006/relationships/footer" Target="footer2.xml"/><Relationship Id="rId49" Type="http://schemas.openxmlformats.org/officeDocument/2006/relationships/image" Target="media/image20.wmf"/><Relationship Id="rId48" Type="http://schemas.openxmlformats.org/officeDocument/2006/relationships/oleObject" Target="embeddings/oleObject20.bin"/><Relationship Id="rId47" Type="http://schemas.openxmlformats.org/officeDocument/2006/relationships/image" Target="media/image19.wmf"/><Relationship Id="rId46" Type="http://schemas.openxmlformats.org/officeDocument/2006/relationships/oleObject" Target="embeddings/oleObject19.bin"/><Relationship Id="rId45" Type="http://schemas.openxmlformats.org/officeDocument/2006/relationships/image" Target="media/image18.wmf"/><Relationship Id="rId44" Type="http://schemas.openxmlformats.org/officeDocument/2006/relationships/oleObject" Target="embeddings/oleObject18.bin"/><Relationship Id="rId43" Type="http://schemas.openxmlformats.org/officeDocument/2006/relationships/image" Target="media/image17.wmf"/><Relationship Id="rId42" Type="http://schemas.openxmlformats.org/officeDocument/2006/relationships/oleObject" Target="embeddings/oleObject17.bin"/><Relationship Id="rId41" Type="http://schemas.openxmlformats.org/officeDocument/2006/relationships/image" Target="media/image16.wmf"/><Relationship Id="rId40" Type="http://schemas.openxmlformats.org/officeDocument/2006/relationships/oleObject" Target="embeddings/oleObject16.bin"/><Relationship Id="rId4" Type="http://schemas.openxmlformats.org/officeDocument/2006/relationships/footer" Target="footer1.xml"/><Relationship Id="rId39" Type="http://schemas.openxmlformats.org/officeDocument/2006/relationships/image" Target="media/image15.wmf"/><Relationship Id="rId38" Type="http://schemas.openxmlformats.org/officeDocument/2006/relationships/oleObject" Target="embeddings/oleObject15.bin"/><Relationship Id="rId37" Type="http://schemas.openxmlformats.org/officeDocument/2006/relationships/image" Target="media/image14.wmf"/><Relationship Id="rId36" Type="http://schemas.openxmlformats.org/officeDocument/2006/relationships/oleObject" Target="embeddings/oleObject14.bin"/><Relationship Id="rId35" Type="http://schemas.openxmlformats.org/officeDocument/2006/relationships/image" Target="media/image13.wmf"/><Relationship Id="rId34" Type="http://schemas.openxmlformats.org/officeDocument/2006/relationships/oleObject" Target="embeddings/oleObject13.bin"/><Relationship Id="rId33" Type="http://schemas.openxmlformats.org/officeDocument/2006/relationships/image" Target="media/image12.wmf"/><Relationship Id="rId32" Type="http://schemas.openxmlformats.org/officeDocument/2006/relationships/oleObject" Target="embeddings/oleObject12.bin"/><Relationship Id="rId31" Type="http://schemas.openxmlformats.org/officeDocument/2006/relationships/image" Target="media/image11.wmf"/><Relationship Id="rId30" Type="http://schemas.openxmlformats.org/officeDocument/2006/relationships/oleObject" Target="embeddings/oleObject11.bin"/><Relationship Id="rId3" Type="http://schemas.openxmlformats.org/officeDocument/2006/relationships/header" Target="header1.xml"/><Relationship Id="rId29" Type="http://schemas.openxmlformats.org/officeDocument/2006/relationships/image" Target="media/image10.wmf"/><Relationship Id="rId28" Type="http://schemas.openxmlformats.org/officeDocument/2006/relationships/oleObject" Target="embeddings/oleObject10.bin"/><Relationship Id="rId276" Type="http://schemas.openxmlformats.org/officeDocument/2006/relationships/fontTable" Target="fontTable.xml"/><Relationship Id="rId275" Type="http://schemas.openxmlformats.org/officeDocument/2006/relationships/numbering" Target="numbering.xml"/><Relationship Id="rId274" Type="http://schemas.openxmlformats.org/officeDocument/2006/relationships/customXml" Target="../customXml/item1.xml"/><Relationship Id="rId273" Type="http://schemas.openxmlformats.org/officeDocument/2006/relationships/image" Target="media/image127.jpeg"/><Relationship Id="rId272" Type="http://schemas.openxmlformats.org/officeDocument/2006/relationships/image" Target="media/image126.wmf"/><Relationship Id="rId271" Type="http://schemas.openxmlformats.org/officeDocument/2006/relationships/oleObject" Target="embeddings/oleObject137.bin"/><Relationship Id="rId270" Type="http://schemas.openxmlformats.org/officeDocument/2006/relationships/image" Target="media/image125.wmf"/><Relationship Id="rId27" Type="http://schemas.openxmlformats.org/officeDocument/2006/relationships/image" Target="media/image9.wmf"/><Relationship Id="rId269" Type="http://schemas.openxmlformats.org/officeDocument/2006/relationships/oleObject" Target="embeddings/oleObject136.bin"/><Relationship Id="rId268" Type="http://schemas.openxmlformats.org/officeDocument/2006/relationships/image" Target="media/image124.wmf"/><Relationship Id="rId267" Type="http://schemas.openxmlformats.org/officeDocument/2006/relationships/oleObject" Target="embeddings/oleObject135.bin"/><Relationship Id="rId266" Type="http://schemas.openxmlformats.org/officeDocument/2006/relationships/image" Target="media/image123.emf"/><Relationship Id="rId265" Type="http://schemas.openxmlformats.org/officeDocument/2006/relationships/image" Target="media/image122.emf"/><Relationship Id="rId264" Type="http://schemas.openxmlformats.org/officeDocument/2006/relationships/image" Target="media/image121.emf"/><Relationship Id="rId263" Type="http://schemas.openxmlformats.org/officeDocument/2006/relationships/image" Target="media/image120.emf"/><Relationship Id="rId262" Type="http://schemas.openxmlformats.org/officeDocument/2006/relationships/image" Target="media/image119.png"/><Relationship Id="rId261" Type="http://schemas.openxmlformats.org/officeDocument/2006/relationships/image" Target="media/image118.emf"/><Relationship Id="rId260" Type="http://schemas.openxmlformats.org/officeDocument/2006/relationships/image" Target="media/image117.png"/><Relationship Id="rId26" Type="http://schemas.openxmlformats.org/officeDocument/2006/relationships/oleObject" Target="embeddings/oleObject9.bin"/><Relationship Id="rId259" Type="http://schemas.openxmlformats.org/officeDocument/2006/relationships/image" Target="media/image116.emf"/><Relationship Id="rId258" Type="http://schemas.openxmlformats.org/officeDocument/2006/relationships/image" Target="media/image115.jpeg"/><Relationship Id="rId257" Type="http://schemas.openxmlformats.org/officeDocument/2006/relationships/image" Target="media/image114.wmf"/><Relationship Id="rId256" Type="http://schemas.openxmlformats.org/officeDocument/2006/relationships/oleObject" Target="embeddings/oleObject134.bin"/><Relationship Id="rId255" Type="http://schemas.openxmlformats.org/officeDocument/2006/relationships/image" Target="media/image113.wmf"/><Relationship Id="rId254" Type="http://schemas.openxmlformats.org/officeDocument/2006/relationships/oleObject" Target="embeddings/oleObject133.bin"/><Relationship Id="rId253" Type="http://schemas.openxmlformats.org/officeDocument/2006/relationships/image" Target="media/image112.wmf"/><Relationship Id="rId252" Type="http://schemas.openxmlformats.org/officeDocument/2006/relationships/oleObject" Target="embeddings/oleObject132.bin"/><Relationship Id="rId251" Type="http://schemas.openxmlformats.org/officeDocument/2006/relationships/image" Target="media/image111.wmf"/><Relationship Id="rId250" Type="http://schemas.openxmlformats.org/officeDocument/2006/relationships/oleObject" Target="embeddings/oleObject131.bin"/><Relationship Id="rId25" Type="http://schemas.openxmlformats.org/officeDocument/2006/relationships/image" Target="media/image8.wmf"/><Relationship Id="rId249" Type="http://schemas.openxmlformats.org/officeDocument/2006/relationships/oleObject" Target="embeddings/oleObject130.bin"/><Relationship Id="rId248" Type="http://schemas.openxmlformats.org/officeDocument/2006/relationships/oleObject" Target="embeddings/oleObject129.bin"/><Relationship Id="rId247" Type="http://schemas.openxmlformats.org/officeDocument/2006/relationships/image" Target="media/image110.wmf"/><Relationship Id="rId246" Type="http://schemas.openxmlformats.org/officeDocument/2006/relationships/oleObject" Target="embeddings/oleObject128.bin"/><Relationship Id="rId245" Type="http://schemas.openxmlformats.org/officeDocument/2006/relationships/image" Target="media/image109.wmf"/><Relationship Id="rId244" Type="http://schemas.openxmlformats.org/officeDocument/2006/relationships/oleObject" Target="embeddings/oleObject127.bin"/><Relationship Id="rId243" Type="http://schemas.openxmlformats.org/officeDocument/2006/relationships/image" Target="media/image108.wmf"/><Relationship Id="rId242" Type="http://schemas.openxmlformats.org/officeDocument/2006/relationships/oleObject" Target="embeddings/oleObject126.bin"/><Relationship Id="rId241" Type="http://schemas.openxmlformats.org/officeDocument/2006/relationships/image" Target="media/image107.wmf"/><Relationship Id="rId240" Type="http://schemas.openxmlformats.org/officeDocument/2006/relationships/oleObject" Target="embeddings/oleObject125.bin"/><Relationship Id="rId24" Type="http://schemas.openxmlformats.org/officeDocument/2006/relationships/oleObject" Target="embeddings/oleObject8.bin"/><Relationship Id="rId239" Type="http://schemas.openxmlformats.org/officeDocument/2006/relationships/image" Target="media/image106.wmf"/><Relationship Id="rId238" Type="http://schemas.openxmlformats.org/officeDocument/2006/relationships/oleObject" Target="embeddings/oleObject124.bin"/><Relationship Id="rId237" Type="http://schemas.openxmlformats.org/officeDocument/2006/relationships/oleObject" Target="embeddings/oleObject123.bin"/><Relationship Id="rId236" Type="http://schemas.openxmlformats.org/officeDocument/2006/relationships/image" Target="media/image105.wmf"/><Relationship Id="rId235" Type="http://schemas.openxmlformats.org/officeDocument/2006/relationships/oleObject" Target="embeddings/oleObject122.bin"/><Relationship Id="rId234" Type="http://schemas.openxmlformats.org/officeDocument/2006/relationships/image" Target="media/image104.wmf"/><Relationship Id="rId233" Type="http://schemas.openxmlformats.org/officeDocument/2006/relationships/oleObject" Target="embeddings/oleObject121.bin"/><Relationship Id="rId232" Type="http://schemas.openxmlformats.org/officeDocument/2006/relationships/image" Target="media/image103.wmf"/><Relationship Id="rId231" Type="http://schemas.openxmlformats.org/officeDocument/2006/relationships/oleObject" Target="embeddings/oleObject120.bin"/><Relationship Id="rId230" Type="http://schemas.openxmlformats.org/officeDocument/2006/relationships/image" Target="media/image102.wmf"/><Relationship Id="rId23" Type="http://schemas.openxmlformats.org/officeDocument/2006/relationships/image" Target="media/image7.wmf"/><Relationship Id="rId229" Type="http://schemas.openxmlformats.org/officeDocument/2006/relationships/oleObject" Target="embeddings/oleObject119.bin"/><Relationship Id="rId228" Type="http://schemas.openxmlformats.org/officeDocument/2006/relationships/image" Target="media/image101.wmf"/><Relationship Id="rId227" Type="http://schemas.openxmlformats.org/officeDocument/2006/relationships/oleObject" Target="embeddings/oleObject118.bin"/><Relationship Id="rId226" Type="http://schemas.openxmlformats.org/officeDocument/2006/relationships/image" Target="media/image100.jpeg"/><Relationship Id="rId225" Type="http://schemas.openxmlformats.org/officeDocument/2006/relationships/image" Target="media/image99.wmf"/><Relationship Id="rId224" Type="http://schemas.openxmlformats.org/officeDocument/2006/relationships/oleObject" Target="embeddings/oleObject117.bin"/><Relationship Id="rId223" Type="http://schemas.openxmlformats.org/officeDocument/2006/relationships/image" Target="media/image98.wmf"/><Relationship Id="rId222" Type="http://schemas.openxmlformats.org/officeDocument/2006/relationships/oleObject" Target="embeddings/oleObject116.bin"/><Relationship Id="rId221" Type="http://schemas.openxmlformats.org/officeDocument/2006/relationships/image" Target="media/image97.wmf"/><Relationship Id="rId220" Type="http://schemas.openxmlformats.org/officeDocument/2006/relationships/oleObject" Target="embeddings/oleObject115.bin"/><Relationship Id="rId22" Type="http://schemas.openxmlformats.org/officeDocument/2006/relationships/oleObject" Target="embeddings/oleObject7.bin"/><Relationship Id="rId219" Type="http://schemas.openxmlformats.org/officeDocument/2006/relationships/image" Target="media/image96.wmf"/><Relationship Id="rId218" Type="http://schemas.openxmlformats.org/officeDocument/2006/relationships/oleObject" Target="embeddings/oleObject114.bin"/><Relationship Id="rId217" Type="http://schemas.openxmlformats.org/officeDocument/2006/relationships/image" Target="media/image95.wmf"/><Relationship Id="rId216" Type="http://schemas.openxmlformats.org/officeDocument/2006/relationships/oleObject" Target="embeddings/oleObject113.bin"/><Relationship Id="rId215" Type="http://schemas.openxmlformats.org/officeDocument/2006/relationships/image" Target="media/image94.wmf"/><Relationship Id="rId214" Type="http://schemas.openxmlformats.org/officeDocument/2006/relationships/oleObject" Target="embeddings/oleObject112.bin"/><Relationship Id="rId213" Type="http://schemas.openxmlformats.org/officeDocument/2006/relationships/oleObject" Target="embeddings/oleObject111.bin"/><Relationship Id="rId212" Type="http://schemas.openxmlformats.org/officeDocument/2006/relationships/image" Target="media/image93.wmf"/><Relationship Id="rId211" Type="http://schemas.openxmlformats.org/officeDocument/2006/relationships/oleObject" Target="embeddings/oleObject110.bin"/><Relationship Id="rId210" Type="http://schemas.openxmlformats.org/officeDocument/2006/relationships/image" Target="media/image92.wmf"/><Relationship Id="rId21" Type="http://schemas.openxmlformats.org/officeDocument/2006/relationships/image" Target="media/image6.wmf"/><Relationship Id="rId209" Type="http://schemas.openxmlformats.org/officeDocument/2006/relationships/oleObject" Target="embeddings/oleObject109.bin"/><Relationship Id="rId208" Type="http://schemas.openxmlformats.org/officeDocument/2006/relationships/image" Target="media/image91.wmf"/><Relationship Id="rId207" Type="http://schemas.openxmlformats.org/officeDocument/2006/relationships/oleObject" Target="embeddings/oleObject108.bin"/><Relationship Id="rId206" Type="http://schemas.openxmlformats.org/officeDocument/2006/relationships/image" Target="media/image90.wmf"/><Relationship Id="rId205" Type="http://schemas.openxmlformats.org/officeDocument/2006/relationships/oleObject" Target="embeddings/oleObject107.bin"/><Relationship Id="rId204" Type="http://schemas.openxmlformats.org/officeDocument/2006/relationships/oleObject" Target="embeddings/oleObject106.bin"/><Relationship Id="rId203" Type="http://schemas.openxmlformats.org/officeDocument/2006/relationships/oleObject" Target="embeddings/oleObject105.bin"/><Relationship Id="rId202" Type="http://schemas.openxmlformats.org/officeDocument/2006/relationships/image" Target="media/image89.wmf"/><Relationship Id="rId201" Type="http://schemas.openxmlformats.org/officeDocument/2006/relationships/oleObject" Target="embeddings/oleObject104.bin"/><Relationship Id="rId200" Type="http://schemas.openxmlformats.org/officeDocument/2006/relationships/oleObject" Target="embeddings/oleObject103.bin"/><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oleObject" Target="embeddings/oleObject102.bin"/><Relationship Id="rId198" Type="http://schemas.openxmlformats.org/officeDocument/2006/relationships/image" Target="media/image88.wmf"/><Relationship Id="rId197" Type="http://schemas.openxmlformats.org/officeDocument/2006/relationships/oleObject" Target="embeddings/oleObject101.bin"/><Relationship Id="rId196" Type="http://schemas.openxmlformats.org/officeDocument/2006/relationships/image" Target="media/image87.wmf"/><Relationship Id="rId195" Type="http://schemas.openxmlformats.org/officeDocument/2006/relationships/oleObject" Target="embeddings/oleObject100.bin"/><Relationship Id="rId194" Type="http://schemas.openxmlformats.org/officeDocument/2006/relationships/image" Target="media/image86.wmf"/><Relationship Id="rId193" Type="http://schemas.openxmlformats.org/officeDocument/2006/relationships/oleObject" Target="embeddings/oleObject99.bin"/><Relationship Id="rId192" Type="http://schemas.openxmlformats.org/officeDocument/2006/relationships/image" Target="media/image85.wmf"/><Relationship Id="rId191" Type="http://schemas.openxmlformats.org/officeDocument/2006/relationships/oleObject" Target="embeddings/oleObject98.bin"/><Relationship Id="rId190" Type="http://schemas.openxmlformats.org/officeDocument/2006/relationships/image" Target="media/image84.wmf"/><Relationship Id="rId19" Type="http://schemas.openxmlformats.org/officeDocument/2006/relationships/image" Target="media/image5.wmf"/><Relationship Id="rId189" Type="http://schemas.openxmlformats.org/officeDocument/2006/relationships/oleObject" Target="embeddings/oleObject97.bin"/><Relationship Id="rId188" Type="http://schemas.openxmlformats.org/officeDocument/2006/relationships/image" Target="media/image83.wmf"/><Relationship Id="rId187" Type="http://schemas.openxmlformats.org/officeDocument/2006/relationships/oleObject" Target="embeddings/oleObject96.bin"/><Relationship Id="rId186" Type="http://schemas.openxmlformats.org/officeDocument/2006/relationships/image" Target="media/image82.wmf"/><Relationship Id="rId185" Type="http://schemas.openxmlformats.org/officeDocument/2006/relationships/oleObject" Target="embeddings/oleObject95.bin"/><Relationship Id="rId184" Type="http://schemas.openxmlformats.org/officeDocument/2006/relationships/image" Target="media/image81.wmf"/><Relationship Id="rId183" Type="http://schemas.openxmlformats.org/officeDocument/2006/relationships/oleObject" Target="embeddings/oleObject94.bin"/><Relationship Id="rId182" Type="http://schemas.openxmlformats.org/officeDocument/2006/relationships/image" Target="media/image80.wmf"/><Relationship Id="rId181" Type="http://schemas.openxmlformats.org/officeDocument/2006/relationships/oleObject" Target="embeddings/oleObject93.bin"/><Relationship Id="rId180" Type="http://schemas.openxmlformats.org/officeDocument/2006/relationships/image" Target="media/image79.wmf"/><Relationship Id="rId18" Type="http://schemas.openxmlformats.org/officeDocument/2006/relationships/oleObject" Target="embeddings/oleObject5.bin"/><Relationship Id="rId179" Type="http://schemas.openxmlformats.org/officeDocument/2006/relationships/oleObject" Target="embeddings/oleObject92.bin"/><Relationship Id="rId178" Type="http://schemas.openxmlformats.org/officeDocument/2006/relationships/image" Target="media/image78.wmf"/><Relationship Id="rId177" Type="http://schemas.openxmlformats.org/officeDocument/2006/relationships/oleObject" Target="embeddings/oleObject91.bin"/><Relationship Id="rId176" Type="http://schemas.openxmlformats.org/officeDocument/2006/relationships/oleObject" Target="embeddings/oleObject90.bin"/><Relationship Id="rId175" Type="http://schemas.openxmlformats.org/officeDocument/2006/relationships/image" Target="media/image77.wmf"/><Relationship Id="rId174" Type="http://schemas.openxmlformats.org/officeDocument/2006/relationships/oleObject" Target="embeddings/oleObject89.bin"/><Relationship Id="rId173" Type="http://schemas.openxmlformats.org/officeDocument/2006/relationships/image" Target="media/image76.wmf"/><Relationship Id="rId172" Type="http://schemas.openxmlformats.org/officeDocument/2006/relationships/oleObject" Target="embeddings/oleObject88.bin"/><Relationship Id="rId171" Type="http://schemas.openxmlformats.org/officeDocument/2006/relationships/image" Target="media/image75.wmf"/><Relationship Id="rId170" Type="http://schemas.openxmlformats.org/officeDocument/2006/relationships/oleObject" Target="embeddings/oleObject87.bin"/><Relationship Id="rId17" Type="http://schemas.openxmlformats.org/officeDocument/2006/relationships/image" Target="media/image4.wmf"/><Relationship Id="rId169" Type="http://schemas.openxmlformats.org/officeDocument/2006/relationships/image" Target="media/image74.wmf"/><Relationship Id="rId168" Type="http://schemas.openxmlformats.org/officeDocument/2006/relationships/oleObject" Target="embeddings/oleObject86.bin"/><Relationship Id="rId167" Type="http://schemas.openxmlformats.org/officeDocument/2006/relationships/image" Target="media/image73.wmf"/><Relationship Id="rId166" Type="http://schemas.openxmlformats.org/officeDocument/2006/relationships/oleObject" Target="embeddings/oleObject85.bin"/><Relationship Id="rId165" Type="http://schemas.openxmlformats.org/officeDocument/2006/relationships/image" Target="media/image72.wmf"/><Relationship Id="rId164" Type="http://schemas.openxmlformats.org/officeDocument/2006/relationships/oleObject" Target="embeddings/oleObject84.bin"/><Relationship Id="rId163" Type="http://schemas.openxmlformats.org/officeDocument/2006/relationships/image" Target="media/image71.wmf"/><Relationship Id="rId162" Type="http://schemas.openxmlformats.org/officeDocument/2006/relationships/oleObject" Target="embeddings/oleObject83.bin"/><Relationship Id="rId161" Type="http://schemas.openxmlformats.org/officeDocument/2006/relationships/image" Target="media/image70.wmf"/><Relationship Id="rId160" Type="http://schemas.openxmlformats.org/officeDocument/2006/relationships/oleObject" Target="embeddings/oleObject82.bin"/><Relationship Id="rId16" Type="http://schemas.openxmlformats.org/officeDocument/2006/relationships/oleObject" Target="embeddings/oleObject4.bin"/><Relationship Id="rId159" Type="http://schemas.openxmlformats.org/officeDocument/2006/relationships/image" Target="media/image69.wmf"/><Relationship Id="rId158" Type="http://schemas.openxmlformats.org/officeDocument/2006/relationships/oleObject" Target="embeddings/oleObject81.bin"/><Relationship Id="rId157" Type="http://schemas.openxmlformats.org/officeDocument/2006/relationships/oleObject" Target="embeddings/oleObject80.bin"/><Relationship Id="rId156" Type="http://schemas.openxmlformats.org/officeDocument/2006/relationships/image" Target="media/image68.wmf"/><Relationship Id="rId155" Type="http://schemas.openxmlformats.org/officeDocument/2006/relationships/oleObject" Target="embeddings/oleObject79.bin"/><Relationship Id="rId154" Type="http://schemas.openxmlformats.org/officeDocument/2006/relationships/oleObject" Target="embeddings/oleObject78.bin"/><Relationship Id="rId153" Type="http://schemas.openxmlformats.org/officeDocument/2006/relationships/image" Target="media/image67.wmf"/><Relationship Id="rId152" Type="http://schemas.openxmlformats.org/officeDocument/2006/relationships/oleObject" Target="embeddings/oleObject77.bin"/><Relationship Id="rId151" Type="http://schemas.openxmlformats.org/officeDocument/2006/relationships/image" Target="media/image66.wmf"/><Relationship Id="rId150" Type="http://schemas.openxmlformats.org/officeDocument/2006/relationships/oleObject" Target="embeddings/oleObject76.bin"/><Relationship Id="rId15" Type="http://schemas.openxmlformats.org/officeDocument/2006/relationships/image" Target="media/image3.wmf"/><Relationship Id="rId149" Type="http://schemas.openxmlformats.org/officeDocument/2006/relationships/image" Target="media/image65.wmf"/><Relationship Id="rId148" Type="http://schemas.openxmlformats.org/officeDocument/2006/relationships/oleObject" Target="embeddings/oleObject75.bin"/><Relationship Id="rId147" Type="http://schemas.openxmlformats.org/officeDocument/2006/relationships/image" Target="media/image64.wmf"/><Relationship Id="rId146" Type="http://schemas.openxmlformats.org/officeDocument/2006/relationships/oleObject" Target="embeddings/oleObject74.bin"/><Relationship Id="rId145" Type="http://schemas.openxmlformats.org/officeDocument/2006/relationships/image" Target="media/image63.wmf"/><Relationship Id="rId144" Type="http://schemas.openxmlformats.org/officeDocument/2006/relationships/oleObject" Target="embeddings/oleObject73.bin"/><Relationship Id="rId143" Type="http://schemas.openxmlformats.org/officeDocument/2006/relationships/image" Target="media/image62.wmf"/><Relationship Id="rId142" Type="http://schemas.openxmlformats.org/officeDocument/2006/relationships/oleObject" Target="embeddings/oleObject72.bin"/><Relationship Id="rId141" Type="http://schemas.openxmlformats.org/officeDocument/2006/relationships/image" Target="media/image61.png"/><Relationship Id="rId140" Type="http://schemas.openxmlformats.org/officeDocument/2006/relationships/oleObject" Target="embeddings/oleObject71.bin"/><Relationship Id="rId14" Type="http://schemas.openxmlformats.org/officeDocument/2006/relationships/oleObject" Target="embeddings/oleObject3.bin"/><Relationship Id="rId139" Type="http://schemas.openxmlformats.org/officeDocument/2006/relationships/oleObject" Target="embeddings/oleObject70.bin"/><Relationship Id="rId138" Type="http://schemas.openxmlformats.org/officeDocument/2006/relationships/oleObject" Target="embeddings/oleObject69.bin"/><Relationship Id="rId137" Type="http://schemas.openxmlformats.org/officeDocument/2006/relationships/image" Target="media/image60.wmf"/><Relationship Id="rId136" Type="http://schemas.openxmlformats.org/officeDocument/2006/relationships/oleObject" Target="embeddings/oleObject68.bin"/><Relationship Id="rId135" Type="http://schemas.openxmlformats.org/officeDocument/2006/relationships/image" Target="media/image59.wmf"/><Relationship Id="rId134" Type="http://schemas.openxmlformats.org/officeDocument/2006/relationships/oleObject" Target="embeddings/oleObject67.bin"/><Relationship Id="rId133" Type="http://schemas.openxmlformats.org/officeDocument/2006/relationships/oleObject" Target="embeddings/oleObject66.bin"/><Relationship Id="rId132" Type="http://schemas.openxmlformats.org/officeDocument/2006/relationships/oleObject" Target="embeddings/oleObject65.bin"/><Relationship Id="rId131" Type="http://schemas.openxmlformats.org/officeDocument/2006/relationships/image" Target="media/image58.wmf"/><Relationship Id="rId130" Type="http://schemas.openxmlformats.org/officeDocument/2006/relationships/oleObject" Target="embeddings/oleObject64.bin"/><Relationship Id="rId13" Type="http://schemas.openxmlformats.org/officeDocument/2006/relationships/image" Target="media/image2.wmf"/><Relationship Id="rId129" Type="http://schemas.openxmlformats.org/officeDocument/2006/relationships/image" Target="media/image57.wmf"/><Relationship Id="rId128" Type="http://schemas.openxmlformats.org/officeDocument/2006/relationships/oleObject" Target="embeddings/oleObject63.bin"/><Relationship Id="rId127" Type="http://schemas.openxmlformats.org/officeDocument/2006/relationships/image" Target="media/image56.wmf"/><Relationship Id="rId126" Type="http://schemas.openxmlformats.org/officeDocument/2006/relationships/oleObject" Target="embeddings/oleObject62.bin"/><Relationship Id="rId125" Type="http://schemas.openxmlformats.org/officeDocument/2006/relationships/oleObject" Target="embeddings/oleObject61.bin"/><Relationship Id="rId124" Type="http://schemas.openxmlformats.org/officeDocument/2006/relationships/oleObject" Target="embeddings/oleObject60.bin"/><Relationship Id="rId123" Type="http://schemas.openxmlformats.org/officeDocument/2006/relationships/oleObject" Target="embeddings/oleObject59.bin"/><Relationship Id="rId122" Type="http://schemas.openxmlformats.org/officeDocument/2006/relationships/oleObject" Target="embeddings/oleObject58.bin"/><Relationship Id="rId121" Type="http://schemas.openxmlformats.org/officeDocument/2006/relationships/image" Target="media/image55.wmf"/><Relationship Id="rId120" Type="http://schemas.openxmlformats.org/officeDocument/2006/relationships/oleObject" Target="embeddings/oleObject57.bin"/><Relationship Id="rId12" Type="http://schemas.openxmlformats.org/officeDocument/2006/relationships/oleObject" Target="embeddings/oleObject2.bin"/><Relationship Id="rId119" Type="http://schemas.openxmlformats.org/officeDocument/2006/relationships/image" Target="media/image54.wmf"/><Relationship Id="rId118" Type="http://schemas.openxmlformats.org/officeDocument/2006/relationships/oleObject" Target="embeddings/oleObject56.bin"/><Relationship Id="rId117" Type="http://schemas.openxmlformats.org/officeDocument/2006/relationships/image" Target="media/image53.wmf"/><Relationship Id="rId116" Type="http://schemas.openxmlformats.org/officeDocument/2006/relationships/oleObject" Target="embeddings/oleObject55.bin"/><Relationship Id="rId115" Type="http://schemas.openxmlformats.org/officeDocument/2006/relationships/image" Target="media/image52.wmf"/><Relationship Id="rId114" Type="http://schemas.openxmlformats.org/officeDocument/2006/relationships/oleObject" Target="embeddings/oleObject54.bin"/><Relationship Id="rId113" Type="http://schemas.openxmlformats.org/officeDocument/2006/relationships/image" Target="media/image51.wmf"/><Relationship Id="rId112" Type="http://schemas.openxmlformats.org/officeDocument/2006/relationships/oleObject" Target="embeddings/oleObject53.bin"/><Relationship Id="rId111" Type="http://schemas.openxmlformats.org/officeDocument/2006/relationships/image" Target="media/image50.wmf"/><Relationship Id="rId110" Type="http://schemas.openxmlformats.org/officeDocument/2006/relationships/oleObject" Target="embeddings/oleObject52.bin"/><Relationship Id="rId11" Type="http://schemas.openxmlformats.org/officeDocument/2006/relationships/image" Target="media/image1.wmf"/><Relationship Id="rId109" Type="http://schemas.openxmlformats.org/officeDocument/2006/relationships/image" Target="media/image49.wmf"/><Relationship Id="rId108" Type="http://schemas.openxmlformats.org/officeDocument/2006/relationships/oleObject" Target="embeddings/oleObject51.bin"/><Relationship Id="rId107" Type="http://schemas.openxmlformats.org/officeDocument/2006/relationships/image" Target="media/image48.emf"/><Relationship Id="rId106" Type="http://schemas.openxmlformats.org/officeDocument/2006/relationships/oleObject" Target="embeddings/oleObject50.bin"/><Relationship Id="rId105" Type="http://schemas.openxmlformats.org/officeDocument/2006/relationships/image" Target="media/image47.wmf"/><Relationship Id="rId104" Type="http://schemas.openxmlformats.org/officeDocument/2006/relationships/oleObject" Target="embeddings/oleObject49.bin"/><Relationship Id="rId103" Type="http://schemas.openxmlformats.org/officeDocument/2006/relationships/image" Target="media/image46.wmf"/><Relationship Id="rId102" Type="http://schemas.openxmlformats.org/officeDocument/2006/relationships/oleObject" Target="embeddings/oleObject48.bin"/><Relationship Id="rId101" Type="http://schemas.openxmlformats.org/officeDocument/2006/relationships/image" Target="media/image45.wmf"/><Relationship Id="rId100" Type="http://schemas.openxmlformats.org/officeDocument/2006/relationships/oleObject" Target="embeddings/oleObject47.bin"/><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CABR</Company>
  <Pages>97</Pages>
  <Words>49474</Words>
  <Characters>56905</Characters>
  <Lines>527</Lines>
  <Paragraphs>148</Paragraphs>
  <TotalTime>396</TotalTime>
  <ScaleCrop>false</ScaleCrop>
  <LinksUpToDate>false</LinksUpToDate>
  <CharactersWithSpaces>59739</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2023-05-07T15:00:00Z</dcterms:created>
  <dc:creator>mao msysheep</dc:creator>
  <cp:lastModifiedBy>zxz</cp:lastModifiedBy>
  <cp:lastPrinted>2023-05-15T10:21:00Z</cp:lastPrinted>
  <dcterms:modified xsi:type="dcterms:W3CDTF">2023-05-24T14:15:47Z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2052-11.8.2.10386</vt:lpwstr>
  </property>
  <property fmtid="{D5CDD505-2E9C-101B-9397-08002B2CF9AE}" pid="4" name="ICV">
    <vt:lpwstr>5A4433688870401685E57CA35F42C15A_13</vt:lpwstr>
  </property>
</Properties>
</file>