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44"/>
          <w:szCs w:val="44"/>
        </w:rPr>
      </w:pPr>
      <w:r>
        <w:rPr>
          <w:rFonts w:hint="eastAsia" w:ascii="宋体" w:hAnsi="宋体" w:cs="宋体"/>
          <w:b/>
          <w:sz w:val="32"/>
          <w:szCs w:val="32"/>
        </w:rPr>
        <w:t>深圳市《酒店建筑装配式装修技术标准》编制说明</w:t>
      </w:r>
    </w:p>
    <w:p>
      <w:pPr>
        <w:spacing w:line="360" w:lineRule="auto"/>
        <w:jc w:val="center"/>
        <w:rPr>
          <w:rFonts w:ascii="宋体" w:hAnsi="宋体" w:cs="宋体"/>
          <w:b/>
          <w:sz w:val="44"/>
          <w:szCs w:val="44"/>
        </w:rPr>
      </w:pPr>
    </w:p>
    <w:p>
      <w:pPr>
        <w:spacing w:line="360" w:lineRule="auto"/>
        <w:ind w:firstLine="63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受深圳市住房和建设局委托并在其指导下，深圳市元弘建筑装饰创意和产业技术研究院牵头组建标准编制组，根据深圳市酒店建筑装配式装修技术应用要求需要，填补我市酒店建筑装配式装修标准规范领域的空白，为后续酒店建筑装配式装修有关政策编制、技术推广及市场实施提供有力地支撑。经广泛调查研究，认真总结实践经验，参考相关标准，并在广泛征求各方意见的基础上，编制完成了《酒店建筑装配式装修技术标准》（以下简称“本标准”）。现将编制有关情况报告如下：</w:t>
      </w:r>
    </w:p>
    <w:p>
      <w:pPr>
        <w:pStyle w:val="16"/>
        <w:numPr>
          <w:ilvl w:val="0"/>
          <w:numId w:val="1"/>
        </w:numPr>
        <w:spacing w:line="360" w:lineRule="auto"/>
        <w:ind w:firstLineChars="0"/>
        <w:contextualSpacing/>
        <w:jc w:val="left"/>
        <w:outlineLvl w:val="0"/>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标准编制的必要性和目的</w:t>
      </w:r>
    </w:p>
    <w:p>
      <w:pPr>
        <w:spacing w:line="360" w:lineRule="auto"/>
        <w:ind w:firstLine="63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贯彻落实上级主管部门的政策指引，根据国家的新型建筑工业化相关文件指导和要求，建筑装配式正在蓬勃发展，新建建筑装配率不断提高，可以预见的未来将成为主要的建筑建设方式。而装饰装修作为建筑业的三大支柱之一，以及装配式建筑评价的重要组成部分，建设单位对于装配式装修的需求也在日益提高，行业主要企业已经开始了装配式装修的探索和应用。但是关于装配式装修的相关技术标准尚未齐备，存在针对性和适用性不强的问题，无法满足社会日益提高的使用需要，亟待填补。</w:t>
      </w:r>
    </w:p>
    <w:p>
      <w:pPr>
        <w:spacing w:line="360" w:lineRule="auto"/>
        <w:ind w:firstLine="63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深圳作为中国特色社会主义先行示范区，除了在经济发展领域起到先行示范的作用以外，还需要承担推进城市现代化建设的重任。针对深圳市装配式建筑的发展道路及其特点，编制组为有效地推广装配式装修技术应用，推动装配式建筑高质量发展，提出符合深圳市实际情况的酒店建筑装配式装修技术要求，从而综合提升了酒店建筑装修的质量与标准。</w:t>
      </w:r>
    </w:p>
    <w:p>
      <w:pPr>
        <w:spacing w:line="360" w:lineRule="auto"/>
        <w:ind w:firstLine="560" w:firstLineChars="20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成果将通过研究深圳市酒店建筑装配式装修技术应用要求，先行先试形成适合深圳的技术标准，填补深圳市酒店建筑装配式装修标准规范领域的空白，为后续酒店建筑装配式装修有关政策编制、技术推广及市场实施提供有力地支撑。</w:t>
      </w:r>
    </w:p>
    <w:p>
      <w:pPr>
        <w:pStyle w:val="16"/>
        <w:numPr>
          <w:ilvl w:val="0"/>
          <w:numId w:val="1"/>
        </w:numPr>
        <w:spacing w:line="360" w:lineRule="auto"/>
        <w:ind w:firstLineChars="0"/>
        <w:contextualSpacing/>
        <w:jc w:val="left"/>
        <w:outlineLvl w:val="1"/>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任务来源及编制组组成</w:t>
      </w:r>
    </w:p>
    <w:p>
      <w:pPr>
        <w:numPr>
          <w:ilvl w:val="0"/>
          <w:numId w:val="2"/>
        </w:numPr>
        <w:spacing w:line="360" w:lineRule="auto"/>
        <w:ind w:firstLine="63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任务来源：依据深圳市住房和建设局于202</w:t>
      </w:r>
      <w:r>
        <w:rPr>
          <w:rFonts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t>年</w:t>
      </w:r>
      <w:r>
        <w:rPr>
          <w:rFonts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t>月2</w:t>
      </w:r>
      <w:r>
        <w:rPr>
          <w:rFonts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t>日发布的《2021年深圳市工程建设标准制订、修订计划（第一批）》通知，深圳市元弘建筑装饰创意和产业技术研究院向深圳市住房和建设局提交了《酒店建筑装配式装修技术标准制定项目建议书》，经审议，已取得深圳市住房和建设局批复立项。</w:t>
      </w:r>
    </w:p>
    <w:p>
      <w:pPr>
        <w:numPr>
          <w:ilvl w:val="0"/>
          <w:numId w:val="2"/>
        </w:numPr>
        <w:spacing w:line="360" w:lineRule="auto"/>
        <w:ind w:firstLine="63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编制组组成：本标准主编单位为深圳市元弘建筑装饰创意和产业技术研究院、深圳广田集团股份有限公司、深圳华森建筑与工程设计顾问有限公司、深圳市郑中设计股份有限公司。参编单位为深圳安星建设集团有限公司、深圳市土地投资开发中心、深圳龙源精造建设集团有限公司、深圳市卓艺建设装饰工程股份有限公司、深圳市特艺达装饰设计工程有限公司、深圳市中装建设集团股份有限公司等。</w:t>
      </w:r>
    </w:p>
    <w:p>
      <w:pPr>
        <w:pStyle w:val="16"/>
        <w:numPr>
          <w:ilvl w:val="0"/>
          <w:numId w:val="1"/>
        </w:numPr>
        <w:spacing w:line="360" w:lineRule="auto"/>
        <w:ind w:firstLineChars="0"/>
        <w:contextualSpacing/>
        <w:jc w:val="left"/>
        <w:outlineLvl w:val="1"/>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编制背景</w:t>
      </w:r>
    </w:p>
    <w:p>
      <w:pPr>
        <w:pStyle w:val="8"/>
        <w:shd w:val="clear" w:color="auto" w:fill="FFFFFF"/>
        <w:spacing w:before="0" w:beforeAutospacing="0" w:after="0" w:afterAutospacing="0"/>
        <w:ind w:firstLine="560" w:firstLineChars="200"/>
        <w:jc w:val="both"/>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为贯彻落实国务院上级主管部门政策文件的具体要求，根据《国务院办公厅关于大力发展装配式建筑的指导意见》（国发办〔2016〕71号）、《关于做好装配式建筑项目实施有关工作的通知》（深建规〔2018</w:t>
      </w:r>
      <w:r>
        <w:rPr>
          <w:rFonts w:hint="eastAsia" w:asciiTheme="minorEastAsia" w:hAnsiTheme="minorEastAsia" w:eastAsiaTheme="minorEastAsia" w:cstheme="minorEastAsia"/>
          <w:kern w:val="2"/>
          <w:sz w:val="28"/>
          <w:szCs w:val="28"/>
        </w:rPr>
        <w:t>〕13号）《深圳经济特区绿色建筑条例》等国家装配式建筑及绿色建筑相关文件</w:t>
      </w:r>
      <w:r>
        <w:rPr>
          <w:rFonts w:hint="eastAsia" w:asciiTheme="minorEastAsia" w:hAnsiTheme="minorEastAsia" w:eastAsiaTheme="minorEastAsia" w:cstheme="minorEastAsia"/>
          <w:sz w:val="28"/>
          <w:szCs w:val="28"/>
        </w:rPr>
        <w:t>的指导和要求。建筑装配式正在蓬勃发展，新建建筑装配式率不断提高，可以预见的未来将成为主要的建筑建设方式。而装饰装修作为建筑业的三大支柱之一，以及装配式建筑评价的重要组成部分，建设单位对于装配式装修的需求也在日益提高，行业主要企业已经开始了装配式装修的探索和应用，但是关于装配式装修的相关技术标准尚未齐备，存在针对性和适用性不强的问题，无法满足社会日益提高的使用需要，亟待填补。</w:t>
      </w:r>
    </w:p>
    <w:p>
      <w:pPr>
        <w:spacing w:line="360" w:lineRule="auto"/>
        <w:ind w:firstLine="560" w:firstLineChars="20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酒店是为宾客提供歇宿和饮食的场所，包括不限于客房区、餐饮区、公共活动区、会议和展览区、健身娱乐玉、行政后勤区等多个功能布局分区，不同的功能分区体现着不同的装饰装修标准。让装配式建筑走进酒店建筑，在推进建筑行业新旧动能转换方面具有十分重要的实践意义，并引导酒店建筑持续升级，为旅客提供更好的居住、会议等环境，改变传统的装饰装修模式，为酒店建筑提供更安全、环保、快捷的装配式装修方式，可维护性、实施性、适用性、舒适性的要求也随之提升，现在国内现行装配式装修标准主要是针对住宅室内空间，对于酒店等公共建筑装配式装修的标准少之又少。</w:t>
      </w:r>
    </w:p>
    <w:p>
      <w:pPr>
        <w:spacing w:line="360" w:lineRule="auto"/>
        <w:ind w:firstLine="560" w:firstLineChars="20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因此，为填补酒店建筑装配式装修标准规范领域内的空白，为后续酒店建筑装配式装修有关政策编制、技术推广及市场实施提供有力支撑，深圳市元弘建筑装饰创意和产业技术研究院就如何改善装配式装修技术标准不完备、针对性、操作性、适用性不强等方面进行了深入研究，决定起草编制《酒店建筑装配式装修技术标准》，建立健全完善的酒店建筑装配式装修标准，对酒店建筑装配式装修进行全方位、多层次、多角度分析，从源头抓起，使酒店建筑拥有更加具体的标准体系，推动产业进一步升级。</w:t>
      </w:r>
    </w:p>
    <w:p>
      <w:pPr>
        <w:spacing w:line="360" w:lineRule="auto"/>
        <w:ind w:firstLine="560" w:firstLineChars="20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编制时主要依据标准和参考文献如下：</w:t>
      </w:r>
    </w:p>
    <w:p>
      <w:pPr>
        <w:spacing w:line="360" w:lineRule="auto"/>
        <w:ind w:firstLine="560" w:firstLineChars="20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国家及行业标准：</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《建筑工程施工质量验收统一标准》GB 50300</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《建筑装饰装修工程质量验收标准》GB 50210</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《民用建筑工程室内环境污染控制规范》GB 50325</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《建筑内部装修设计防火规范》GB 50222</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《建筑设计防火规范》GB 50016</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《民用建筑隔声设计规范》GB 50118</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《建筑用轻钢龙骨》GB／T 11981</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《建筑地面工程施工质量验收规范》GB 50209</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《建筑给水排水及采暖工程施工质量验收规范》GB 50242</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《通风与空调工程施工质量验收规范》GB 50243</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《智能建筑工程施工规范》GB 50606</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《智能建筑工程质量验收规范》GB 50339</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《建筑电气工程施工质量验收规范》GB 50303</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《火灾自动报警系统施工及验收规范》GB 50166</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《建筑照明设计标准》 》 GB 50034</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《建筑隔墙用轻质条板》JG/T 169</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《装配式整体卫生间应用技术标准》JGJ/T 467</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《建筑装饰装修工程成品保护技术标准》JGJ/T 427</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《辐射供暖供冷技术规程》JGJ 142</w:t>
      </w:r>
    </w:p>
    <w:p>
      <w:pPr>
        <w:pStyle w:val="28"/>
        <w:numPr>
          <w:ilvl w:val="0"/>
          <w:numId w:val="3"/>
        </w:numPr>
        <w:spacing w:line="360" w:lineRule="auto"/>
        <w:ind w:firstLineChars="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《建筑轻质条板隔墙技术规程》JGJ/T 157</w:t>
      </w:r>
    </w:p>
    <w:p>
      <w:pPr>
        <w:pStyle w:val="16"/>
        <w:numPr>
          <w:ilvl w:val="0"/>
          <w:numId w:val="1"/>
        </w:numPr>
        <w:spacing w:line="360" w:lineRule="auto"/>
        <w:ind w:firstLineChars="0"/>
        <w:contextualSpacing/>
        <w:jc w:val="left"/>
        <w:outlineLvl w:val="1"/>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标准编制详细过程</w:t>
      </w:r>
    </w:p>
    <w:p>
      <w:pPr>
        <w:pStyle w:val="16"/>
        <w:numPr>
          <w:ilvl w:val="0"/>
          <w:numId w:val="4"/>
        </w:numPr>
        <w:spacing w:line="360" w:lineRule="auto"/>
        <w:ind w:left="0" w:firstLine="560"/>
        <w:contextualSpacing/>
        <w:rPr>
          <w:rFonts w:asciiTheme="minorEastAsia" w:hAnsiTheme="minorEastAsia" w:eastAsiaTheme="minorEastAsia" w:cstheme="minorEastAsia"/>
          <w:iCs/>
          <w:sz w:val="28"/>
          <w:szCs w:val="28"/>
        </w:rPr>
      </w:pPr>
      <w:r>
        <w:rPr>
          <w:rFonts w:hint="eastAsia" w:asciiTheme="minorEastAsia" w:hAnsiTheme="minorEastAsia" w:eastAsiaTheme="minorEastAsia" w:cstheme="minorEastAsia"/>
          <w:iCs/>
          <w:sz w:val="28"/>
          <w:szCs w:val="28"/>
        </w:rPr>
        <w:t>成立编制工作组</w:t>
      </w:r>
    </w:p>
    <w:p>
      <w:pPr>
        <w:spacing w:line="360" w:lineRule="auto"/>
        <w:ind w:firstLine="560" w:firstLineChars="200"/>
        <w:contextualSpacing/>
        <w:rPr>
          <w:rFonts w:asciiTheme="minorEastAsia" w:hAnsiTheme="minorEastAsia" w:eastAsiaTheme="minorEastAsia" w:cstheme="minorEastAsia"/>
          <w:sz w:val="28"/>
          <w:szCs w:val="28"/>
        </w:rPr>
      </w:pPr>
      <w:r>
        <w:rPr>
          <w:rFonts w:asciiTheme="minorEastAsia" w:hAnsiTheme="minorEastAsia" w:eastAsiaTheme="minorEastAsia" w:cstheme="minorEastAsia"/>
          <w:sz w:val="28"/>
          <w:szCs w:val="28"/>
        </w:rPr>
        <w:t>2021</w:t>
      </w:r>
      <w:r>
        <w:rPr>
          <w:rFonts w:hint="eastAsia" w:asciiTheme="minorEastAsia" w:hAnsiTheme="minorEastAsia" w:eastAsiaTheme="minorEastAsia" w:cstheme="minorEastAsia"/>
          <w:sz w:val="28"/>
          <w:szCs w:val="28"/>
        </w:rPr>
        <w:t>年1</w:t>
      </w:r>
      <w:r>
        <w:rPr>
          <w:rFonts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t>月1</w:t>
      </w:r>
      <w:r>
        <w:rPr>
          <w:rFonts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t>日，各参编单位进行酒店建筑装配式装修技术标准启动会议。</w:t>
      </w:r>
    </w:p>
    <w:p>
      <w:pPr>
        <w:spacing w:line="360" w:lineRule="auto"/>
        <w:ind w:firstLine="560" w:firstLineChars="200"/>
        <w:contextualSpacing/>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r>
        <w:rPr>
          <w:rFonts w:asciiTheme="minorEastAsia" w:hAnsiTheme="minorEastAsia" w:eastAsiaTheme="minorEastAsia" w:cstheme="minorEastAsia"/>
          <w:sz w:val="28"/>
          <w:szCs w:val="28"/>
        </w:rPr>
        <w:t>022</w:t>
      </w:r>
      <w:r>
        <w:rPr>
          <w:rFonts w:hint="eastAsia" w:asciiTheme="minorEastAsia" w:hAnsiTheme="minorEastAsia" w:eastAsiaTheme="minorEastAsia" w:cstheme="minorEastAsia"/>
          <w:sz w:val="28"/>
          <w:szCs w:val="28"/>
        </w:rPr>
        <w:t>年4月7日，完成统稿前会，针对如果结合酒店特色，将酒店标准与居住建筑标准作出区别展开详细讨论，明确下一步编制思路。</w:t>
      </w:r>
    </w:p>
    <w:p>
      <w:pPr>
        <w:spacing w:line="360" w:lineRule="auto"/>
        <w:ind w:firstLine="560" w:firstLineChars="200"/>
        <w:contextualSpacing/>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202</w:t>
      </w:r>
      <w:r>
        <w:rPr>
          <w:rFonts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t>年</w:t>
      </w:r>
      <w:r>
        <w:rPr>
          <w:rFonts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t>月3</w:t>
      </w:r>
      <w:r>
        <w:rPr>
          <w:rFonts w:asciiTheme="minorEastAsia" w:hAnsiTheme="minorEastAsia" w:eastAsiaTheme="minorEastAsia" w:cstheme="minorEastAsia"/>
          <w:sz w:val="28"/>
          <w:szCs w:val="28"/>
        </w:rPr>
        <w:t>0</w:t>
      </w:r>
      <w:r>
        <w:rPr>
          <w:rFonts w:hint="eastAsia" w:asciiTheme="minorEastAsia" w:hAnsiTheme="minorEastAsia" w:eastAsiaTheme="minorEastAsia" w:cstheme="minorEastAsia"/>
          <w:sz w:val="28"/>
          <w:szCs w:val="28"/>
        </w:rPr>
        <w:t>日，完成第一次统稿会议，根据章节内容及分布情况，整理各章节对应参考条文并结合实际情况细化各章节条文，形成初稿。</w:t>
      </w:r>
    </w:p>
    <w:p>
      <w:pPr>
        <w:spacing w:line="360" w:lineRule="auto"/>
        <w:ind w:firstLine="560" w:firstLineChars="200"/>
        <w:contextualSpacing/>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r>
        <w:rPr>
          <w:rFonts w:asciiTheme="minorEastAsia" w:hAnsiTheme="minorEastAsia" w:eastAsiaTheme="minorEastAsia" w:cstheme="minorEastAsia"/>
          <w:sz w:val="28"/>
          <w:szCs w:val="28"/>
        </w:rPr>
        <w:t>022</w:t>
      </w:r>
      <w:r>
        <w:rPr>
          <w:rFonts w:hint="eastAsia" w:asciiTheme="minorEastAsia" w:hAnsiTheme="minorEastAsia" w:eastAsiaTheme="minorEastAsia" w:cstheme="minorEastAsia"/>
          <w:sz w:val="28"/>
          <w:szCs w:val="28"/>
        </w:rPr>
        <w:t>年9月2</w:t>
      </w:r>
      <w:r>
        <w:rPr>
          <w:rFonts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t>日，第二次统稿会议。会议中，主编单位对《酒店建筑装配式装修技术标准》内容做出分析，各专家就第二次统稿意见、进度计划安排等进行了广泛深入的讨论，提出相应的意见及建议，重点围绕低碳、环保、绿色、节能材料以及隔音性、防水性等内容交流，为后续标准编写提供有力支持。</w:t>
      </w:r>
    </w:p>
    <w:p>
      <w:pPr>
        <w:spacing w:line="360" w:lineRule="auto"/>
        <w:ind w:firstLine="560" w:firstLineChars="200"/>
        <w:contextualSpacing/>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202</w:t>
      </w:r>
      <w:r>
        <w:rPr>
          <w:rFonts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t>年</w:t>
      </w:r>
      <w:r>
        <w:rPr>
          <w:rFonts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t>月</w:t>
      </w:r>
      <w:r>
        <w:rPr>
          <w:rFonts w:asciiTheme="minorEastAsia" w:hAnsiTheme="minorEastAsia" w:eastAsiaTheme="minorEastAsia" w:cstheme="minorEastAsia"/>
          <w:sz w:val="28"/>
          <w:szCs w:val="28"/>
        </w:rPr>
        <w:t>17</w:t>
      </w:r>
      <w:r>
        <w:rPr>
          <w:rFonts w:hint="eastAsia" w:asciiTheme="minorEastAsia" w:hAnsiTheme="minorEastAsia" w:eastAsiaTheme="minorEastAsia" w:cstheme="minorEastAsia"/>
          <w:sz w:val="28"/>
          <w:szCs w:val="28"/>
        </w:rPr>
        <w:t>日，根据统稿意见进行修订，形成征求意见稿。</w:t>
      </w:r>
    </w:p>
    <w:p>
      <w:pPr>
        <w:spacing w:line="360" w:lineRule="auto"/>
        <w:ind w:firstLine="560" w:firstLineChars="200"/>
        <w:contextualSpacing/>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202</w:t>
      </w:r>
      <w:r>
        <w:rPr>
          <w:rFonts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t>年</w:t>
      </w:r>
      <w:r>
        <w:rPr>
          <w:rFonts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t>月</w:t>
      </w:r>
      <w:r>
        <w:rPr>
          <w:rFonts w:asciiTheme="minorEastAsia" w:hAnsiTheme="minorEastAsia" w:eastAsiaTheme="minorEastAsia" w:cstheme="minorEastAsia"/>
          <w:sz w:val="28"/>
          <w:szCs w:val="28"/>
        </w:rPr>
        <w:t>28</w:t>
      </w:r>
      <w:r>
        <w:rPr>
          <w:rFonts w:hint="eastAsia" w:asciiTheme="minorEastAsia" w:hAnsiTheme="minorEastAsia" w:eastAsiaTheme="minorEastAsia" w:cstheme="minorEastAsia"/>
          <w:sz w:val="28"/>
          <w:szCs w:val="28"/>
        </w:rPr>
        <w:t>日，形成征求意见稿并发送至住建局，待发布正式征求意见。</w:t>
      </w:r>
    </w:p>
    <w:p>
      <w:pPr>
        <w:spacing w:line="360" w:lineRule="auto"/>
        <w:contextualSpacing/>
        <w:rPr>
          <w:rFonts w:asciiTheme="minorEastAsia" w:hAnsiTheme="minorEastAsia" w:eastAsiaTheme="minorEastAsia" w:cstheme="minorEastAsia"/>
          <w:sz w:val="28"/>
          <w:szCs w:val="28"/>
        </w:rPr>
      </w:pPr>
      <w:bookmarkStart w:id="0" w:name="_GoBack"/>
      <w:bookmarkEnd w:id="0"/>
      <w:r>
        <w:rPr>
          <w:rFonts w:asciiTheme="minorEastAsia" w:hAnsiTheme="minorEastAsia" w:eastAsiaTheme="minorEastAsia" w:cstheme="minorEastAsia"/>
          <w:sz w:val="28"/>
          <w:szCs w:val="28"/>
        </w:rPr>
        <w:drawing>
          <wp:inline distT="0" distB="0" distL="0" distR="0">
            <wp:extent cx="5246370" cy="3955415"/>
            <wp:effectExtent l="0" t="0" r="11430" b="6985"/>
            <wp:docPr id="12" name="图片 12" descr="/Users/yoitsjkensinacom/Desktop/WechatIMG495.jpegWechatIMG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yoitsjkensinacom/Desktop/WechatIMG495.jpegWechatIMG495"/>
                    <pic:cNvPicPr>
                      <a:picLocks noChangeAspect="1" noChangeArrowheads="1"/>
                    </pic:cNvPicPr>
                  </pic:nvPicPr>
                  <pic:blipFill>
                    <a:blip r:embed="rId5"/>
                    <a:srcRect/>
                    <a:stretch>
                      <a:fillRect/>
                    </a:stretch>
                  </pic:blipFill>
                  <pic:spPr>
                    <a:xfrm>
                      <a:off x="0" y="0"/>
                      <a:ext cx="5246370" cy="3955814"/>
                    </a:xfrm>
                    <a:prstGeom prst="rect">
                      <a:avLst/>
                    </a:prstGeom>
                    <a:noFill/>
                    <a:ln>
                      <a:noFill/>
                    </a:ln>
                  </pic:spPr>
                </pic:pic>
              </a:graphicData>
            </a:graphic>
          </wp:inline>
        </w:drawing>
      </w:r>
      <w:r>
        <w:rPr>
          <w:rFonts w:asciiTheme="minorEastAsia" w:hAnsiTheme="minorEastAsia" w:eastAsiaTheme="minorEastAsia" w:cstheme="minorEastAsia"/>
          <w:sz w:val="28"/>
          <w:szCs w:val="28"/>
        </w:rPr>
        <w:drawing>
          <wp:inline distT="0" distB="0" distL="0" distR="0">
            <wp:extent cx="5274310" cy="3955415"/>
            <wp:effectExtent l="0" t="0" r="2540" b="6985"/>
            <wp:docPr id="13" name="图片 13" descr="F:\002-xiaoyu工作文件夹\02-标准及工法\001-参编标准\04-2021年参编\03-酒店建筑装配式装修技术标准\005-20220407标准会前会议\酒店标准会前会议过程照片\IMG_20220407_16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002-xiaoyu工作文件夹\02-标准及工法\001-参编标准\04-2021年参编\03-酒店建筑装配式装修技术标准\005-20220407标准会前会议\酒店标准会前会议过程照片\IMG_20220407_16454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r>
        <w:rPr>
          <w:rFonts w:asciiTheme="minorEastAsia" w:hAnsiTheme="minorEastAsia" w:eastAsiaTheme="minorEastAsia" w:cstheme="minorEastAsia"/>
          <w:sz w:val="28"/>
          <w:szCs w:val="28"/>
        </w:rPr>
        <w:drawing>
          <wp:inline distT="0" distB="0" distL="0" distR="0">
            <wp:extent cx="5274310" cy="2967355"/>
            <wp:effectExtent l="0" t="0" r="2540" b="4445"/>
            <wp:docPr id="3" name="图片 3" descr="F:\002-xiaoyu工作文件夹\02-标准及工法\001-参编标准\04-2021年参编\03-酒店建筑装配式装修技术标准\000-参编过程照片\酒店建筑装配式装修技术标准9.26第二次统稿会议\酒店建筑装配式装修技术标准-第一次统稿会议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002-xiaoyu工作文件夹\02-标准及工法\001-参编标准\04-2021年参编\03-酒店建筑装配式装修技术标准\000-参编过程照片\酒店建筑装配式装修技术标准9.26第二次统稿会议\酒店建筑装配式装修技术标准-第一次统稿会议合影.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967715"/>
                    </a:xfrm>
                    <a:prstGeom prst="rect">
                      <a:avLst/>
                    </a:prstGeom>
                    <a:noFill/>
                    <a:ln>
                      <a:noFill/>
                    </a:ln>
                  </pic:spPr>
                </pic:pic>
              </a:graphicData>
            </a:graphic>
          </wp:inline>
        </w:drawing>
      </w:r>
    </w:p>
    <w:p>
      <w:pPr>
        <w:spacing w:line="360" w:lineRule="auto"/>
        <w:contextualSpacing/>
        <w:rPr>
          <w:rFonts w:asciiTheme="minorEastAsia" w:hAnsiTheme="minorEastAsia" w:eastAsiaTheme="minorEastAsia" w:cstheme="minorEastAsia"/>
          <w:sz w:val="28"/>
          <w:szCs w:val="28"/>
        </w:rPr>
      </w:pPr>
      <w:r>
        <w:rPr>
          <w:rFonts w:asciiTheme="minorEastAsia" w:hAnsiTheme="minorEastAsia" w:eastAsiaTheme="minorEastAsia" w:cstheme="minorEastAsia"/>
          <w:sz w:val="28"/>
          <w:szCs w:val="28"/>
        </w:rPr>
        <w:drawing>
          <wp:inline distT="0" distB="0" distL="0" distR="0">
            <wp:extent cx="5274310" cy="3515360"/>
            <wp:effectExtent l="0" t="0" r="2540" b="8890"/>
            <wp:docPr id="2" name="图片 2" descr="F:\002-xiaoyu工作文件夹\02-标准及工法\001-参编标准\04-2021年参编\03-酒店建筑装配式装修技术标准\000-参编过程照片\酒店建筑装配式装修技术标准9.26第二次统稿会议\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002-xiaoyu工作文件夹\02-标准及工法\001-参编标准\04-2021年参编\03-酒店建筑装配式装修技术标准\000-参编过程照片\酒店建筑装配式装修技术标准9.26第二次统稿会议\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515398"/>
                    </a:xfrm>
                    <a:prstGeom prst="rect">
                      <a:avLst/>
                    </a:prstGeom>
                    <a:noFill/>
                    <a:ln>
                      <a:noFill/>
                    </a:ln>
                  </pic:spPr>
                </pic:pic>
              </a:graphicData>
            </a:graphic>
          </wp:inline>
        </w:drawing>
      </w:r>
    </w:p>
    <w:p>
      <w:pPr>
        <w:pStyle w:val="16"/>
        <w:numPr>
          <w:ilvl w:val="0"/>
          <w:numId w:val="4"/>
        </w:numPr>
        <w:spacing w:line="360" w:lineRule="auto"/>
        <w:ind w:left="0" w:firstLine="560"/>
        <w:contextualSpacing/>
        <w:rPr>
          <w:rFonts w:asciiTheme="minorEastAsia" w:hAnsiTheme="minorEastAsia" w:eastAsiaTheme="minorEastAsia" w:cstheme="minorEastAsia"/>
          <w:iCs/>
          <w:sz w:val="28"/>
          <w:szCs w:val="28"/>
        </w:rPr>
      </w:pPr>
      <w:r>
        <w:rPr>
          <w:rFonts w:hint="eastAsia" w:asciiTheme="minorEastAsia" w:hAnsiTheme="minorEastAsia" w:eastAsiaTheme="minorEastAsia" w:cstheme="minorEastAsia"/>
          <w:iCs/>
          <w:sz w:val="28"/>
          <w:szCs w:val="28"/>
        </w:rPr>
        <w:t>形成征求意见稿</w:t>
      </w:r>
    </w:p>
    <w:p>
      <w:pPr>
        <w:spacing w:line="360" w:lineRule="auto"/>
        <w:ind w:firstLine="560" w:firstLineChars="200"/>
        <w:contextualSpacing/>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202</w:t>
      </w:r>
      <w:r>
        <w:rPr>
          <w:rFonts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t>年</w:t>
      </w:r>
      <w:r>
        <w:rPr>
          <w:rFonts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t>月至9月，编制组先后召开了</w:t>
      </w:r>
      <w:r>
        <w:rPr>
          <w:rFonts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t>次内部讨论会,结合有关法律法规，充分考虑深圳的实际特点，研究各章节的具体要点，完成本标准初稿的编制。9月末，编制组再次邀请相关单位专家征求意见，根据收集到的反馈意见，编制组对《标准》初稿进行了修改完善，形成了征求意见稿。</w:t>
      </w:r>
    </w:p>
    <w:p>
      <w:pPr>
        <w:spacing w:line="360" w:lineRule="auto"/>
        <w:ind w:firstLine="560" w:firstLineChars="200"/>
        <w:contextualSpacing/>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(四)公开征求意见</w:t>
      </w:r>
    </w:p>
    <w:p>
      <w:pPr>
        <w:spacing w:line="360" w:lineRule="auto"/>
        <w:ind w:firstLine="560" w:firstLineChars="200"/>
        <w:contextualSpacing/>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202</w:t>
      </w:r>
      <w:r>
        <w:rPr>
          <w:rFonts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t>年</w:t>
      </w:r>
      <w:r>
        <w:rPr>
          <w:rFonts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t>月28日，发送至深圳市住建局，等待正式公开征求意见。</w:t>
      </w:r>
    </w:p>
    <w:p>
      <w:pPr>
        <w:pStyle w:val="16"/>
        <w:numPr>
          <w:ilvl w:val="0"/>
          <w:numId w:val="1"/>
        </w:numPr>
        <w:spacing w:line="360" w:lineRule="auto"/>
        <w:ind w:firstLineChars="0"/>
        <w:contextualSpacing/>
        <w:jc w:val="left"/>
        <w:outlineLvl w:val="1"/>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标准主要内容及创新点</w:t>
      </w:r>
    </w:p>
    <w:p>
      <w:pPr>
        <w:pStyle w:val="16"/>
        <w:numPr>
          <w:ilvl w:val="0"/>
          <w:numId w:val="5"/>
        </w:numPr>
        <w:spacing w:line="360" w:lineRule="auto"/>
        <w:ind w:firstLineChars="0"/>
        <w:contextualSpacing/>
        <w:rPr>
          <w:rFonts w:asciiTheme="minorEastAsia" w:hAnsiTheme="minorEastAsia" w:eastAsiaTheme="minorEastAsia" w:cstheme="minorEastAsia"/>
          <w:b/>
          <w:bCs/>
          <w:iCs/>
          <w:sz w:val="28"/>
          <w:szCs w:val="28"/>
        </w:rPr>
      </w:pPr>
      <w:r>
        <w:rPr>
          <w:rFonts w:hint="eastAsia" w:asciiTheme="minorEastAsia" w:hAnsiTheme="minorEastAsia" w:eastAsiaTheme="minorEastAsia" w:cstheme="minorEastAsia"/>
          <w:b/>
          <w:bCs/>
          <w:iCs/>
          <w:sz w:val="28"/>
          <w:szCs w:val="28"/>
        </w:rPr>
        <w:t>标准主要内容</w:t>
      </w:r>
    </w:p>
    <w:p>
      <w:pPr>
        <w:spacing w:line="360" w:lineRule="auto"/>
        <w:ind w:left="640"/>
        <w:contextualSpacing/>
        <w:rPr>
          <w:rFonts w:asciiTheme="minorEastAsia" w:hAnsiTheme="minorEastAsia" w:eastAsiaTheme="minorEastAsia" w:cstheme="minorEastAsia"/>
          <w:iCs/>
          <w:sz w:val="28"/>
          <w:szCs w:val="28"/>
        </w:rPr>
      </w:pPr>
      <w:r>
        <w:rPr>
          <w:rFonts w:hint="eastAsia" w:asciiTheme="minorEastAsia" w:hAnsiTheme="minorEastAsia" w:eastAsiaTheme="minorEastAsia" w:cstheme="minorEastAsia"/>
          <w:iCs/>
          <w:sz w:val="28"/>
          <w:szCs w:val="28"/>
        </w:rPr>
        <w:t>本标准主要内容包括：</w:t>
      </w:r>
    </w:p>
    <w:p>
      <w:pPr>
        <w:spacing w:line="360" w:lineRule="auto"/>
        <w:ind w:firstLine="560" w:firstLineChars="200"/>
        <w:contextualSpacing/>
        <w:rPr>
          <w:rFonts w:asciiTheme="minorEastAsia" w:hAnsiTheme="minorEastAsia" w:eastAsiaTheme="minorEastAsia" w:cstheme="minorEastAsia"/>
          <w:iCs/>
          <w:sz w:val="28"/>
          <w:szCs w:val="28"/>
        </w:rPr>
      </w:pPr>
      <w:r>
        <w:rPr>
          <w:rFonts w:hint="eastAsia" w:asciiTheme="minorEastAsia" w:hAnsiTheme="minorEastAsia" w:eastAsiaTheme="minorEastAsia" w:cstheme="minorEastAsia"/>
          <w:iCs/>
          <w:sz w:val="28"/>
          <w:szCs w:val="28"/>
        </w:rPr>
        <w:t>1.总则</w:t>
      </w:r>
    </w:p>
    <w:p>
      <w:pPr>
        <w:spacing w:line="360" w:lineRule="auto"/>
        <w:ind w:firstLine="560" w:firstLineChars="200"/>
        <w:contextualSpacing/>
        <w:rPr>
          <w:rFonts w:asciiTheme="minorEastAsia" w:hAnsiTheme="minorEastAsia" w:eastAsiaTheme="minorEastAsia" w:cstheme="minorEastAsia"/>
          <w:iCs/>
          <w:sz w:val="28"/>
          <w:szCs w:val="28"/>
        </w:rPr>
      </w:pPr>
      <w:r>
        <w:rPr>
          <w:rFonts w:hint="eastAsia" w:asciiTheme="minorEastAsia" w:hAnsiTheme="minorEastAsia" w:eastAsiaTheme="minorEastAsia" w:cstheme="minorEastAsia"/>
          <w:iCs/>
          <w:sz w:val="28"/>
          <w:szCs w:val="28"/>
        </w:rPr>
        <w:t>2.术语</w:t>
      </w:r>
    </w:p>
    <w:p>
      <w:pPr>
        <w:spacing w:line="360" w:lineRule="auto"/>
        <w:ind w:firstLine="560" w:firstLineChars="200"/>
        <w:contextualSpacing/>
        <w:rPr>
          <w:rFonts w:asciiTheme="minorEastAsia" w:hAnsiTheme="minorEastAsia" w:eastAsiaTheme="minorEastAsia" w:cstheme="minorEastAsia"/>
          <w:iCs/>
          <w:sz w:val="28"/>
          <w:szCs w:val="28"/>
        </w:rPr>
      </w:pPr>
      <w:r>
        <w:rPr>
          <w:rFonts w:hint="eastAsia" w:asciiTheme="minorEastAsia" w:hAnsiTheme="minorEastAsia" w:eastAsiaTheme="minorEastAsia" w:cstheme="minorEastAsia"/>
          <w:iCs/>
          <w:sz w:val="28"/>
          <w:szCs w:val="28"/>
        </w:rPr>
        <w:t>3.基本规定（一般规定、部品部件与材料质量、管线分离、酒店建筑深圳特色、酒店建筑室内环境性能等）</w:t>
      </w:r>
    </w:p>
    <w:p>
      <w:pPr>
        <w:spacing w:line="360" w:lineRule="auto"/>
        <w:ind w:firstLine="560" w:firstLineChars="200"/>
        <w:contextualSpacing/>
        <w:rPr>
          <w:rFonts w:asciiTheme="minorEastAsia" w:hAnsiTheme="minorEastAsia" w:eastAsiaTheme="minorEastAsia" w:cstheme="minorEastAsia"/>
          <w:iCs/>
          <w:sz w:val="28"/>
          <w:szCs w:val="28"/>
        </w:rPr>
      </w:pPr>
      <w:r>
        <w:rPr>
          <w:rFonts w:hint="eastAsia" w:asciiTheme="minorEastAsia" w:hAnsiTheme="minorEastAsia" w:eastAsiaTheme="minorEastAsia" w:cstheme="minorEastAsia"/>
          <w:iCs/>
          <w:sz w:val="28"/>
          <w:szCs w:val="28"/>
        </w:rPr>
        <w:t>4.设计（一般规定、标准化设计、隔墙及墙面、吊顶、墙面、楼地面、卫生间、内门窗、设备管线、定制家具与细部工程）</w:t>
      </w:r>
    </w:p>
    <w:p>
      <w:pPr>
        <w:spacing w:line="360" w:lineRule="auto"/>
        <w:ind w:firstLine="560" w:firstLineChars="200"/>
        <w:contextualSpacing/>
        <w:rPr>
          <w:rFonts w:asciiTheme="minorEastAsia" w:hAnsiTheme="minorEastAsia" w:eastAsiaTheme="minorEastAsia" w:cstheme="minorEastAsia"/>
          <w:iCs/>
          <w:sz w:val="28"/>
          <w:szCs w:val="28"/>
        </w:rPr>
      </w:pPr>
      <w:r>
        <w:rPr>
          <w:rFonts w:hint="eastAsia" w:asciiTheme="minorEastAsia" w:hAnsiTheme="minorEastAsia" w:eastAsiaTheme="minorEastAsia" w:cstheme="minorEastAsia"/>
          <w:iCs/>
          <w:sz w:val="28"/>
          <w:szCs w:val="28"/>
        </w:rPr>
        <w:t>5.生产（一般规定、生产与检验、编码与包装、运输与仓储）</w:t>
      </w:r>
    </w:p>
    <w:p>
      <w:pPr>
        <w:spacing w:line="360" w:lineRule="auto"/>
        <w:ind w:firstLine="560" w:firstLineChars="200"/>
        <w:contextualSpacing/>
        <w:rPr>
          <w:rFonts w:asciiTheme="minorEastAsia" w:hAnsiTheme="minorEastAsia" w:eastAsiaTheme="minorEastAsia" w:cstheme="minorEastAsia"/>
          <w:iCs/>
          <w:sz w:val="28"/>
          <w:szCs w:val="28"/>
        </w:rPr>
      </w:pPr>
      <w:r>
        <w:rPr>
          <w:rFonts w:hint="eastAsia" w:asciiTheme="minorEastAsia" w:hAnsiTheme="minorEastAsia" w:eastAsiaTheme="minorEastAsia" w:cstheme="minorEastAsia"/>
          <w:iCs/>
          <w:sz w:val="28"/>
          <w:szCs w:val="28"/>
        </w:rPr>
        <w:t>6.施工（一般规定、施工准备、装配式隔墙、吊顶、墙面、楼地面、卫生间、内门窗、设备与管线、定制家具与细部工程、成品保护）</w:t>
      </w:r>
    </w:p>
    <w:p>
      <w:pPr>
        <w:spacing w:line="360" w:lineRule="auto"/>
        <w:ind w:firstLine="560" w:firstLineChars="200"/>
        <w:contextualSpacing/>
        <w:rPr>
          <w:rFonts w:asciiTheme="minorEastAsia" w:hAnsiTheme="minorEastAsia" w:eastAsiaTheme="minorEastAsia" w:cstheme="minorEastAsia"/>
          <w:iCs/>
          <w:sz w:val="28"/>
          <w:szCs w:val="28"/>
        </w:rPr>
      </w:pPr>
      <w:r>
        <w:rPr>
          <w:rFonts w:hint="eastAsia" w:asciiTheme="minorEastAsia" w:hAnsiTheme="minorEastAsia" w:eastAsiaTheme="minorEastAsia" w:cstheme="minorEastAsia"/>
          <w:iCs/>
          <w:sz w:val="28"/>
          <w:szCs w:val="28"/>
        </w:rPr>
        <w:t>7.质量验收（一般规定、验收要求、工程资料及移交）</w:t>
      </w:r>
    </w:p>
    <w:p>
      <w:pPr>
        <w:spacing w:line="360" w:lineRule="auto"/>
        <w:ind w:firstLine="560" w:firstLineChars="200"/>
        <w:contextualSpacing/>
        <w:rPr>
          <w:rFonts w:asciiTheme="minorEastAsia" w:hAnsiTheme="minorEastAsia" w:eastAsiaTheme="minorEastAsia" w:cstheme="minorEastAsia"/>
          <w:iCs/>
          <w:sz w:val="28"/>
          <w:szCs w:val="28"/>
        </w:rPr>
      </w:pPr>
      <w:r>
        <w:rPr>
          <w:rFonts w:hint="eastAsia" w:asciiTheme="minorEastAsia" w:hAnsiTheme="minorEastAsia" w:eastAsiaTheme="minorEastAsia" w:cstheme="minorEastAsia"/>
          <w:iCs/>
          <w:sz w:val="28"/>
          <w:szCs w:val="28"/>
        </w:rPr>
        <w:t>8.使用与维护（一般规定、日常检查维护、维修更换）</w:t>
      </w:r>
    </w:p>
    <w:p>
      <w:pPr>
        <w:pStyle w:val="16"/>
        <w:numPr>
          <w:ilvl w:val="0"/>
          <w:numId w:val="5"/>
        </w:numPr>
        <w:spacing w:line="360" w:lineRule="auto"/>
        <w:ind w:firstLineChars="0"/>
        <w:contextualSpacing/>
        <w:rPr>
          <w:rFonts w:asciiTheme="minorEastAsia" w:hAnsiTheme="minorEastAsia" w:eastAsiaTheme="minorEastAsia" w:cstheme="minorEastAsia"/>
          <w:b/>
          <w:bCs/>
          <w:iCs/>
          <w:sz w:val="28"/>
          <w:szCs w:val="28"/>
        </w:rPr>
      </w:pPr>
      <w:r>
        <w:rPr>
          <w:rFonts w:hint="eastAsia" w:asciiTheme="minorEastAsia" w:hAnsiTheme="minorEastAsia" w:eastAsiaTheme="minorEastAsia" w:cstheme="minorEastAsia"/>
          <w:b/>
          <w:bCs/>
          <w:iCs/>
          <w:sz w:val="28"/>
          <w:szCs w:val="28"/>
        </w:rPr>
        <w:t>创新措施</w:t>
      </w:r>
    </w:p>
    <w:p>
      <w:pPr>
        <w:spacing w:line="360" w:lineRule="auto"/>
        <w:ind w:firstLine="560" w:firstLineChars="200"/>
        <w:contextualSpacing/>
        <w:rPr>
          <w:rFonts w:asciiTheme="minorEastAsia" w:hAnsiTheme="minorEastAsia" w:eastAsiaTheme="minorEastAsia" w:cstheme="minorEastAsia"/>
          <w:iCs/>
          <w:sz w:val="28"/>
          <w:szCs w:val="28"/>
        </w:rPr>
      </w:pPr>
      <w:r>
        <w:rPr>
          <w:rFonts w:hint="eastAsia" w:asciiTheme="minorEastAsia" w:hAnsiTheme="minorEastAsia" w:eastAsiaTheme="minorEastAsia" w:cstheme="minorEastAsia"/>
          <w:iCs/>
          <w:sz w:val="28"/>
          <w:szCs w:val="28"/>
        </w:rPr>
        <w:t>1.填补酒店建筑装配式装修技术标准空白。目前在酒店装配式装修标准领域仍属空白，本成果预期将填补酒店装配式装修标准规范领域空白。</w:t>
      </w:r>
    </w:p>
    <w:p>
      <w:pPr>
        <w:spacing w:line="360" w:lineRule="auto"/>
        <w:ind w:firstLine="560" w:firstLineChars="200"/>
        <w:contextualSpacing/>
        <w:rPr>
          <w:rFonts w:asciiTheme="minorEastAsia" w:hAnsiTheme="minorEastAsia" w:eastAsiaTheme="minorEastAsia" w:cstheme="minorEastAsia"/>
          <w:iCs/>
          <w:sz w:val="28"/>
          <w:szCs w:val="28"/>
        </w:rPr>
      </w:pPr>
      <w:r>
        <w:rPr>
          <w:rFonts w:hint="eastAsia" w:asciiTheme="minorEastAsia" w:hAnsiTheme="minorEastAsia" w:eastAsiaTheme="minorEastAsia" w:cstheme="minorEastAsia"/>
          <w:iCs/>
          <w:sz w:val="28"/>
          <w:szCs w:val="28"/>
        </w:rPr>
        <w:t>2.为试点、应用、推广酒店装配式装修提供技术支撑。本标准包括装配式装修的各阶段与专业，预期形成具有广泛推广价值实践应用性研究，可为推动酒店装配式装修规模化应用提供阶段性的参考与技术支撑。</w:t>
      </w:r>
    </w:p>
    <w:p>
      <w:pPr>
        <w:spacing w:line="360" w:lineRule="auto"/>
        <w:ind w:firstLine="560" w:firstLineChars="200"/>
        <w:contextualSpacing/>
        <w:rPr>
          <w:rFonts w:asciiTheme="minorEastAsia" w:hAnsiTheme="minorEastAsia" w:eastAsiaTheme="minorEastAsia" w:cstheme="minorEastAsia"/>
          <w:iCs/>
          <w:sz w:val="28"/>
          <w:szCs w:val="28"/>
        </w:rPr>
      </w:pPr>
      <w:r>
        <w:rPr>
          <w:rFonts w:hint="eastAsia" w:asciiTheme="minorEastAsia" w:hAnsiTheme="minorEastAsia" w:eastAsiaTheme="minorEastAsia" w:cstheme="minorEastAsia"/>
          <w:iCs/>
          <w:sz w:val="28"/>
          <w:szCs w:val="28"/>
        </w:rPr>
        <w:t>3.对装配式装修原材料、质量检验及成品提出要求。本标准成果除对装配式装修设计、生产、施工阶段提出技术要求外，拟对装配式装修提出部品原材料要求、质量检验要求以及成品保护等要求，对装配式装修的更新替换性与维护延续性提出更高要求。</w:t>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wrap="none" lIns="0" tIns="0" rIns="0" bIns="0">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W&#10;AAAAZHJzL1BLAQIUABQAAAAIAIdO4kC5dblS0AAAAAUBAAAPAAAAAAAAAAEAIAAAADgAAABkcnMv&#10;ZG93bnJldi54bWxQSwECFAAUAAAACACHTuJAqnAht7wBAACDAwAADgAAAAAAAAABACAAAAA1AQAA&#10;ZHJzL2Uyb0RvYy54bWxQSwUGAAAAAAYABgBZAQAAYwUAAAAA&#10;">
              <v:fill on="f" focussize="0,0"/>
              <v:stroke on="f"/>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D37823"/>
    <w:multiLevelType w:val="singleLevel"/>
    <w:tmpl w:val="A6D37823"/>
    <w:lvl w:ilvl="0" w:tentative="0">
      <w:start w:val="1"/>
      <w:numFmt w:val="chineseCounting"/>
      <w:suff w:val="nothing"/>
      <w:lvlText w:val="（%1）"/>
      <w:lvlJc w:val="left"/>
      <w:rPr>
        <w:rFonts w:hint="eastAsia"/>
      </w:rPr>
    </w:lvl>
  </w:abstractNum>
  <w:abstractNum w:abstractNumId="1">
    <w:nsid w:val="0C750768"/>
    <w:multiLevelType w:val="multilevel"/>
    <w:tmpl w:val="0C750768"/>
    <w:lvl w:ilvl="0" w:tentative="0">
      <w:start w:val="1"/>
      <w:numFmt w:val="chineseCountingThousand"/>
      <w:lvlText w:val="(%1)"/>
      <w:lvlJc w:val="left"/>
      <w:pPr>
        <w:ind w:left="1060" w:hanging="420"/>
      </w:pPr>
    </w:lvl>
    <w:lvl w:ilvl="1" w:tentative="0">
      <w:start w:val="1"/>
      <w:numFmt w:val="decimal"/>
      <w:lvlText w:val="%2."/>
      <w:lvlJc w:val="left"/>
      <w:pPr>
        <w:ind w:left="2035" w:hanging="975"/>
      </w:pPr>
      <w:rPr>
        <w:rFonts w:hint="default"/>
        <w:b/>
      </w:r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2A1F2BFC"/>
    <w:multiLevelType w:val="multilevel"/>
    <w:tmpl w:val="2A1F2BFC"/>
    <w:lvl w:ilvl="0" w:tentative="0">
      <w:start w:val="1"/>
      <w:numFmt w:val="japaneseCounting"/>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3">
    <w:nsid w:val="2A9A0D24"/>
    <w:multiLevelType w:val="multilevel"/>
    <w:tmpl w:val="2A9A0D24"/>
    <w:lvl w:ilvl="0" w:tentative="0">
      <w:start w:val="1"/>
      <w:numFmt w:val="chineseCountingThousand"/>
      <w:lvlText w:val="(%1)"/>
      <w:lvlJc w:val="left"/>
      <w:pPr>
        <w:ind w:left="1060" w:hanging="420"/>
      </w:pPr>
    </w:lvl>
    <w:lvl w:ilvl="1" w:tentative="0">
      <w:start w:val="1"/>
      <w:numFmt w:val="decimal"/>
      <w:lvlText w:val="%2."/>
      <w:lvlJc w:val="left"/>
      <w:pPr>
        <w:ind w:left="2035" w:hanging="975"/>
      </w:pPr>
      <w:rPr>
        <w:rFonts w:hint="default"/>
        <w:b/>
      </w:r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431238EC"/>
    <w:multiLevelType w:val="multilevel"/>
    <w:tmpl w:val="431238EC"/>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5"/>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C49"/>
    <w:rsid w:val="000118F3"/>
    <w:rsid w:val="000201CB"/>
    <w:rsid w:val="00034038"/>
    <w:rsid w:val="00067DA0"/>
    <w:rsid w:val="00070DA9"/>
    <w:rsid w:val="0007253A"/>
    <w:rsid w:val="00074C77"/>
    <w:rsid w:val="00080138"/>
    <w:rsid w:val="00084D2D"/>
    <w:rsid w:val="000958D8"/>
    <w:rsid w:val="000A3FF9"/>
    <w:rsid w:val="000A7F41"/>
    <w:rsid w:val="000B4318"/>
    <w:rsid w:val="000D0B37"/>
    <w:rsid w:val="000D2021"/>
    <w:rsid w:val="000D4D2E"/>
    <w:rsid w:val="000D70D2"/>
    <w:rsid w:val="000E14A9"/>
    <w:rsid w:val="000E694A"/>
    <w:rsid w:val="000F0366"/>
    <w:rsid w:val="000F14DF"/>
    <w:rsid w:val="000F68BE"/>
    <w:rsid w:val="001026D4"/>
    <w:rsid w:val="001157F2"/>
    <w:rsid w:val="00130117"/>
    <w:rsid w:val="00131119"/>
    <w:rsid w:val="00155249"/>
    <w:rsid w:val="00156A6F"/>
    <w:rsid w:val="0017176A"/>
    <w:rsid w:val="001773D0"/>
    <w:rsid w:val="001815E5"/>
    <w:rsid w:val="001853AB"/>
    <w:rsid w:val="00185B91"/>
    <w:rsid w:val="00186C0F"/>
    <w:rsid w:val="001A5E54"/>
    <w:rsid w:val="001A69DE"/>
    <w:rsid w:val="001B41F8"/>
    <w:rsid w:val="001B5024"/>
    <w:rsid w:val="001B7986"/>
    <w:rsid w:val="001C49A1"/>
    <w:rsid w:val="001E2142"/>
    <w:rsid w:val="001E5383"/>
    <w:rsid w:val="001F1154"/>
    <w:rsid w:val="001F1D38"/>
    <w:rsid w:val="001F757E"/>
    <w:rsid w:val="00213170"/>
    <w:rsid w:val="00221DCE"/>
    <w:rsid w:val="002358B1"/>
    <w:rsid w:val="00240F4D"/>
    <w:rsid w:val="0024103A"/>
    <w:rsid w:val="002439AE"/>
    <w:rsid w:val="00251A45"/>
    <w:rsid w:val="00252AD8"/>
    <w:rsid w:val="00261464"/>
    <w:rsid w:val="00286873"/>
    <w:rsid w:val="0029220C"/>
    <w:rsid w:val="002A16AF"/>
    <w:rsid w:val="002A2D44"/>
    <w:rsid w:val="002A405C"/>
    <w:rsid w:val="002B21C9"/>
    <w:rsid w:val="002B52D0"/>
    <w:rsid w:val="002B62F5"/>
    <w:rsid w:val="002B6FCC"/>
    <w:rsid w:val="002C362C"/>
    <w:rsid w:val="002E3CB5"/>
    <w:rsid w:val="002F7A88"/>
    <w:rsid w:val="002F7B0D"/>
    <w:rsid w:val="00301C84"/>
    <w:rsid w:val="00304070"/>
    <w:rsid w:val="00310900"/>
    <w:rsid w:val="00320B23"/>
    <w:rsid w:val="003219F9"/>
    <w:rsid w:val="0035797D"/>
    <w:rsid w:val="00363E77"/>
    <w:rsid w:val="003657E9"/>
    <w:rsid w:val="003745E4"/>
    <w:rsid w:val="00375A4A"/>
    <w:rsid w:val="003879DC"/>
    <w:rsid w:val="003A0877"/>
    <w:rsid w:val="003A1949"/>
    <w:rsid w:val="003A2A88"/>
    <w:rsid w:val="003C270B"/>
    <w:rsid w:val="003D050E"/>
    <w:rsid w:val="003D51CE"/>
    <w:rsid w:val="003E3F44"/>
    <w:rsid w:val="003F6DD5"/>
    <w:rsid w:val="004038AD"/>
    <w:rsid w:val="00422FE3"/>
    <w:rsid w:val="00426327"/>
    <w:rsid w:val="00436266"/>
    <w:rsid w:val="004404B4"/>
    <w:rsid w:val="00463863"/>
    <w:rsid w:val="00477BA6"/>
    <w:rsid w:val="0048115B"/>
    <w:rsid w:val="00481F08"/>
    <w:rsid w:val="00482EE8"/>
    <w:rsid w:val="00485A4E"/>
    <w:rsid w:val="004A056B"/>
    <w:rsid w:val="004A0A4E"/>
    <w:rsid w:val="004A7867"/>
    <w:rsid w:val="004C04F5"/>
    <w:rsid w:val="004C262B"/>
    <w:rsid w:val="004D1837"/>
    <w:rsid w:val="004D19E0"/>
    <w:rsid w:val="004D2726"/>
    <w:rsid w:val="004E3217"/>
    <w:rsid w:val="004E4D72"/>
    <w:rsid w:val="004E511F"/>
    <w:rsid w:val="00503BFD"/>
    <w:rsid w:val="005200D1"/>
    <w:rsid w:val="00524E4E"/>
    <w:rsid w:val="00531FF0"/>
    <w:rsid w:val="00551805"/>
    <w:rsid w:val="00552D09"/>
    <w:rsid w:val="00556230"/>
    <w:rsid w:val="005606A4"/>
    <w:rsid w:val="005837DD"/>
    <w:rsid w:val="00585748"/>
    <w:rsid w:val="00587502"/>
    <w:rsid w:val="00592746"/>
    <w:rsid w:val="00596942"/>
    <w:rsid w:val="00597FEB"/>
    <w:rsid w:val="005A7C60"/>
    <w:rsid w:val="005B495C"/>
    <w:rsid w:val="005D528C"/>
    <w:rsid w:val="005D5343"/>
    <w:rsid w:val="005E7FDF"/>
    <w:rsid w:val="005F0FEF"/>
    <w:rsid w:val="005F2486"/>
    <w:rsid w:val="0060722D"/>
    <w:rsid w:val="00614353"/>
    <w:rsid w:val="0061743A"/>
    <w:rsid w:val="0062171D"/>
    <w:rsid w:val="00624240"/>
    <w:rsid w:val="00630EF3"/>
    <w:rsid w:val="0063149D"/>
    <w:rsid w:val="00634CDA"/>
    <w:rsid w:val="00641E4E"/>
    <w:rsid w:val="006441A2"/>
    <w:rsid w:val="00652C16"/>
    <w:rsid w:val="006548DD"/>
    <w:rsid w:val="006565EE"/>
    <w:rsid w:val="00663A26"/>
    <w:rsid w:val="006744DF"/>
    <w:rsid w:val="006A4BBB"/>
    <w:rsid w:val="006A5451"/>
    <w:rsid w:val="006B65A1"/>
    <w:rsid w:val="006C75E4"/>
    <w:rsid w:val="006D5449"/>
    <w:rsid w:val="006E2489"/>
    <w:rsid w:val="006E382F"/>
    <w:rsid w:val="006F11A3"/>
    <w:rsid w:val="0070702C"/>
    <w:rsid w:val="0070794F"/>
    <w:rsid w:val="00714831"/>
    <w:rsid w:val="00717375"/>
    <w:rsid w:val="00722C71"/>
    <w:rsid w:val="00727DE5"/>
    <w:rsid w:val="007322AC"/>
    <w:rsid w:val="00746CBC"/>
    <w:rsid w:val="00750B96"/>
    <w:rsid w:val="0075238D"/>
    <w:rsid w:val="00753095"/>
    <w:rsid w:val="0077255E"/>
    <w:rsid w:val="007818BD"/>
    <w:rsid w:val="0078707A"/>
    <w:rsid w:val="007967CF"/>
    <w:rsid w:val="007A2D3F"/>
    <w:rsid w:val="007A79D1"/>
    <w:rsid w:val="007B7205"/>
    <w:rsid w:val="007C2702"/>
    <w:rsid w:val="007C2D8D"/>
    <w:rsid w:val="007C5BA4"/>
    <w:rsid w:val="007D1197"/>
    <w:rsid w:val="007D6730"/>
    <w:rsid w:val="007E18E9"/>
    <w:rsid w:val="007E437D"/>
    <w:rsid w:val="007E677C"/>
    <w:rsid w:val="007F0718"/>
    <w:rsid w:val="00803A05"/>
    <w:rsid w:val="0080698A"/>
    <w:rsid w:val="00826BEE"/>
    <w:rsid w:val="008601CA"/>
    <w:rsid w:val="008662C5"/>
    <w:rsid w:val="00866AE5"/>
    <w:rsid w:val="00876723"/>
    <w:rsid w:val="00881FF3"/>
    <w:rsid w:val="00886B38"/>
    <w:rsid w:val="0089155A"/>
    <w:rsid w:val="008952DE"/>
    <w:rsid w:val="008B0EF2"/>
    <w:rsid w:val="008C6397"/>
    <w:rsid w:val="008D1874"/>
    <w:rsid w:val="008E675B"/>
    <w:rsid w:val="008E6D04"/>
    <w:rsid w:val="008F033E"/>
    <w:rsid w:val="008F1D47"/>
    <w:rsid w:val="008F4C24"/>
    <w:rsid w:val="009066D6"/>
    <w:rsid w:val="0091128A"/>
    <w:rsid w:val="00915704"/>
    <w:rsid w:val="00923A9C"/>
    <w:rsid w:val="009247A3"/>
    <w:rsid w:val="00925DB5"/>
    <w:rsid w:val="009268A6"/>
    <w:rsid w:val="00927CAF"/>
    <w:rsid w:val="00931A2B"/>
    <w:rsid w:val="0093426C"/>
    <w:rsid w:val="0094580A"/>
    <w:rsid w:val="00967BDB"/>
    <w:rsid w:val="009749A9"/>
    <w:rsid w:val="00983442"/>
    <w:rsid w:val="00983ECC"/>
    <w:rsid w:val="009841BC"/>
    <w:rsid w:val="00987859"/>
    <w:rsid w:val="009915B3"/>
    <w:rsid w:val="00995351"/>
    <w:rsid w:val="00995E6B"/>
    <w:rsid w:val="009A2C49"/>
    <w:rsid w:val="009B1EA6"/>
    <w:rsid w:val="009B3BAA"/>
    <w:rsid w:val="009B7F35"/>
    <w:rsid w:val="009C03A8"/>
    <w:rsid w:val="009D1F65"/>
    <w:rsid w:val="009E2E3F"/>
    <w:rsid w:val="009E613A"/>
    <w:rsid w:val="009F11DC"/>
    <w:rsid w:val="00A05B36"/>
    <w:rsid w:val="00A33560"/>
    <w:rsid w:val="00A34184"/>
    <w:rsid w:val="00A34AE6"/>
    <w:rsid w:val="00A47B88"/>
    <w:rsid w:val="00A512F9"/>
    <w:rsid w:val="00A55497"/>
    <w:rsid w:val="00A622AD"/>
    <w:rsid w:val="00A62DE0"/>
    <w:rsid w:val="00A703E4"/>
    <w:rsid w:val="00A7179F"/>
    <w:rsid w:val="00A772AC"/>
    <w:rsid w:val="00A851D7"/>
    <w:rsid w:val="00A964AC"/>
    <w:rsid w:val="00AA075A"/>
    <w:rsid w:val="00AC0523"/>
    <w:rsid w:val="00AF44FD"/>
    <w:rsid w:val="00AF7016"/>
    <w:rsid w:val="00B10096"/>
    <w:rsid w:val="00B13252"/>
    <w:rsid w:val="00B145ED"/>
    <w:rsid w:val="00B35562"/>
    <w:rsid w:val="00B35C45"/>
    <w:rsid w:val="00B47286"/>
    <w:rsid w:val="00B613A1"/>
    <w:rsid w:val="00B70643"/>
    <w:rsid w:val="00B80605"/>
    <w:rsid w:val="00B869B0"/>
    <w:rsid w:val="00BA3435"/>
    <w:rsid w:val="00BA6BA7"/>
    <w:rsid w:val="00BC7028"/>
    <w:rsid w:val="00BC7156"/>
    <w:rsid w:val="00BD3904"/>
    <w:rsid w:val="00BD483A"/>
    <w:rsid w:val="00BD5434"/>
    <w:rsid w:val="00BE3482"/>
    <w:rsid w:val="00BF7F48"/>
    <w:rsid w:val="00C06B0E"/>
    <w:rsid w:val="00C12B83"/>
    <w:rsid w:val="00C179F4"/>
    <w:rsid w:val="00C30C61"/>
    <w:rsid w:val="00C33699"/>
    <w:rsid w:val="00C348E1"/>
    <w:rsid w:val="00C54F75"/>
    <w:rsid w:val="00C56C97"/>
    <w:rsid w:val="00C65D8B"/>
    <w:rsid w:val="00C67D63"/>
    <w:rsid w:val="00C814E3"/>
    <w:rsid w:val="00CA245D"/>
    <w:rsid w:val="00CA7A84"/>
    <w:rsid w:val="00CB18FF"/>
    <w:rsid w:val="00CC6B4B"/>
    <w:rsid w:val="00CD5CD2"/>
    <w:rsid w:val="00CF1C69"/>
    <w:rsid w:val="00CF5194"/>
    <w:rsid w:val="00CF6E43"/>
    <w:rsid w:val="00D02314"/>
    <w:rsid w:val="00D10338"/>
    <w:rsid w:val="00D1386D"/>
    <w:rsid w:val="00D1561F"/>
    <w:rsid w:val="00D25325"/>
    <w:rsid w:val="00D3139E"/>
    <w:rsid w:val="00D3725B"/>
    <w:rsid w:val="00D535E4"/>
    <w:rsid w:val="00D56B86"/>
    <w:rsid w:val="00D573BD"/>
    <w:rsid w:val="00D66140"/>
    <w:rsid w:val="00D671FB"/>
    <w:rsid w:val="00D67B6B"/>
    <w:rsid w:val="00D75592"/>
    <w:rsid w:val="00D76461"/>
    <w:rsid w:val="00D812BF"/>
    <w:rsid w:val="00D8537E"/>
    <w:rsid w:val="00D87603"/>
    <w:rsid w:val="00DA2087"/>
    <w:rsid w:val="00DA6C67"/>
    <w:rsid w:val="00DB0C2E"/>
    <w:rsid w:val="00DB1E50"/>
    <w:rsid w:val="00DB6121"/>
    <w:rsid w:val="00DC182C"/>
    <w:rsid w:val="00DC368F"/>
    <w:rsid w:val="00DD4BA3"/>
    <w:rsid w:val="00DF2564"/>
    <w:rsid w:val="00DF327F"/>
    <w:rsid w:val="00DF768D"/>
    <w:rsid w:val="00E113FA"/>
    <w:rsid w:val="00E35471"/>
    <w:rsid w:val="00E37982"/>
    <w:rsid w:val="00E47957"/>
    <w:rsid w:val="00E54C42"/>
    <w:rsid w:val="00E567BA"/>
    <w:rsid w:val="00E7088E"/>
    <w:rsid w:val="00E72420"/>
    <w:rsid w:val="00E95D98"/>
    <w:rsid w:val="00E97944"/>
    <w:rsid w:val="00EA3EBC"/>
    <w:rsid w:val="00EA4645"/>
    <w:rsid w:val="00EA679B"/>
    <w:rsid w:val="00EA6DDD"/>
    <w:rsid w:val="00EA753E"/>
    <w:rsid w:val="00EB3DEF"/>
    <w:rsid w:val="00EB727C"/>
    <w:rsid w:val="00EC2D76"/>
    <w:rsid w:val="00EF0FE4"/>
    <w:rsid w:val="00F06F63"/>
    <w:rsid w:val="00F16D3B"/>
    <w:rsid w:val="00F2028C"/>
    <w:rsid w:val="00F2363A"/>
    <w:rsid w:val="00F34CC9"/>
    <w:rsid w:val="00F363D5"/>
    <w:rsid w:val="00F413F9"/>
    <w:rsid w:val="00F50072"/>
    <w:rsid w:val="00F56686"/>
    <w:rsid w:val="00F57132"/>
    <w:rsid w:val="00F7061C"/>
    <w:rsid w:val="00F74706"/>
    <w:rsid w:val="00F74F06"/>
    <w:rsid w:val="00F76609"/>
    <w:rsid w:val="00F80623"/>
    <w:rsid w:val="00FA0026"/>
    <w:rsid w:val="00FA1DBF"/>
    <w:rsid w:val="00FC5DAB"/>
    <w:rsid w:val="00FE22BA"/>
    <w:rsid w:val="00FE36E5"/>
    <w:rsid w:val="00FE4661"/>
    <w:rsid w:val="00FE643A"/>
    <w:rsid w:val="00FF2B45"/>
    <w:rsid w:val="00FF31D4"/>
    <w:rsid w:val="02F31981"/>
    <w:rsid w:val="03081D40"/>
    <w:rsid w:val="03680267"/>
    <w:rsid w:val="03964908"/>
    <w:rsid w:val="04324075"/>
    <w:rsid w:val="04FA6727"/>
    <w:rsid w:val="0501675D"/>
    <w:rsid w:val="05094AAE"/>
    <w:rsid w:val="067863DB"/>
    <w:rsid w:val="07391AB0"/>
    <w:rsid w:val="08FF560E"/>
    <w:rsid w:val="0A6F08DE"/>
    <w:rsid w:val="0B1D422B"/>
    <w:rsid w:val="0B9F522A"/>
    <w:rsid w:val="0BB41D90"/>
    <w:rsid w:val="0EE048A0"/>
    <w:rsid w:val="0FF76139"/>
    <w:rsid w:val="11017149"/>
    <w:rsid w:val="11FC0A94"/>
    <w:rsid w:val="12205CEE"/>
    <w:rsid w:val="127A64AF"/>
    <w:rsid w:val="12EE1062"/>
    <w:rsid w:val="162176D4"/>
    <w:rsid w:val="18C54D67"/>
    <w:rsid w:val="18CD7E24"/>
    <w:rsid w:val="18E8217D"/>
    <w:rsid w:val="190B3975"/>
    <w:rsid w:val="19CB0019"/>
    <w:rsid w:val="19E73D9E"/>
    <w:rsid w:val="1BC752FA"/>
    <w:rsid w:val="1E9B328F"/>
    <w:rsid w:val="1EC24198"/>
    <w:rsid w:val="1EED2A92"/>
    <w:rsid w:val="1F416A6C"/>
    <w:rsid w:val="1F731873"/>
    <w:rsid w:val="1FE10368"/>
    <w:rsid w:val="204C54FA"/>
    <w:rsid w:val="20836648"/>
    <w:rsid w:val="214971B9"/>
    <w:rsid w:val="224D202C"/>
    <w:rsid w:val="22A70476"/>
    <w:rsid w:val="2333378A"/>
    <w:rsid w:val="248D6C3D"/>
    <w:rsid w:val="253A6810"/>
    <w:rsid w:val="26B14905"/>
    <w:rsid w:val="278F70CE"/>
    <w:rsid w:val="27D41E7C"/>
    <w:rsid w:val="27D83BBB"/>
    <w:rsid w:val="29B473E9"/>
    <w:rsid w:val="2A0D3438"/>
    <w:rsid w:val="2B0D2EE6"/>
    <w:rsid w:val="2BCB33D5"/>
    <w:rsid w:val="2BD3054D"/>
    <w:rsid w:val="2C114529"/>
    <w:rsid w:val="2C8C7E7F"/>
    <w:rsid w:val="2CD272B0"/>
    <w:rsid w:val="2CED366A"/>
    <w:rsid w:val="2D6B03DA"/>
    <w:rsid w:val="2E773535"/>
    <w:rsid w:val="2F0953BE"/>
    <w:rsid w:val="2F0D01F9"/>
    <w:rsid w:val="31EC5473"/>
    <w:rsid w:val="321D301D"/>
    <w:rsid w:val="323C7B6C"/>
    <w:rsid w:val="330F1D0C"/>
    <w:rsid w:val="34A36602"/>
    <w:rsid w:val="35087320"/>
    <w:rsid w:val="357602DD"/>
    <w:rsid w:val="36C757EA"/>
    <w:rsid w:val="37AC2A9D"/>
    <w:rsid w:val="388E6DC5"/>
    <w:rsid w:val="3C79620C"/>
    <w:rsid w:val="3F3C60FD"/>
    <w:rsid w:val="3F6867E8"/>
    <w:rsid w:val="3FF831E2"/>
    <w:rsid w:val="40737005"/>
    <w:rsid w:val="420C3F5F"/>
    <w:rsid w:val="421E61F4"/>
    <w:rsid w:val="4251797B"/>
    <w:rsid w:val="425438F0"/>
    <w:rsid w:val="426D5B13"/>
    <w:rsid w:val="428B6FFA"/>
    <w:rsid w:val="453437AC"/>
    <w:rsid w:val="4596669D"/>
    <w:rsid w:val="461936D7"/>
    <w:rsid w:val="469851F1"/>
    <w:rsid w:val="47A6252F"/>
    <w:rsid w:val="4A5511CC"/>
    <w:rsid w:val="4AE70867"/>
    <w:rsid w:val="4B68374E"/>
    <w:rsid w:val="4C001461"/>
    <w:rsid w:val="4CBF1DDC"/>
    <w:rsid w:val="4D254C63"/>
    <w:rsid w:val="4D7525AD"/>
    <w:rsid w:val="4DC20898"/>
    <w:rsid w:val="4FA93CC7"/>
    <w:rsid w:val="506B223F"/>
    <w:rsid w:val="5181539E"/>
    <w:rsid w:val="51B41DAF"/>
    <w:rsid w:val="51B933D9"/>
    <w:rsid w:val="52317F8C"/>
    <w:rsid w:val="52777F47"/>
    <w:rsid w:val="52B50616"/>
    <w:rsid w:val="52C869B7"/>
    <w:rsid w:val="54303B8F"/>
    <w:rsid w:val="544E2714"/>
    <w:rsid w:val="554307C8"/>
    <w:rsid w:val="558336CC"/>
    <w:rsid w:val="55C1753B"/>
    <w:rsid w:val="5866068A"/>
    <w:rsid w:val="58FC4771"/>
    <w:rsid w:val="58FE66B9"/>
    <w:rsid w:val="597711E7"/>
    <w:rsid w:val="5B1473D6"/>
    <w:rsid w:val="5C0F36B3"/>
    <w:rsid w:val="5D4303E0"/>
    <w:rsid w:val="5F0431D7"/>
    <w:rsid w:val="5F5E2BB5"/>
    <w:rsid w:val="5F932B7B"/>
    <w:rsid w:val="60932713"/>
    <w:rsid w:val="6163349D"/>
    <w:rsid w:val="656C3DF5"/>
    <w:rsid w:val="65FF1EC2"/>
    <w:rsid w:val="66EC624A"/>
    <w:rsid w:val="676C168C"/>
    <w:rsid w:val="67F022BE"/>
    <w:rsid w:val="687C3D76"/>
    <w:rsid w:val="69522F21"/>
    <w:rsid w:val="6A4D4178"/>
    <w:rsid w:val="6AD0641D"/>
    <w:rsid w:val="6B4C6BEF"/>
    <w:rsid w:val="6E0F73DF"/>
    <w:rsid w:val="6E3A5DD5"/>
    <w:rsid w:val="6E3D3853"/>
    <w:rsid w:val="6FD63FA7"/>
    <w:rsid w:val="702721C7"/>
    <w:rsid w:val="707E5E05"/>
    <w:rsid w:val="71D2495C"/>
    <w:rsid w:val="72C01835"/>
    <w:rsid w:val="75423039"/>
    <w:rsid w:val="765122E6"/>
    <w:rsid w:val="769C60FB"/>
    <w:rsid w:val="76EC0009"/>
    <w:rsid w:val="78A00F87"/>
    <w:rsid w:val="78A139B8"/>
    <w:rsid w:val="7A57623A"/>
    <w:rsid w:val="7B040519"/>
    <w:rsid w:val="7B972420"/>
    <w:rsid w:val="7BE71839"/>
    <w:rsid w:val="7C20217D"/>
    <w:rsid w:val="7F3727D5"/>
    <w:rsid w:val="7FBC30CB"/>
    <w:rsid w:val="7FFFAF2A"/>
    <w:rsid w:val="FFB7E9E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9"/>
    <w:pPr>
      <w:keepNext/>
      <w:keepLines/>
      <w:spacing w:before="340" w:after="330" w:line="578" w:lineRule="auto"/>
      <w:outlineLvl w:val="0"/>
    </w:pPr>
    <w:rPr>
      <w:rFonts w:ascii="Calibri" w:hAnsi="Calibri" w:cs="黑体"/>
      <w:b/>
      <w:bCs/>
      <w:kern w:val="44"/>
      <w:sz w:val="44"/>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17"/>
    <w:qFormat/>
    <w:uiPriority w:val="0"/>
    <w:rPr>
      <w:rFonts w:ascii="宋体"/>
      <w:sz w:val="18"/>
      <w:szCs w:val="18"/>
    </w:rPr>
  </w:style>
  <w:style w:type="paragraph" w:styleId="4">
    <w:name w:val="annotation text"/>
    <w:basedOn w:val="1"/>
    <w:link w:val="21"/>
    <w:unhideWhenUsed/>
    <w:qFormat/>
    <w:uiPriority w:val="0"/>
    <w:pPr>
      <w:jc w:val="left"/>
    </w:pPr>
  </w:style>
  <w:style w:type="paragraph" w:styleId="5">
    <w:name w:val="Balloon Text"/>
    <w:basedOn w:val="1"/>
    <w:link w:val="23"/>
    <w:unhideWhenUsed/>
    <w:qFormat/>
    <w:uiPriority w:val="0"/>
    <w:rPr>
      <w:sz w:val="18"/>
      <w:szCs w:val="18"/>
    </w:rPr>
  </w:style>
  <w:style w:type="paragraph" w:styleId="6">
    <w:name w:val="footer"/>
    <w:basedOn w:val="1"/>
    <w:link w:val="19"/>
    <w:qFormat/>
    <w:uiPriority w:val="99"/>
    <w:pPr>
      <w:tabs>
        <w:tab w:val="center" w:pos="4153"/>
        <w:tab w:val="right" w:pos="8306"/>
      </w:tabs>
      <w:snapToGrid w:val="0"/>
      <w:jc w:val="left"/>
    </w:pPr>
    <w:rPr>
      <w:sz w:val="18"/>
      <w:szCs w:val="18"/>
    </w:rPr>
  </w:style>
  <w:style w:type="paragraph" w:styleId="7">
    <w:name w:val="header"/>
    <w:basedOn w:val="1"/>
    <w:link w:val="18"/>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line="360" w:lineRule="auto"/>
      <w:jc w:val="left"/>
    </w:pPr>
    <w:rPr>
      <w:rFonts w:ascii="宋体" w:cs="宋体"/>
      <w:kern w:val="0"/>
      <w:sz w:val="24"/>
    </w:rPr>
  </w:style>
  <w:style w:type="paragraph" w:styleId="9">
    <w:name w:val="Title"/>
    <w:basedOn w:val="1"/>
    <w:next w:val="1"/>
    <w:link w:val="20"/>
    <w:qFormat/>
    <w:uiPriority w:val="0"/>
    <w:pPr>
      <w:spacing w:before="340" w:after="330"/>
      <w:jc w:val="center"/>
      <w:outlineLvl w:val="0"/>
    </w:pPr>
    <w:rPr>
      <w:sz w:val="32"/>
      <w:szCs w:val="32"/>
    </w:rPr>
  </w:style>
  <w:style w:type="paragraph" w:styleId="10">
    <w:name w:val="annotation subject"/>
    <w:basedOn w:val="4"/>
    <w:next w:val="4"/>
    <w:link w:val="22"/>
    <w:unhideWhenUsed/>
    <w:qFormat/>
    <w:uiPriority w:val="0"/>
    <w:rPr>
      <w:b/>
      <w:bCs/>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qFormat/>
    <w:uiPriority w:val="0"/>
    <w:rPr>
      <w:i/>
    </w:rPr>
  </w:style>
  <w:style w:type="character" w:styleId="15">
    <w:name w:val="annotation reference"/>
    <w:basedOn w:val="13"/>
    <w:unhideWhenUsed/>
    <w:qFormat/>
    <w:uiPriority w:val="0"/>
    <w:rPr>
      <w:sz w:val="21"/>
      <w:szCs w:val="21"/>
    </w:rPr>
  </w:style>
  <w:style w:type="paragraph" w:customStyle="1" w:styleId="16">
    <w:name w:val="列表段落1"/>
    <w:basedOn w:val="1"/>
    <w:qFormat/>
    <w:uiPriority w:val="34"/>
    <w:pPr>
      <w:ind w:firstLine="420" w:firstLineChars="200"/>
    </w:pPr>
  </w:style>
  <w:style w:type="character" w:customStyle="1" w:styleId="17">
    <w:name w:val="文档结构图 字符"/>
    <w:basedOn w:val="13"/>
    <w:link w:val="3"/>
    <w:qFormat/>
    <w:uiPriority w:val="0"/>
    <w:rPr>
      <w:rFonts w:ascii="宋体"/>
      <w:kern w:val="2"/>
      <w:sz w:val="18"/>
      <w:szCs w:val="18"/>
    </w:rPr>
  </w:style>
  <w:style w:type="character" w:customStyle="1" w:styleId="18">
    <w:name w:val="页眉 字符"/>
    <w:basedOn w:val="13"/>
    <w:link w:val="7"/>
    <w:qFormat/>
    <w:uiPriority w:val="99"/>
    <w:rPr>
      <w:kern w:val="2"/>
      <w:sz w:val="18"/>
      <w:szCs w:val="18"/>
    </w:rPr>
  </w:style>
  <w:style w:type="character" w:customStyle="1" w:styleId="19">
    <w:name w:val="页脚 字符"/>
    <w:basedOn w:val="13"/>
    <w:link w:val="6"/>
    <w:qFormat/>
    <w:uiPriority w:val="99"/>
    <w:rPr>
      <w:kern w:val="2"/>
      <w:sz w:val="18"/>
      <w:szCs w:val="18"/>
    </w:rPr>
  </w:style>
  <w:style w:type="character" w:customStyle="1" w:styleId="20">
    <w:name w:val="标题 字符"/>
    <w:basedOn w:val="13"/>
    <w:link w:val="9"/>
    <w:qFormat/>
    <w:uiPriority w:val="0"/>
    <w:rPr>
      <w:kern w:val="2"/>
      <w:sz w:val="32"/>
      <w:szCs w:val="32"/>
    </w:rPr>
  </w:style>
  <w:style w:type="character" w:customStyle="1" w:styleId="21">
    <w:name w:val="批注文字 字符"/>
    <w:basedOn w:val="13"/>
    <w:link w:val="4"/>
    <w:semiHidden/>
    <w:qFormat/>
    <w:uiPriority w:val="0"/>
    <w:rPr>
      <w:kern w:val="2"/>
      <w:sz w:val="21"/>
      <w:szCs w:val="24"/>
    </w:rPr>
  </w:style>
  <w:style w:type="character" w:customStyle="1" w:styleId="22">
    <w:name w:val="批注主题 字符"/>
    <w:basedOn w:val="21"/>
    <w:link w:val="10"/>
    <w:semiHidden/>
    <w:qFormat/>
    <w:uiPriority w:val="0"/>
    <w:rPr>
      <w:b/>
      <w:bCs/>
      <w:kern w:val="2"/>
      <w:sz w:val="21"/>
      <w:szCs w:val="24"/>
    </w:rPr>
  </w:style>
  <w:style w:type="character" w:customStyle="1" w:styleId="23">
    <w:name w:val="批注框文本 字符"/>
    <w:basedOn w:val="13"/>
    <w:link w:val="5"/>
    <w:semiHidden/>
    <w:qFormat/>
    <w:uiPriority w:val="0"/>
    <w:rPr>
      <w:kern w:val="2"/>
      <w:sz w:val="18"/>
      <w:szCs w:val="18"/>
    </w:rPr>
  </w:style>
  <w:style w:type="character" w:customStyle="1" w:styleId="24">
    <w:name w:val="标题 1 字符"/>
    <w:basedOn w:val="13"/>
    <w:link w:val="2"/>
    <w:qFormat/>
    <w:uiPriority w:val="9"/>
    <w:rPr>
      <w:rFonts w:ascii="Calibri" w:hAnsi="Calibri" w:eastAsia="宋体" w:cs="黑体"/>
      <w:b/>
      <w:bCs/>
      <w:kern w:val="44"/>
      <w:sz w:val="44"/>
      <w:szCs w:val="44"/>
    </w:rPr>
  </w:style>
  <w:style w:type="table" w:customStyle="1" w:styleId="25">
    <w:name w:val="网格型浅色1"/>
    <w:basedOn w:val="11"/>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6">
    <w:name w:val="浅色底纹1"/>
    <w:basedOn w:val="11"/>
    <w:qFormat/>
    <w:uiPriority w:val="99"/>
    <w:rPr>
      <w:rFonts w:ascii="Calibri" w:hAnsi="Calibri"/>
      <w:color w:val="000000"/>
    </w:rPr>
    <w:tblPr>
      <w:tblBorders>
        <w:top w:val="single" w:color="000000" w:sz="8" w:space="0"/>
        <w:bottom w:val="single" w:color="000000" w:sz="8" w:space="0"/>
      </w:tblBorders>
    </w:tblPr>
    <w:tblStylePr w:type="firstRow">
      <w:pPr>
        <w:spacing w:before="0" w:after="0"/>
      </w:pPr>
      <w:rPr>
        <w:rFonts w:cs="Times New Roman"/>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pPr>
      <w:rPr>
        <w:rFonts w:cs="Times New Roman"/>
        <w:b/>
        <w:bCs/>
      </w:rPr>
      <w:tcPr>
        <w:tcBorders>
          <w:top w:val="single" w:color="000000" w:sz="8" w:space="0"/>
          <w:left w:val="nil"/>
          <w:bottom w:val="single" w:color="000000" w:sz="8" w:space="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C0C0C0"/>
      </w:tcPr>
    </w:tblStylePr>
    <w:tblStylePr w:type="band1Horz">
      <w:rPr>
        <w:rFonts w:cs="Times New Roman"/>
      </w:rPr>
      <w:tcPr>
        <w:tcBorders>
          <w:top w:val="nil"/>
          <w:left w:val="nil"/>
          <w:bottom w:val="nil"/>
          <w:right w:val="nil"/>
          <w:insideH w:val="nil"/>
          <w:insideV w:val="nil"/>
          <w:tl2br w:val="nil"/>
          <w:tr2bl w:val="nil"/>
        </w:tcBorders>
        <w:shd w:val="clear" w:color="auto" w:fill="C0C0C0"/>
      </w:tcPr>
    </w:tblStylePr>
  </w:style>
  <w:style w:type="paragraph" w:customStyle="1" w:styleId="27">
    <w:name w:val="广州标准m"/>
    <w:basedOn w:val="1"/>
    <w:qFormat/>
    <w:uiPriority w:val="0"/>
    <w:pPr>
      <w:spacing w:beforeLines="25" w:line="360" w:lineRule="auto"/>
      <w:contextualSpacing/>
    </w:pPr>
    <w:rPr>
      <w:rFonts w:cs="宋体"/>
    </w:rPr>
  </w:style>
  <w:style w:type="paragraph" w:styleId="2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mycomputer</Company>
  <Pages>9</Pages>
  <Words>523</Words>
  <Characters>2987</Characters>
  <Lines>24</Lines>
  <Paragraphs>7</Paragraphs>
  <TotalTime>171</TotalTime>
  <ScaleCrop>false</ScaleCrop>
  <LinksUpToDate>false</LinksUpToDate>
  <CharactersWithSpaces>3503</CharactersWithSpaces>
  <Application>WPS Office_4.6.1.7467_F1E327BC-269C-435d-A152-05C5408002CA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2019-08-28T16:36:00Z</dcterms:created>
  <dc:creator>建筑节能与建材处 张琴</dc:creator>
  <cp:lastModifiedBy>Aries </cp:lastModifiedBy>
  <cp:lastPrinted>2017-11-24T23:12:00Z</cp:lastPrinted>
  <dcterms:modified xsi:type="dcterms:W3CDTF">2022-12-09T10:05:23Z</dcterms:modified>
  <dc:title>标准送审需要提交：送审申请（附以下资料）</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FDB04A41699D4AC5E39792633D4447AE</vt:lpwstr>
  </property>
</Properties>
</file>